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8493" w14:textId="2FDADB8D" w:rsidR="007E0CEE" w:rsidRPr="00122EEA" w:rsidRDefault="00190AC5" w:rsidP="00585051">
      <w:pPr>
        <w:pStyle w:val="Heading1"/>
        <w:divId w:val="510070646"/>
        <w:rPr>
          <w:rFonts w:eastAsia="Times New Roman"/>
          <w:color w:val="auto"/>
        </w:rPr>
      </w:pPr>
      <w:r w:rsidRPr="00122EEA">
        <w:rPr>
          <w:rFonts w:eastAsia="Times New Roman"/>
          <w:color w:val="auto"/>
          <w:lang w:val="vi-VN"/>
        </w:rPr>
        <w:t>RESEARCH PROPOSAL</w:t>
      </w:r>
    </w:p>
    <w:p w14:paraId="151EFEC0" w14:textId="77777777" w:rsidR="007E0CEE" w:rsidRPr="00122EEA" w:rsidRDefault="007E0CEE" w:rsidP="0039478D">
      <w:pPr>
        <w:pStyle w:val="NormalWeb"/>
        <w:shd w:val="clear" w:color="auto" w:fill="F8FAFC"/>
        <w:spacing w:before="45" w:beforeAutospacing="0" w:after="45" w:afterAutospacing="0"/>
        <w:jc w:val="both"/>
        <w:divId w:val="877014908"/>
        <w:rPr>
          <w:lang w:val="vi-VN"/>
        </w:rPr>
      </w:pPr>
      <w:r w:rsidRPr="00122EEA">
        <w:rPr>
          <w:rStyle w:val="Strong"/>
          <w:lang w:val="vi-VN"/>
        </w:rPr>
        <w:t>Tên đề tài (Tiếng Anh):</w:t>
      </w:r>
      <w:r w:rsidRPr="00122EEA">
        <w:rPr>
          <w:lang w:val="vi-VN"/>
        </w:rPr>
        <w:t xml:space="preserve"> </w:t>
      </w:r>
      <w:r w:rsidRPr="00122EEA">
        <w:rPr>
          <w:rStyle w:val="Emphasis"/>
          <w:lang w:val="vi-VN"/>
        </w:rPr>
        <w:t>Can Deep Trade Agreements Absorb Geopolitical Shocks? Global Evidence from Intermediate-Goods Supply Chains</w:t>
      </w:r>
    </w:p>
    <w:p w14:paraId="4F5F7E48" w14:textId="77777777" w:rsidR="008B615F" w:rsidRPr="00122EEA" w:rsidRDefault="007E0CEE" w:rsidP="0039478D">
      <w:pPr>
        <w:pStyle w:val="NormalWeb"/>
        <w:shd w:val="clear" w:color="auto" w:fill="F8FAFC"/>
        <w:spacing w:before="45" w:beforeAutospacing="0" w:after="0" w:afterAutospacing="0"/>
        <w:jc w:val="both"/>
        <w:divId w:val="877014908"/>
        <w:rPr>
          <w:rStyle w:val="Heading2Char"/>
        </w:rPr>
      </w:pPr>
      <w:r w:rsidRPr="00122EEA">
        <w:rPr>
          <w:rStyle w:val="Strong"/>
          <w:lang w:val="vi-VN"/>
        </w:rPr>
        <w:t>Tên đề tài (Tiếng Việt):</w:t>
      </w:r>
      <w:r w:rsidRPr="00122EEA">
        <w:rPr>
          <w:lang w:val="vi-VN"/>
        </w:rPr>
        <w:t xml:space="preserve"> </w:t>
      </w:r>
      <w:r w:rsidRPr="00122EEA">
        <w:rPr>
          <w:rStyle w:val="Emphasis"/>
          <w:lang w:val="vi-VN"/>
        </w:rPr>
        <w:t>Các Hiệp định Thương mại Sâu rộng (DTAs) có thể hấp thụ cú sốc địa chính trị hay không? Bằng chứng toàn cầu từ chuỗi cung ứng hàng hóa trung gian</w:t>
      </w:r>
      <w:r w:rsidR="008B615F" w:rsidRPr="00122EEA">
        <w:rPr>
          <w:rStyle w:val="Heading2Char"/>
          <w:lang w:val="vi-VN"/>
        </w:rPr>
        <w:t xml:space="preserve"> </w:t>
      </w:r>
    </w:p>
    <w:p w14:paraId="20A9C84B" w14:textId="52D35A06" w:rsidR="008B615F" w:rsidRPr="00122EEA" w:rsidRDefault="008B615F" w:rsidP="0039478D">
      <w:pPr>
        <w:pStyle w:val="NormalWeb"/>
        <w:shd w:val="clear" w:color="auto" w:fill="F8FAFC"/>
        <w:spacing w:before="45" w:beforeAutospacing="0" w:after="0" w:afterAutospacing="0"/>
        <w:jc w:val="both"/>
        <w:divId w:val="877014908"/>
        <w:rPr>
          <w:rStyle w:val="Emphasis"/>
          <w:b/>
          <w:bCs/>
          <w:i w:val="0"/>
          <w:iCs w:val="0"/>
        </w:rPr>
      </w:pPr>
      <w:r w:rsidRPr="00122EEA">
        <w:rPr>
          <w:rStyle w:val="Strong"/>
        </w:rPr>
        <w:t xml:space="preserve">Nhóm sinh viên: Vũ Hà Vy – Phạm Quang Trực </w:t>
      </w:r>
      <w:r w:rsidRPr="00122EEA">
        <w:rPr>
          <w:rStyle w:val="Strong"/>
          <w:b w:val="0"/>
          <w:bCs w:val="0"/>
          <w:i/>
          <w:iCs/>
        </w:rPr>
        <w:t>(K62 CLC Kinh tế quốc tế)</w:t>
      </w:r>
    </w:p>
    <w:p w14:paraId="67C085C9" w14:textId="00998653" w:rsidR="00190AC5" w:rsidRDefault="00190AC5" w:rsidP="0039478D">
      <w:pPr>
        <w:pStyle w:val="Heading2"/>
        <w:jc w:val="both"/>
        <w:divId w:val="510070646"/>
        <w:rPr>
          <w:rFonts w:eastAsia="Times New Roman"/>
        </w:rPr>
      </w:pPr>
      <w:r w:rsidRPr="00122EEA">
        <w:rPr>
          <w:rFonts w:eastAsia="Times New Roman"/>
        </w:rPr>
        <w:t>1</w:t>
      </w:r>
      <w:r w:rsidRPr="00122EEA">
        <w:rPr>
          <w:rFonts w:eastAsia="Times New Roman"/>
          <w:lang w:val="vi-VN"/>
        </w:rPr>
        <w:t>. EXECUTIVE SUMMARY</w:t>
      </w:r>
    </w:p>
    <w:p w14:paraId="3C596904" w14:textId="4D1E8928" w:rsidR="0039478D" w:rsidRPr="0039478D" w:rsidRDefault="0039478D" w:rsidP="0039478D">
      <w:pPr>
        <w:numPr>
          <w:ilvl w:val="0"/>
          <w:numId w:val="3"/>
        </w:numPr>
        <w:spacing w:before="100" w:beforeAutospacing="1" w:after="60"/>
        <w:jc w:val="both"/>
        <w:divId w:val="510070646"/>
        <w:rPr>
          <w:rFonts w:eastAsia="Times New Roman"/>
          <w:lang w:val="vi-VN"/>
        </w:rPr>
      </w:pPr>
      <w:r w:rsidRPr="00122EEA">
        <w:rPr>
          <w:b/>
          <w:bCs/>
          <w:lang w:val="vi-VN"/>
        </w:rPr>
        <w:t>Vấn đề thực tiễn</w:t>
      </w:r>
      <w:r w:rsidRPr="00122EEA">
        <w:rPr>
          <w:lang w:val="vi-VN"/>
        </w:rPr>
        <w:t>: Xu hướng "</w:t>
      </w:r>
      <w:r w:rsidRPr="00122EEA">
        <w:rPr>
          <w:i/>
          <w:iCs/>
          <w:lang w:val="vi-VN"/>
        </w:rPr>
        <w:t>friend-shoring</w:t>
      </w:r>
      <w:r w:rsidRPr="00122EEA">
        <w:rPr>
          <w:lang w:val="vi-VN"/>
        </w:rPr>
        <w:t xml:space="preserve">" (tái định hình chuỗi cung ứng về các quốc gia đồng minh có hiệp định thương mại sâu rộng - DTA) đang bùng nổ trên thế giới sau các biến cố Nga-Ukraine, căng thẳng Mỹ-Trung. Giả định ngầm định là: </w:t>
      </w:r>
      <w:r w:rsidRPr="00122EEA">
        <w:rPr>
          <w:b/>
          <w:bCs/>
          <w:lang w:val="vi-VN"/>
        </w:rPr>
        <w:t>Thể chế sâu rộng sẽ bảo vệ chuỗi cung ứng kiên cường hơn trước rủi ro địa chính trị (GPR)</w:t>
      </w:r>
      <w:r>
        <w:rPr>
          <w:b/>
          <w:bCs/>
        </w:rPr>
        <w:t>.</w:t>
      </w:r>
    </w:p>
    <w:p w14:paraId="74D15A0A" w14:textId="3C00536D" w:rsidR="0039478D" w:rsidRPr="0039478D" w:rsidRDefault="0039478D" w:rsidP="0039478D">
      <w:pPr>
        <w:numPr>
          <w:ilvl w:val="0"/>
          <w:numId w:val="3"/>
        </w:numPr>
        <w:spacing w:before="100" w:beforeAutospacing="1" w:after="60"/>
        <w:jc w:val="both"/>
        <w:divId w:val="510070646"/>
        <w:rPr>
          <w:rFonts w:eastAsia="Times New Roman"/>
          <w:lang w:val="vi-VN"/>
        </w:rPr>
      </w:pPr>
      <w:r w:rsidRPr="00122EEA">
        <w:rPr>
          <w:b/>
          <w:bCs/>
          <w:lang w:val="vi-VN"/>
        </w:rPr>
        <w:t>Nghịch lý nghiên cứu</w:t>
      </w:r>
      <w:r w:rsidRPr="00122EEA">
        <w:rPr>
          <w:lang w:val="vi-VN"/>
        </w:rPr>
        <w:t>: Liệu các cam kết thể chế sâu rộng có thực sự là "tấm khiên" giảm chấn (Institutional Buffering), hay ngược lại lại trói buộc các mối quan hệ cung ứng và tạo ra gánh nặng chi phí tuân thủ cố định (Institutional Inflexibility &amp; Fixed Compliance Costs</w:t>
      </w:r>
      <w:r>
        <w:t>)</w:t>
      </w:r>
      <w:r w:rsidRPr="00122EEA">
        <w:rPr>
          <w:rFonts w:eastAsia="Times New Roman"/>
          <w:lang w:val="vi-VN"/>
        </w:rPr>
        <w:t>?</w:t>
      </w:r>
    </w:p>
    <w:p w14:paraId="3FFC2CE2" w14:textId="44CD9CDB" w:rsidR="0039478D" w:rsidRPr="0039478D" w:rsidRDefault="0039478D" w:rsidP="0039478D">
      <w:pPr>
        <w:numPr>
          <w:ilvl w:val="0"/>
          <w:numId w:val="3"/>
        </w:numPr>
        <w:spacing w:before="100" w:beforeAutospacing="1" w:after="60"/>
        <w:jc w:val="both"/>
        <w:divId w:val="510070646"/>
        <w:rPr>
          <w:rFonts w:eastAsia="Times New Roman"/>
          <w:lang w:val="vi-VN"/>
        </w:rPr>
      </w:pPr>
      <w:r w:rsidRPr="00122EEA">
        <w:rPr>
          <w:b/>
          <w:bCs/>
          <w:lang w:val="vi-VN"/>
        </w:rPr>
        <w:t>Phát hiện cốt lõi (Nghịch lý hai biên độ – Two-Margin Divergence</w:t>
      </w:r>
      <w:r>
        <w:rPr>
          <w:b/>
          <w:bCs/>
        </w:rPr>
        <w:t>:</w:t>
      </w:r>
    </w:p>
    <w:p w14:paraId="797CA108" w14:textId="22B4C8C6" w:rsidR="0039478D" w:rsidRPr="0039478D" w:rsidRDefault="0039478D" w:rsidP="0039478D">
      <w:pPr>
        <w:numPr>
          <w:ilvl w:val="1"/>
          <w:numId w:val="3"/>
        </w:numPr>
        <w:spacing w:before="100" w:beforeAutospacing="1" w:after="60"/>
        <w:jc w:val="both"/>
        <w:divId w:val="510070646"/>
        <w:rPr>
          <w:rFonts w:eastAsia="Times New Roman"/>
          <w:lang w:val="vi-VN"/>
        </w:rPr>
      </w:pPr>
      <w:r w:rsidRPr="00122EEA">
        <w:rPr>
          <w:b/>
          <w:bCs/>
          <w:lang w:val="vi-VN"/>
        </w:rPr>
        <w:t>Biên độ giá trị (Intensive Margin):</w:t>
      </w:r>
      <w:r w:rsidRPr="00122EEA">
        <w:rPr>
          <w:lang w:val="vi-VN"/>
        </w:rPr>
        <w:t xml:space="preserve"> Đối với các dòng thương mại còn tồn tại, độ sâu hiệp định (DTA depth) giúp bảo vệ kim ngạch (+2,84% ở cấp độ rủi ro song phương</w:t>
      </w:r>
      <w:r>
        <w:t>).</w:t>
      </w:r>
    </w:p>
    <w:p w14:paraId="259E51C4" w14:textId="0BA34226" w:rsidR="0039478D" w:rsidRPr="0039478D" w:rsidRDefault="0039478D" w:rsidP="0039478D">
      <w:pPr>
        <w:numPr>
          <w:ilvl w:val="1"/>
          <w:numId w:val="3"/>
        </w:numPr>
        <w:spacing w:before="100" w:beforeAutospacing="1" w:after="60"/>
        <w:jc w:val="both"/>
        <w:divId w:val="510070646"/>
        <w:rPr>
          <w:rFonts w:eastAsia="Times New Roman"/>
          <w:lang w:val="vi-VN"/>
        </w:rPr>
      </w:pPr>
      <w:r w:rsidRPr="00122EEA">
        <w:rPr>
          <w:b/>
          <w:bCs/>
          <w:lang w:val="vi-VN"/>
        </w:rPr>
        <w:t>Biên độ tồn tại liên kết (Extensive Margin):</w:t>
      </w:r>
      <w:r w:rsidRPr="00122EEA">
        <w:rPr>
          <w:lang w:val="vi-VN"/>
        </w:rPr>
        <w:t xml:space="preserve"> Trái ngược hoàn toàn, độ sâu hiệp định lại làm </w:t>
      </w:r>
      <w:r w:rsidRPr="00122EEA">
        <w:rPr>
          <w:b/>
          <w:bCs/>
          <w:lang w:val="vi-VN"/>
        </w:rPr>
        <w:t>tăng nguy cơ đứt gãy liên kết thương mại</w:t>
      </w:r>
      <w:r w:rsidRPr="00122EEA">
        <w:rPr>
          <w:lang w:val="vi-VN"/>
        </w:rPr>
        <w:t xml:space="preserve">. Cứ thêm 10 điều khoản ràng buộc pháp lý thì xác suất sống sót của liên kết giảm </w:t>
      </w:r>
      <w:r w:rsidRPr="00122EEA">
        <w:rPr>
          <w:b/>
          <w:bCs/>
          <w:lang w:val="vi-VN"/>
        </w:rPr>
        <w:t>0,52 điểm phần trăm</w:t>
      </w:r>
      <w:r w:rsidRPr="00122EEA">
        <w:rPr>
          <w:lang w:val="vi-VN"/>
        </w:rPr>
        <w:t xml:space="preserve"> (p = 0,007) khi rủi ro tăng 1 độ lệch chuẩn</w:t>
      </w:r>
      <w:r>
        <w:t>.</w:t>
      </w:r>
    </w:p>
    <w:p w14:paraId="28BBA7C6" w14:textId="73E13614" w:rsidR="0039478D" w:rsidRPr="004006B4" w:rsidRDefault="0039478D" w:rsidP="0039478D">
      <w:pPr>
        <w:numPr>
          <w:ilvl w:val="1"/>
          <w:numId w:val="3"/>
        </w:numPr>
        <w:spacing w:before="100" w:beforeAutospacing="1" w:after="60"/>
        <w:jc w:val="both"/>
        <w:divId w:val="510070646"/>
        <w:rPr>
          <w:rFonts w:eastAsia="Times New Roman"/>
          <w:lang w:val="vi-VN"/>
        </w:rPr>
      </w:pPr>
      <w:r w:rsidRPr="00122EEA">
        <w:rPr>
          <w:b/>
          <w:bCs/>
          <w:lang w:val="vi-VN"/>
        </w:rPr>
        <w:t>Cơ chế "Cắt tỉa chọn lọc" (Selective Pruning</w:t>
      </w:r>
      <w:r w:rsidRPr="00122EEA">
        <w:rPr>
          <w:lang w:val="vi-VN"/>
        </w:rPr>
        <w:t>): Đứt gãy tập trung chủ yếu ở các liên kết quy mô nhỏ (&lt; 100.000 USD). Chi phí tuân thủ cố định (quy tắc xuất xứ, chứng từ kiểm định) đè nặng lên các doanh nghiệp nhỏ, loại bỏ họ khỏi thị trường trong khi các doanh nghiệp lớn cốt lõi vẫn trụ vững</w:t>
      </w:r>
      <w:r>
        <w:t>.</w:t>
      </w:r>
    </w:p>
    <w:p w14:paraId="6EAB3C78" w14:textId="63901A6F" w:rsidR="004006B4" w:rsidRPr="0039478D" w:rsidRDefault="004006B4" w:rsidP="004006B4">
      <w:pPr>
        <w:numPr>
          <w:ilvl w:val="0"/>
          <w:numId w:val="3"/>
        </w:numPr>
        <w:spacing w:after="60"/>
        <w:jc w:val="both"/>
        <w:divId w:val="510070646"/>
        <w:rPr>
          <w:rFonts w:eastAsia="Times New Roman"/>
          <w:lang w:val="vi-VN"/>
        </w:rPr>
      </w:pPr>
      <w:r w:rsidRPr="00122EEA">
        <w:rPr>
          <w:b/>
          <w:bCs/>
          <w:lang w:val="vi-VN"/>
        </w:rPr>
        <w:t>Cảnh báo chính sách:</w:t>
      </w:r>
      <w:r w:rsidRPr="00122EEA">
        <w:rPr>
          <w:lang w:val="vi-VN"/>
        </w:rPr>
        <w:t xml:space="preserve"> Nếu chính phủ chỉ nhìn vào tổng giá trị xuất nhập khẩu (Trade Value), họ sẽ lầm tưởng hiệp định đang "bảo hiểm tốt", trong khi thực chất mạng lưới đối tác bên dưới đang bị co cụm và đứt gãy âm</w:t>
      </w:r>
      <w:r>
        <w:t xml:space="preserve"> t</w:t>
      </w:r>
      <w:r>
        <w:t>hầm.</w:t>
      </w:r>
    </w:p>
    <w:p w14:paraId="4BC01068" w14:textId="45FE10F9" w:rsidR="007E0CEE" w:rsidRPr="00122EEA" w:rsidRDefault="007E0CEE" w:rsidP="004006B4">
      <w:pPr>
        <w:pStyle w:val="Heading2"/>
        <w:spacing w:after="240"/>
        <w:jc w:val="both"/>
        <w:divId w:val="510070646"/>
        <w:rPr>
          <w:rFonts w:eastAsia="Times New Roman"/>
          <w:lang w:val="vi-VN"/>
        </w:rPr>
      </w:pPr>
      <w:r w:rsidRPr="00122EEA">
        <w:rPr>
          <w:rFonts w:eastAsia="Times New Roman"/>
          <w:lang w:val="vi-VN"/>
        </w:rPr>
        <w:t>2. BỐI CẢNH VÀ TÍNH CẤP THIẾT CỦA ĐỀ TÀI</w:t>
      </w:r>
    </w:p>
    <w:p w14:paraId="22425461" w14:textId="77777777" w:rsidR="007E0CEE" w:rsidRPr="00122EEA" w:rsidRDefault="007E0CEE" w:rsidP="0039478D">
      <w:pPr>
        <w:pStyle w:val="NormalWeb"/>
        <w:spacing w:before="0" w:beforeAutospacing="0"/>
        <w:jc w:val="both"/>
        <w:divId w:val="510070646"/>
        <w:rPr>
          <w:lang w:val="vi-VN"/>
        </w:rPr>
      </w:pPr>
      <w:r w:rsidRPr="00122EEA">
        <w:rPr>
          <w:lang w:val="vi-VN"/>
        </w:rPr>
        <w:t xml:space="preserve">Rủi ro địa chính trị (GPR) đang trở thành trạng thái bất định thường trực của thương mại quốc tế (Caldara &amp; Iacoviello, 2022; Gopinath et al., 2025). Đối với </w:t>
      </w:r>
      <w:r w:rsidRPr="00122EEA">
        <w:rPr>
          <w:rStyle w:val="Strong"/>
          <w:lang w:val="vi-VN"/>
        </w:rPr>
        <w:t xml:space="preserve">hàng hóa trung </w:t>
      </w:r>
      <w:r w:rsidRPr="00122EEA">
        <w:rPr>
          <w:rStyle w:val="Strong"/>
          <w:lang w:val="vi-VN"/>
        </w:rPr>
        <w:lastRenderedPageBreak/>
        <w:t>gian</w:t>
      </w:r>
      <w:r w:rsidRPr="00122EEA">
        <w:rPr>
          <w:lang w:val="vi-VN"/>
        </w:rPr>
        <w:t xml:space="preserve"> (linh kiện, bán thành phẩm), các mối quan hệ thương mại đòi hỏi mức độ đầu tư đặc thù theo đối tác rất lớn (relationship-specific investments), khó thay thế trong ngắn hạn (Antràs &amp; Helpman, 2004; Boehm et al., 2019).</w:t>
      </w:r>
    </w:p>
    <w:p w14:paraId="65ABC49C" w14:textId="77777777" w:rsidR="007E0CEE" w:rsidRPr="00122EEA" w:rsidRDefault="007E0CEE" w:rsidP="0039478D">
      <w:pPr>
        <w:pStyle w:val="NormalWeb"/>
        <w:spacing w:before="0" w:beforeAutospacing="0"/>
        <w:jc w:val="both"/>
        <w:divId w:val="510070646"/>
        <w:rPr>
          <w:lang w:val="vi-VN"/>
        </w:rPr>
      </w:pPr>
      <w:r w:rsidRPr="00122EEA">
        <w:rPr>
          <w:lang w:val="vi-VN"/>
        </w:rPr>
        <w:t xml:space="preserve">Đề tài giải quyết </w:t>
      </w:r>
      <w:r w:rsidRPr="00122EEA">
        <w:rPr>
          <w:rStyle w:val="Strong"/>
          <w:lang w:val="vi-VN"/>
        </w:rPr>
        <w:t>3 khoảng trống nghiên cứu (Research Gaps)</w:t>
      </w:r>
      <w:r w:rsidRPr="00122EEA">
        <w:rPr>
          <w:lang w:val="vi-VN"/>
        </w:rPr>
        <w:t xml:space="preserve"> lớn của văn thuyết quốc tế:</w:t>
      </w:r>
    </w:p>
    <w:p w14:paraId="09A2776E" w14:textId="77777777" w:rsidR="007E0CEE" w:rsidRPr="00122EEA" w:rsidRDefault="007E0CEE" w:rsidP="0039478D">
      <w:pPr>
        <w:numPr>
          <w:ilvl w:val="0"/>
          <w:numId w:val="2"/>
        </w:numPr>
        <w:spacing w:after="60"/>
        <w:jc w:val="both"/>
        <w:divId w:val="510070646"/>
        <w:rPr>
          <w:rFonts w:eastAsia="Times New Roman"/>
          <w:lang w:val="vi-VN"/>
        </w:rPr>
      </w:pPr>
      <w:r w:rsidRPr="00122EEA">
        <w:rPr>
          <w:rStyle w:val="Strong"/>
          <w:rFonts w:eastAsia="Times New Roman"/>
          <w:lang w:val="vi-VN"/>
        </w:rPr>
        <w:t>Cấp độ nghiên cứu vi mô:</w:t>
      </w:r>
      <w:r w:rsidRPr="00122EEA">
        <w:rPr>
          <w:rFonts w:eastAsia="Times New Roman"/>
          <w:lang w:val="vi-VN"/>
        </w:rPr>
        <w:t xml:space="preserve"> Hầu hết nghiên cứu về GPR hiện nay chỉ đo lường tổng thể vĩ mô cấp quốc gia hoặc ngành lớn, chưa đi vào cấp độ song phương theo từng dòng sản phẩm chi tiết (pair–product intermediate goods) nơi các cơ chế chuỗi cung ứng thực sự vận hành.</w:t>
      </w:r>
    </w:p>
    <w:p w14:paraId="38CC79DF" w14:textId="77777777" w:rsidR="007E0CEE" w:rsidRPr="00122EEA" w:rsidRDefault="007E0CEE" w:rsidP="0039478D">
      <w:pPr>
        <w:numPr>
          <w:ilvl w:val="0"/>
          <w:numId w:val="2"/>
        </w:numPr>
        <w:spacing w:after="60"/>
        <w:jc w:val="both"/>
        <w:divId w:val="510070646"/>
        <w:rPr>
          <w:rFonts w:eastAsia="Times New Roman"/>
          <w:lang w:val="vi-VN"/>
        </w:rPr>
      </w:pPr>
      <w:r w:rsidRPr="00122EEA">
        <w:rPr>
          <w:rStyle w:val="Strong"/>
          <w:rFonts w:eastAsia="Times New Roman"/>
          <w:lang w:val="vi-VN"/>
        </w:rPr>
        <w:t>Bối cảnh cú sốc:</w:t>
      </w:r>
      <w:r w:rsidRPr="00122EEA">
        <w:rPr>
          <w:rFonts w:eastAsia="Times New Roman"/>
          <w:lang w:val="vi-VN"/>
        </w:rPr>
        <w:t xml:space="preserve"> Văn thuyết về DTA (World Bank) chủ yếu nghiên cứu tác động trong thời bình (tạo lập thương mại, thu hút FDI), chưa từng kiểm định xem DTA đóng vai trò giảm chấn hay khuếch đại khi xảy ra các cú sốc địa chính trị cấp tính.</w:t>
      </w:r>
    </w:p>
    <w:p w14:paraId="176C41B9" w14:textId="4576AD4D" w:rsidR="007E0CEE" w:rsidRPr="00122EEA" w:rsidRDefault="007E0CEE" w:rsidP="0039478D">
      <w:pPr>
        <w:numPr>
          <w:ilvl w:val="0"/>
          <w:numId w:val="2"/>
        </w:numPr>
        <w:spacing w:before="100" w:beforeAutospacing="1" w:after="60"/>
        <w:jc w:val="both"/>
        <w:divId w:val="510070646"/>
        <w:rPr>
          <w:rFonts w:eastAsia="Times New Roman"/>
          <w:lang w:val="vi-VN"/>
        </w:rPr>
      </w:pPr>
      <w:r w:rsidRPr="00122EEA">
        <w:rPr>
          <w:rStyle w:val="Strong"/>
          <w:rFonts w:eastAsia="Times New Roman"/>
          <w:lang w:val="vi-VN"/>
        </w:rPr>
        <w:t>Sự khác biệt giữa hai biên độ:</w:t>
      </w:r>
      <w:r w:rsidRPr="00122EEA">
        <w:rPr>
          <w:rFonts w:eastAsia="Times New Roman"/>
          <w:lang w:val="vi-VN"/>
        </w:rPr>
        <w:t xml:space="preserve"> Hầu hết bằng chứng chỉ dựa trên giá trị kim ngạch (Trade Value), bỏ qua biên độ mở rộng về sự tồn tại của mối quan hệ thương mại (Trade-Link Survival) </w:t>
      </w:r>
      <w:r w:rsidR="00122EEA" w:rsidRPr="00122EEA">
        <w:rPr>
          <w:rFonts w:eastAsia="Times New Roman"/>
          <w:lang w:val="vi-VN"/>
        </w:rPr>
        <w:t>–</w:t>
      </w:r>
      <w:r w:rsidRPr="00122EEA">
        <w:rPr>
          <w:rFonts w:eastAsia="Times New Roman"/>
          <w:lang w:val="vi-VN"/>
        </w:rPr>
        <w:t xml:space="preserve"> nơi các chi phí cố định thực sự quyết định việc doanh nghiệp tiếp tục hay rút lui khỏi thị trường.</w:t>
      </w:r>
    </w:p>
    <w:p w14:paraId="2F22044A" w14:textId="77777777" w:rsidR="007E0CEE" w:rsidRPr="00122EEA" w:rsidRDefault="007E0CEE" w:rsidP="0039478D">
      <w:pPr>
        <w:pStyle w:val="Heading2"/>
        <w:jc w:val="both"/>
        <w:divId w:val="510070646"/>
        <w:rPr>
          <w:rFonts w:eastAsia="Times New Roman"/>
          <w:lang w:val="vi-VN"/>
        </w:rPr>
      </w:pPr>
      <w:r w:rsidRPr="00122EEA">
        <w:rPr>
          <w:rFonts w:eastAsia="Times New Roman"/>
          <w:lang w:val="vi-VN"/>
        </w:rPr>
        <w:t>3. CÂU HỎI VÀ MỤC TIÊU NGHIÊN CỨU</w:t>
      </w:r>
    </w:p>
    <w:p w14:paraId="470B598F" w14:textId="77777777" w:rsidR="007E0CEE" w:rsidRPr="00122EEA" w:rsidRDefault="007E0CEE" w:rsidP="0039478D">
      <w:pPr>
        <w:pStyle w:val="Heading3"/>
        <w:jc w:val="both"/>
        <w:divId w:val="510070646"/>
        <w:rPr>
          <w:rFonts w:eastAsia="Times New Roman"/>
          <w:color w:val="auto"/>
          <w:lang w:val="vi-VN"/>
        </w:rPr>
      </w:pPr>
      <w:r w:rsidRPr="00122EEA">
        <w:rPr>
          <w:rFonts w:eastAsia="Times New Roman"/>
          <w:color w:val="auto"/>
          <w:lang w:val="vi-VN"/>
        </w:rPr>
        <w:t>3.1. Bốn câu hỏi nghiên cứu trọng tâm (Research Questions)</w:t>
      </w:r>
    </w:p>
    <w:p w14:paraId="19779227" w14:textId="77777777" w:rsidR="007E0CEE" w:rsidRPr="00122EEA" w:rsidRDefault="007E0CEE" w:rsidP="0039478D">
      <w:pPr>
        <w:numPr>
          <w:ilvl w:val="0"/>
          <w:numId w:val="3"/>
        </w:numPr>
        <w:spacing w:before="100" w:beforeAutospacing="1" w:after="60"/>
        <w:jc w:val="both"/>
        <w:divId w:val="510070646"/>
        <w:rPr>
          <w:rFonts w:eastAsia="Times New Roman"/>
          <w:lang w:val="vi-VN"/>
        </w:rPr>
      </w:pPr>
      <w:r w:rsidRPr="00122EEA">
        <w:rPr>
          <w:rStyle w:val="Strong"/>
          <w:rFonts w:eastAsia="Times New Roman"/>
          <w:lang w:val="vi-VN"/>
        </w:rPr>
        <w:t>RQ1:</w:t>
      </w:r>
      <w:r w:rsidRPr="00122EEA">
        <w:rPr>
          <w:rFonts w:eastAsia="Times New Roman"/>
          <w:lang w:val="vi-VN"/>
        </w:rPr>
        <w:t xml:space="preserve"> Khi rủi ro địa chính trị toàn cầu tăng lên, thương mại hàng hóa trung gian giữa các đối tác có hiệp định thương mại ưu đãi (FTA) có suy giảm mạnh hơn so với các cặp quốc gia phi FTA hay không, và mức độ sụt giảm có phân hóa theo mức độ phức tạp của chuỗi giá trị (GVC complexity) và tính đặc thù tài sản của ngành hay không?</w:t>
      </w:r>
    </w:p>
    <w:p w14:paraId="1B2E956C" w14:textId="77777777" w:rsidR="007E0CEE" w:rsidRPr="00122EEA" w:rsidRDefault="007E0CEE" w:rsidP="0039478D">
      <w:pPr>
        <w:numPr>
          <w:ilvl w:val="0"/>
          <w:numId w:val="3"/>
        </w:numPr>
        <w:spacing w:before="100" w:beforeAutospacing="1" w:after="60"/>
        <w:jc w:val="both"/>
        <w:divId w:val="510070646"/>
        <w:rPr>
          <w:rFonts w:eastAsia="Times New Roman"/>
          <w:lang w:val="vi-VN"/>
        </w:rPr>
      </w:pPr>
      <w:r w:rsidRPr="00122EEA">
        <w:rPr>
          <w:rStyle w:val="Strong"/>
          <w:rFonts w:eastAsia="Times New Roman"/>
          <w:lang w:val="vi-VN"/>
        </w:rPr>
        <w:t>RQ2:</w:t>
      </w:r>
      <w:r w:rsidRPr="00122EEA">
        <w:rPr>
          <w:rFonts w:eastAsia="Times New Roman"/>
          <w:lang w:val="vi-VN"/>
        </w:rPr>
        <w:t xml:space="preserve"> Độ sâu thể chế của hiệp định (DTA depth - đo bằng số điều khoản có tính ràng buộc pháp lý) đóng vai trò giảm chấn (buffering) hay khuếch đại (amplifying) phản ứng của giá trị thương mại trước các cú sốc địa chính trị?</w:t>
      </w:r>
    </w:p>
    <w:p w14:paraId="65270D00" w14:textId="77777777" w:rsidR="007E0CEE" w:rsidRPr="00122EEA" w:rsidRDefault="007E0CEE" w:rsidP="0039478D">
      <w:pPr>
        <w:numPr>
          <w:ilvl w:val="0"/>
          <w:numId w:val="3"/>
        </w:numPr>
        <w:spacing w:before="100" w:beforeAutospacing="1" w:after="60"/>
        <w:jc w:val="both"/>
        <w:divId w:val="510070646"/>
        <w:rPr>
          <w:rFonts w:eastAsia="Times New Roman"/>
          <w:lang w:val="vi-VN"/>
        </w:rPr>
      </w:pPr>
      <w:r w:rsidRPr="00122EEA">
        <w:rPr>
          <w:rStyle w:val="Strong"/>
          <w:rFonts w:eastAsia="Times New Roman"/>
          <w:lang w:val="vi-VN"/>
        </w:rPr>
        <w:t>RQ3:</w:t>
      </w:r>
      <w:r w:rsidRPr="00122EEA">
        <w:rPr>
          <w:rFonts w:eastAsia="Times New Roman"/>
          <w:lang w:val="vi-VN"/>
        </w:rPr>
        <w:t xml:space="preserve"> Tác động điều tiết của độ sâu hiệp định có sự phân kỳ giữa giá trị thương mại (Trade Value) và sự tồn tại của mối quan hệ thương mại (Trade-Link Survival) hay không?</w:t>
      </w:r>
    </w:p>
    <w:p w14:paraId="262A9EC1" w14:textId="77777777" w:rsidR="007E0CEE" w:rsidRPr="00122EEA" w:rsidRDefault="007E0CEE" w:rsidP="0039478D">
      <w:pPr>
        <w:numPr>
          <w:ilvl w:val="0"/>
          <w:numId w:val="3"/>
        </w:numPr>
        <w:spacing w:before="100" w:beforeAutospacing="1" w:after="60"/>
        <w:jc w:val="both"/>
        <w:divId w:val="510070646"/>
        <w:rPr>
          <w:rFonts w:eastAsia="Times New Roman"/>
          <w:lang w:val="vi-VN"/>
        </w:rPr>
      </w:pPr>
      <w:r w:rsidRPr="00122EEA">
        <w:rPr>
          <w:rStyle w:val="Strong"/>
          <w:rFonts w:eastAsia="Times New Roman"/>
          <w:lang w:val="vi-VN"/>
        </w:rPr>
        <w:t>RQ4:</w:t>
      </w:r>
      <w:r w:rsidRPr="00122EEA">
        <w:rPr>
          <w:rFonts w:eastAsia="Times New Roman"/>
          <w:lang w:val="vi-VN"/>
        </w:rPr>
        <w:t xml:space="preserve"> Bất kỳ tác động tiêu cực nào của độ sâu hiệp định đối với khả năng tái gia nhập thị trường sau khi đứt gãy (Post-exit Re-entry) là ma sát tạm thời (transitory friction) hay mang tính vĩnh viễn (hysteresis)?</w:t>
      </w:r>
    </w:p>
    <w:p w14:paraId="4C191F37" w14:textId="77777777" w:rsidR="007E0CEE" w:rsidRPr="00122EEA" w:rsidRDefault="007E0CEE" w:rsidP="0039478D">
      <w:pPr>
        <w:pStyle w:val="Heading3"/>
        <w:jc w:val="both"/>
        <w:divId w:val="510070646"/>
        <w:rPr>
          <w:rFonts w:eastAsia="Times New Roman"/>
          <w:color w:val="auto"/>
          <w:lang w:val="vi-VN"/>
        </w:rPr>
      </w:pPr>
      <w:r w:rsidRPr="00122EEA">
        <w:rPr>
          <w:rFonts w:eastAsia="Times New Roman"/>
          <w:color w:val="auto"/>
          <w:lang w:val="vi-VN"/>
        </w:rPr>
        <w:t>3.2. Mục tiêu nghiên cứu</w:t>
      </w:r>
    </w:p>
    <w:p w14:paraId="7ACF574B" w14:textId="77777777" w:rsidR="007E0CEE" w:rsidRPr="00122EEA" w:rsidRDefault="007E0CEE" w:rsidP="0039478D">
      <w:pPr>
        <w:numPr>
          <w:ilvl w:val="0"/>
          <w:numId w:val="4"/>
        </w:numPr>
        <w:spacing w:before="100" w:beforeAutospacing="1" w:after="60"/>
        <w:jc w:val="both"/>
        <w:divId w:val="510070646"/>
        <w:rPr>
          <w:rFonts w:eastAsia="Times New Roman"/>
          <w:lang w:val="vi-VN"/>
        </w:rPr>
      </w:pPr>
      <w:r w:rsidRPr="00122EEA">
        <w:rPr>
          <w:rFonts w:eastAsia="Times New Roman"/>
          <w:lang w:val="vi-VN"/>
        </w:rPr>
        <w:t>Làm rõ vai trò điều tiết của hiệp định thương mại và độ sâu thể chế đối với sự kiên cường của chuỗi cung ứng hàng hóa trung gian.</w:t>
      </w:r>
    </w:p>
    <w:p w14:paraId="7F54E209" w14:textId="77777777" w:rsidR="007E0CEE" w:rsidRPr="00122EEA" w:rsidRDefault="007E0CEE" w:rsidP="0039478D">
      <w:pPr>
        <w:numPr>
          <w:ilvl w:val="0"/>
          <w:numId w:val="4"/>
        </w:numPr>
        <w:spacing w:before="100" w:beforeAutospacing="1" w:after="60"/>
        <w:jc w:val="both"/>
        <w:divId w:val="510070646"/>
        <w:rPr>
          <w:rFonts w:eastAsia="Times New Roman"/>
          <w:lang w:val="vi-VN"/>
        </w:rPr>
      </w:pPr>
      <w:r w:rsidRPr="00122EEA">
        <w:rPr>
          <w:rFonts w:eastAsia="Times New Roman"/>
          <w:lang w:val="vi-VN"/>
        </w:rPr>
        <w:t>Phân tách toàn diện phản ứng trên cả hai biên độ: Giá trị thương mại (Intensive Margin) và Tỷ lệ sống sót / Phục hồi sau đứt gãy (Extensive Margin).</w:t>
      </w:r>
    </w:p>
    <w:p w14:paraId="767074F8" w14:textId="77777777" w:rsidR="007E0CEE" w:rsidRPr="00122EEA" w:rsidRDefault="007E0CEE" w:rsidP="0039478D">
      <w:pPr>
        <w:numPr>
          <w:ilvl w:val="0"/>
          <w:numId w:val="4"/>
        </w:numPr>
        <w:spacing w:before="100" w:beforeAutospacing="1" w:after="60"/>
        <w:jc w:val="both"/>
        <w:divId w:val="510070646"/>
        <w:rPr>
          <w:rFonts w:eastAsia="Times New Roman"/>
          <w:lang w:val="vi-VN"/>
        </w:rPr>
      </w:pPr>
      <w:r w:rsidRPr="00122EEA">
        <w:rPr>
          <w:rFonts w:eastAsia="Times New Roman"/>
          <w:lang w:val="vi-VN"/>
        </w:rPr>
        <w:lastRenderedPageBreak/>
        <w:t>Bóc tách cơ chế truyền dẫn qua 10 nhóm ngành chế biến chế tạo, 5 nhóm chính sách DTA và 14 điều khoản pháp lý cụ thể.</w:t>
      </w:r>
    </w:p>
    <w:p w14:paraId="5344381E" w14:textId="77777777" w:rsidR="007E0CEE" w:rsidRPr="00122EEA" w:rsidRDefault="007E0CEE" w:rsidP="0039478D">
      <w:pPr>
        <w:numPr>
          <w:ilvl w:val="0"/>
          <w:numId w:val="4"/>
        </w:numPr>
        <w:spacing w:before="100" w:beforeAutospacing="1" w:after="60"/>
        <w:jc w:val="both"/>
        <w:divId w:val="510070646"/>
        <w:rPr>
          <w:rFonts w:eastAsia="Times New Roman"/>
          <w:lang w:val="vi-VN"/>
        </w:rPr>
      </w:pPr>
      <w:r w:rsidRPr="00122EEA">
        <w:rPr>
          <w:rFonts w:eastAsia="Times New Roman"/>
          <w:lang w:val="vi-VN"/>
        </w:rPr>
        <w:t>Đề xuất các hàm ý chính sách sắc bén cho Việt Nam trong thiết kế quy tắc xuất xứ và hỗ trợ doanh nghiệp vừa và nhỏ (SMEs) ứng phó với bất định toàn cầu.</w:t>
      </w:r>
    </w:p>
    <w:p w14:paraId="7B29B1A2" w14:textId="77777777" w:rsidR="007E0CEE" w:rsidRPr="00122EEA" w:rsidRDefault="007E0CEE" w:rsidP="0039478D">
      <w:pPr>
        <w:pStyle w:val="Heading2"/>
        <w:jc w:val="both"/>
        <w:divId w:val="510070646"/>
        <w:rPr>
          <w:rFonts w:eastAsia="Times New Roman"/>
          <w:lang w:val="vi-VN"/>
        </w:rPr>
      </w:pPr>
      <w:r w:rsidRPr="00122EEA">
        <w:rPr>
          <w:rFonts w:eastAsia="Times New Roman"/>
          <w:lang w:val="vi-VN"/>
        </w:rPr>
        <w:t>4. KHUNG LÝ THUYẾT VÀ GIẢ THUYẾT NGHIÊN CỨU</w:t>
      </w:r>
    </w:p>
    <w:p w14:paraId="099092C9" w14:textId="77777777" w:rsidR="007E0CEE" w:rsidRPr="00122EEA" w:rsidRDefault="007E0CEE" w:rsidP="0039478D">
      <w:pPr>
        <w:pStyle w:val="NormalWeb"/>
        <w:jc w:val="both"/>
        <w:divId w:val="510070646"/>
        <w:rPr>
          <w:lang w:val="vi-VN"/>
        </w:rPr>
      </w:pPr>
      <w:r w:rsidRPr="00122EEA">
        <w:rPr>
          <w:lang w:val="vi-VN"/>
        </w:rPr>
        <w:t>Nghiên cứu kết hợp 3 nền tảng lý thuyết:</w:t>
      </w:r>
    </w:p>
    <w:p w14:paraId="0A5BD11C" w14:textId="77777777" w:rsidR="007E0CEE" w:rsidRPr="00122EEA" w:rsidRDefault="007E0CEE" w:rsidP="0039478D">
      <w:pPr>
        <w:numPr>
          <w:ilvl w:val="0"/>
          <w:numId w:val="5"/>
        </w:numPr>
        <w:spacing w:before="100" w:beforeAutospacing="1" w:after="60"/>
        <w:jc w:val="both"/>
        <w:divId w:val="510070646"/>
        <w:rPr>
          <w:rFonts w:eastAsia="Times New Roman"/>
          <w:lang w:val="vi-VN"/>
        </w:rPr>
      </w:pPr>
      <w:r w:rsidRPr="00122EEA">
        <w:rPr>
          <w:rStyle w:val="Strong"/>
          <w:rFonts w:eastAsia="Times New Roman"/>
          <w:lang w:val="vi-VN"/>
        </w:rPr>
        <w:t>Lý thuyết Quyền chọn thực (Real Options Theory - Dixit, 1989; Bloom, 2009):</w:t>
      </w:r>
      <w:r w:rsidRPr="00122EEA">
        <w:rPr>
          <w:rFonts w:eastAsia="Times New Roman"/>
          <w:lang w:val="vi-VN"/>
        </w:rPr>
        <w:t xml:space="preserve"> Bất định làm tăng giá trị của việc "chờ đợi", khiến doanh nghiệp trì hoãn đầu tư và cắt giảm đơn hàng nhập khẩu.</w:t>
      </w:r>
    </w:p>
    <w:p w14:paraId="7F71D976" w14:textId="77777777" w:rsidR="007E0CEE" w:rsidRPr="00122EEA" w:rsidRDefault="007E0CEE" w:rsidP="0039478D">
      <w:pPr>
        <w:numPr>
          <w:ilvl w:val="0"/>
          <w:numId w:val="5"/>
        </w:numPr>
        <w:spacing w:before="100" w:beforeAutospacing="1" w:after="60"/>
        <w:jc w:val="both"/>
        <w:divId w:val="510070646"/>
        <w:rPr>
          <w:rFonts w:eastAsia="Times New Roman"/>
          <w:lang w:val="vi-VN"/>
        </w:rPr>
      </w:pPr>
      <w:r w:rsidRPr="00122EEA">
        <w:rPr>
          <w:rStyle w:val="Strong"/>
          <w:rFonts w:eastAsia="Times New Roman"/>
          <w:lang w:val="vi-VN"/>
        </w:rPr>
        <w:t>Lý thuyết Tìm kiếm nguồn cung toàn cầu &amp; Hợp đồng không hoàn hảo (Antràs &amp; Helpman, 2004; Horn et al., 2010):</w:t>
      </w:r>
      <w:r w:rsidRPr="00122EEA">
        <w:rPr>
          <w:rFonts w:eastAsia="Times New Roman"/>
          <w:lang w:val="vi-VN"/>
        </w:rPr>
        <w:t xml:space="preserve"> Hiệp định càng sâu càng thúc đẩy hội nhập chuỗi giá trị và đầu tư chuyên biệt, dẫn đến sự phụ thuộc lẫn nhau cao độ (exposure).</w:t>
      </w:r>
    </w:p>
    <w:p w14:paraId="4DB09035" w14:textId="77777777" w:rsidR="007E0CEE" w:rsidRPr="00122EEA" w:rsidRDefault="007E0CEE" w:rsidP="0039478D">
      <w:pPr>
        <w:numPr>
          <w:ilvl w:val="0"/>
          <w:numId w:val="5"/>
        </w:numPr>
        <w:spacing w:before="100" w:beforeAutospacing="1" w:after="60"/>
        <w:jc w:val="both"/>
        <w:divId w:val="510070646"/>
        <w:rPr>
          <w:rFonts w:eastAsia="Times New Roman"/>
          <w:lang w:val="vi-VN"/>
        </w:rPr>
      </w:pPr>
      <w:r w:rsidRPr="00122EEA">
        <w:rPr>
          <w:rStyle w:val="Strong"/>
          <w:rFonts w:eastAsia="Times New Roman"/>
          <w:lang w:val="vi-VN"/>
        </w:rPr>
        <w:t>Lý thuyết Doanh nghiệp dị hạt &amp; Chi phí tuân thủ cố định (Melitz, 2003; Anson et al., 2005):</w:t>
      </w:r>
      <w:r w:rsidRPr="00122EEA">
        <w:rPr>
          <w:rFonts w:eastAsia="Times New Roman"/>
          <w:lang w:val="vi-VN"/>
        </w:rPr>
        <w:t xml:space="preserve"> Việc duy trì ưu đãi thuế quan đòi hỏi chi phí hành chính cố định (quy tắc xuất xứ, tiêu chuẩn kỹ thuật). Khi bất định tăng cao, các giao dịch biên quy mô nhỏ sẽ bị loại bỏ trước tiên.</w:t>
      </w:r>
    </w:p>
    <w:p w14:paraId="09992357" w14:textId="77777777" w:rsidR="007E0CEE" w:rsidRPr="00122EEA" w:rsidRDefault="007E0CEE" w:rsidP="0039478D">
      <w:pPr>
        <w:pStyle w:val="NormalWeb"/>
        <w:jc w:val="both"/>
        <w:divId w:val="510070646"/>
        <w:rPr>
          <w:lang w:val="vi-VN"/>
        </w:rPr>
      </w:pPr>
      <w:r w:rsidRPr="00122EEA">
        <w:rPr>
          <w:rStyle w:val="Strong"/>
          <w:lang w:val="vi-VN"/>
        </w:rPr>
        <w:t>Hệ thống giả thuyết:</w:t>
      </w:r>
    </w:p>
    <w:p w14:paraId="52ED6B2A" w14:textId="77777777" w:rsidR="007E0CEE" w:rsidRPr="00122EEA" w:rsidRDefault="007E0CEE" w:rsidP="0039478D">
      <w:pPr>
        <w:numPr>
          <w:ilvl w:val="0"/>
          <w:numId w:val="6"/>
        </w:numPr>
        <w:spacing w:before="100" w:beforeAutospacing="1" w:after="60"/>
        <w:jc w:val="both"/>
        <w:divId w:val="510070646"/>
        <w:rPr>
          <w:rFonts w:eastAsia="Times New Roman"/>
          <w:lang w:val="vi-VN"/>
        </w:rPr>
      </w:pPr>
      <w:r w:rsidRPr="00122EEA">
        <w:rPr>
          <w:rStyle w:val="Strong"/>
          <w:rFonts w:eastAsia="Times New Roman"/>
          <w:lang w:val="vi-VN"/>
        </w:rPr>
        <w:t>Giả thuyết H1 (Supply-Chain Exposure):</w:t>
      </w:r>
      <w:r w:rsidRPr="00122EEA">
        <w:rPr>
          <w:rFonts w:eastAsia="Times New Roman"/>
          <w:lang w:val="vi-VN"/>
        </w:rPr>
        <w:t xml:space="preserve"> Rủi ro địa chính trị làm sụt giảm thương mại hàng trung gian giữa các đối tác FTA mạnh hơn đối tác phi FTA, tập trung ở các ngành thâm dụng GVC.</w:t>
      </w:r>
    </w:p>
    <w:p w14:paraId="79350AB0" w14:textId="77777777" w:rsidR="007E0CEE" w:rsidRPr="00122EEA" w:rsidRDefault="007E0CEE" w:rsidP="0039478D">
      <w:pPr>
        <w:numPr>
          <w:ilvl w:val="0"/>
          <w:numId w:val="6"/>
        </w:numPr>
        <w:spacing w:before="100" w:beforeAutospacing="1" w:after="60"/>
        <w:jc w:val="both"/>
        <w:divId w:val="510070646"/>
        <w:rPr>
          <w:rFonts w:eastAsia="Times New Roman"/>
          <w:lang w:val="vi-VN"/>
        </w:rPr>
      </w:pPr>
      <w:r w:rsidRPr="00122EEA">
        <w:rPr>
          <w:rStyle w:val="Strong"/>
          <w:rFonts w:eastAsia="Times New Roman"/>
          <w:lang w:val="vi-VN"/>
        </w:rPr>
        <w:t>Giả thuyết H2a (Buffering) vs H2b (Inflexibility):</w:t>
      </w:r>
      <w:r w:rsidRPr="00122EEA">
        <w:rPr>
          <w:rFonts w:eastAsia="Times New Roman"/>
          <w:lang w:val="vi-VN"/>
        </w:rPr>
        <w:t xml:space="preserve"> Độ sâu hiệp định làm giảm nhẹ (H2a) HOẶC khuếch đại (H2b) tác động tiêu cực của rủi ro địa chính trị lên giá trị thương mại.</w:t>
      </w:r>
    </w:p>
    <w:p w14:paraId="02E7F961" w14:textId="77777777" w:rsidR="007E0CEE" w:rsidRPr="00122EEA" w:rsidRDefault="007E0CEE" w:rsidP="0039478D">
      <w:pPr>
        <w:numPr>
          <w:ilvl w:val="0"/>
          <w:numId w:val="6"/>
        </w:numPr>
        <w:spacing w:before="100" w:beforeAutospacing="1" w:after="60"/>
        <w:jc w:val="both"/>
        <w:divId w:val="510070646"/>
        <w:rPr>
          <w:rFonts w:eastAsia="Times New Roman"/>
          <w:lang w:val="vi-VN"/>
        </w:rPr>
      </w:pPr>
      <w:r w:rsidRPr="00122EEA">
        <w:rPr>
          <w:rStyle w:val="Strong"/>
          <w:rFonts w:eastAsia="Times New Roman"/>
          <w:lang w:val="vi-VN"/>
        </w:rPr>
        <w:t>Giả thuyết H3 (Two-Margin Divergence &amp; Selective Pruning):</w:t>
      </w:r>
      <w:r w:rsidRPr="00122EEA">
        <w:rPr>
          <w:rFonts w:eastAsia="Times New Roman"/>
          <w:lang w:val="vi-VN"/>
        </w:rPr>
        <w:t xml:space="preserve"> (a) Dưới cú sốc GPR, độ sâu hiệp định làm giảm xác suất sống sót của liên kết thương mại dù giá trị của các liên kết còn lại vẫn được bảo tồn; (b) Tác động bất lợi lên tái gia nhập chỉ là ma sát tạm thời.</w:t>
      </w:r>
    </w:p>
    <w:p w14:paraId="1856A009" w14:textId="77777777" w:rsidR="007E0CEE" w:rsidRPr="00122EEA" w:rsidRDefault="007E0CEE" w:rsidP="0039478D">
      <w:pPr>
        <w:pStyle w:val="Heading2"/>
        <w:jc w:val="both"/>
        <w:divId w:val="510070646"/>
        <w:rPr>
          <w:rFonts w:eastAsia="Times New Roman"/>
          <w:lang w:val="vi-VN"/>
        </w:rPr>
      </w:pPr>
      <w:r w:rsidRPr="00122EEA">
        <w:rPr>
          <w:rFonts w:eastAsia="Times New Roman"/>
          <w:lang w:val="vi-VN"/>
        </w:rPr>
        <w:t>5. PHẠM VI NGHIÊN CỨU VÀ DỮ LIỆU</w:t>
      </w:r>
    </w:p>
    <w:tbl>
      <w:tblPr>
        <w:tblW w:w="5000" w:type="pct"/>
        <w:tblCellMar>
          <w:top w:w="15" w:type="dxa"/>
          <w:left w:w="15" w:type="dxa"/>
          <w:bottom w:w="15" w:type="dxa"/>
          <w:right w:w="15" w:type="dxa"/>
        </w:tblCellMar>
        <w:tblLook w:val="04A0" w:firstRow="1" w:lastRow="0" w:firstColumn="1" w:lastColumn="0" w:noHBand="0" w:noVBand="1"/>
      </w:tblPr>
      <w:tblGrid>
        <w:gridCol w:w="2335"/>
        <w:gridCol w:w="7005"/>
      </w:tblGrid>
      <w:tr w:rsidR="004526A1" w:rsidRPr="00122EEA" w14:paraId="11A3349F" w14:textId="77777777">
        <w:trPr>
          <w:divId w:val="510070646"/>
        </w:trPr>
        <w:tc>
          <w:tcPr>
            <w:tcW w:w="1250" w:type="pct"/>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4E4629AD" w14:textId="77777777" w:rsidR="007E0CEE" w:rsidRPr="00122EEA" w:rsidRDefault="007E0CEE" w:rsidP="0039478D">
            <w:pPr>
              <w:spacing w:after="240"/>
              <w:jc w:val="both"/>
              <w:rPr>
                <w:rFonts w:eastAsia="Times New Roman"/>
                <w:b/>
                <w:bCs/>
                <w:sz w:val="23"/>
                <w:szCs w:val="23"/>
              </w:rPr>
            </w:pPr>
            <w:r w:rsidRPr="00122EEA">
              <w:rPr>
                <w:rFonts w:eastAsia="Times New Roman"/>
                <w:b/>
                <w:bCs/>
                <w:sz w:val="23"/>
                <w:szCs w:val="23"/>
              </w:rPr>
              <w:t>Tiêu chí</w:t>
            </w:r>
          </w:p>
        </w:tc>
        <w:tc>
          <w:tcPr>
            <w:tcW w:w="3750" w:type="pct"/>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74B9A95C" w14:textId="77777777" w:rsidR="007E0CEE" w:rsidRPr="00122EEA" w:rsidRDefault="007E0CEE" w:rsidP="0039478D">
            <w:pPr>
              <w:spacing w:after="240"/>
              <w:jc w:val="both"/>
              <w:rPr>
                <w:rFonts w:eastAsia="Times New Roman"/>
                <w:b/>
                <w:bCs/>
                <w:sz w:val="23"/>
                <w:szCs w:val="23"/>
              </w:rPr>
            </w:pPr>
            <w:r w:rsidRPr="00122EEA">
              <w:rPr>
                <w:rFonts w:eastAsia="Times New Roman"/>
                <w:b/>
                <w:bCs/>
                <w:sz w:val="23"/>
                <w:szCs w:val="23"/>
              </w:rPr>
              <w:t>Quy mô &amp; Mô tả chi tiết</w:t>
            </w:r>
          </w:p>
        </w:tc>
      </w:tr>
      <w:tr w:rsidR="004526A1" w:rsidRPr="00122EEA" w14:paraId="0EC99ED7"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3D267787"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Phạm vi không gian</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7C43FA0"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160 nền kinh tế</w:t>
            </w:r>
            <w:r w:rsidRPr="00122EEA">
              <w:rPr>
                <w:rFonts w:eastAsia="Times New Roman"/>
                <w:sz w:val="23"/>
                <w:szCs w:val="23"/>
              </w:rPr>
              <w:t xml:space="preserve"> lớn nhất thế giới, đại diện cho </w:t>
            </w:r>
            <w:r w:rsidRPr="00122EEA">
              <w:rPr>
                <w:rStyle w:val="Strong"/>
                <w:rFonts w:eastAsia="Times New Roman"/>
                <w:sz w:val="23"/>
                <w:szCs w:val="23"/>
              </w:rPr>
              <w:t>99,83%</w:t>
            </w:r>
            <w:r w:rsidRPr="00122EEA">
              <w:rPr>
                <w:rFonts w:eastAsia="Times New Roman"/>
                <w:sz w:val="23"/>
                <w:szCs w:val="23"/>
              </w:rPr>
              <w:t xml:space="preserve"> tổng xuất khẩu toàn cầu trong BACI, tạo thành </w:t>
            </w:r>
            <w:r w:rsidRPr="00122EEA">
              <w:rPr>
                <w:rStyle w:val="Strong"/>
                <w:rFonts w:eastAsia="Times New Roman"/>
                <w:sz w:val="23"/>
                <w:szCs w:val="23"/>
              </w:rPr>
              <w:t>12.720 cặp đối tác song phương duy nhất</w:t>
            </w:r>
            <w:r w:rsidRPr="00122EEA">
              <w:rPr>
                <w:rFonts w:eastAsia="Times New Roman"/>
                <w:sz w:val="23"/>
                <w:szCs w:val="23"/>
              </w:rPr>
              <w:t>.</w:t>
            </w:r>
          </w:p>
        </w:tc>
      </w:tr>
      <w:tr w:rsidR="004526A1" w:rsidRPr="00122EEA" w14:paraId="72A6E521"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7DF5D0B"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lastRenderedPageBreak/>
              <w:t>Phạm vi thời gian</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7F015F03"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2007 – 2023 (17 năm liên tục)</w:t>
            </w:r>
            <w:r w:rsidRPr="00122EEA">
              <w:rPr>
                <w:rFonts w:eastAsia="Times New Roman"/>
                <w:sz w:val="23"/>
                <w:szCs w:val="23"/>
              </w:rPr>
              <w:t>, bao quát khủng hoảng 2008, xung đột Crimea 2014, chiến tranh thương mại Mỹ - Trung 2018 và chiến tranh Nga - Ukraine 2022.</w:t>
            </w:r>
          </w:p>
        </w:tc>
      </w:tr>
      <w:tr w:rsidR="004526A1" w:rsidRPr="00122EEA" w14:paraId="70F79848"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7B12AB0"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Đối tượng sản phẩm</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32BF539E"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 xml:space="preserve">Toàn bộ </w:t>
            </w:r>
            <w:r w:rsidRPr="00122EEA">
              <w:rPr>
                <w:rStyle w:val="Strong"/>
                <w:rFonts w:eastAsia="Times New Roman"/>
                <w:sz w:val="23"/>
                <w:szCs w:val="23"/>
              </w:rPr>
              <w:t>Hàng hóa trung gian (Intermediate Goods)</w:t>
            </w:r>
            <w:r w:rsidRPr="00122EEA">
              <w:rPr>
                <w:rFonts w:eastAsia="Times New Roman"/>
                <w:sz w:val="23"/>
                <w:szCs w:val="23"/>
              </w:rPr>
              <w:t xml:space="preserve"> theo phân loại </w:t>
            </w:r>
            <w:r w:rsidRPr="00122EEA">
              <w:rPr>
                <w:rStyle w:val="Strong"/>
                <w:rFonts w:eastAsia="Times New Roman"/>
                <w:sz w:val="23"/>
                <w:szCs w:val="23"/>
              </w:rPr>
              <w:t>UN BEC Rev. 4</w:t>
            </w:r>
            <w:r w:rsidRPr="00122EEA">
              <w:rPr>
                <w:rFonts w:eastAsia="Times New Roman"/>
                <w:sz w:val="23"/>
                <w:szCs w:val="23"/>
              </w:rPr>
              <w:t xml:space="preserve">, trải rộng trên </w:t>
            </w:r>
            <w:r w:rsidRPr="00122EEA">
              <w:rPr>
                <w:rStyle w:val="Strong"/>
                <w:rFonts w:eastAsia="Times New Roman"/>
                <w:sz w:val="23"/>
                <w:szCs w:val="23"/>
              </w:rPr>
              <w:t>88 chương HS 2 chữ số (HS2)</w:t>
            </w:r>
            <w:r w:rsidRPr="00122EEA">
              <w:rPr>
                <w:rFonts w:eastAsia="Times New Roman"/>
                <w:sz w:val="23"/>
                <w:szCs w:val="23"/>
              </w:rPr>
              <w:t>.</w:t>
            </w:r>
          </w:p>
        </w:tc>
      </w:tr>
      <w:tr w:rsidR="004526A1" w:rsidRPr="00122EEA" w14:paraId="3D155F41"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599F1B9"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Quy mô dữ liệu (Big Data)</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DDB31E1"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 xml:space="preserve">• </w:t>
            </w:r>
            <w:r w:rsidRPr="00122EEA">
              <w:rPr>
                <w:rStyle w:val="Emphasis"/>
                <w:rFonts w:eastAsia="Times New Roman"/>
                <w:sz w:val="23"/>
                <w:szCs w:val="23"/>
              </w:rPr>
              <w:t>Bảng giá trị thương mại (PPML):</w:t>
            </w:r>
            <w:r w:rsidRPr="00122EEA">
              <w:rPr>
                <w:rFonts w:eastAsia="Times New Roman"/>
                <w:sz w:val="23"/>
                <w:szCs w:val="23"/>
              </w:rPr>
              <w:t xml:space="preserve"> </w:t>
            </w:r>
            <w:r w:rsidRPr="00122EEA">
              <w:rPr>
                <w:rStyle w:val="Strong"/>
                <w:rFonts w:eastAsia="Times New Roman"/>
                <w:sz w:val="23"/>
                <w:szCs w:val="23"/>
              </w:rPr>
              <w:t>16.752.461 dòng quan sát</w:t>
            </w:r>
            <w:r w:rsidRPr="00122EEA">
              <w:rPr>
                <w:rFonts w:eastAsia="Times New Roman"/>
                <w:sz w:val="23"/>
                <w:szCs w:val="23"/>
              </w:rPr>
              <w:t xml:space="preserve"> (985.562 nhóm cặp-chương HS2, giữ nguyên 47,52% quan sát giá trị 0).</w:t>
            </w:r>
            <w:r w:rsidRPr="00122EEA">
              <w:rPr>
                <w:rFonts w:eastAsia="Times New Roman"/>
                <w:sz w:val="23"/>
                <w:szCs w:val="23"/>
              </w:rPr>
              <w:br/>
              <w:t xml:space="preserve">• </w:t>
            </w:r>
            <w:r w:rsidRPr="00122EEA">
              <w:rPr>
                <w:rStyle w:val="Emphasis"/>
                <w:rFonts w:eastAsia="Times New Roman"/>
                <w:sz w:val="23"/>
                <w:szCs w:val="23"/>
              </w:rPr>
              <w:t>Bảng sống sót liên kết (LPM):</w:t>
            </w:r>
            <w:r w:rsidRPr="00122EEA">
              <w:rPr>
                <w:rFonts w:eastAsia="Times New Roman"/>
                <w:sz w:val="23"/>
                <w:szCs w:val="23"/>
              </w:rPr>
              <w:t xml:space="preserve"> </w:t>
            </w:r>
            <w:r w:rsidRPr="00122EEA">
              <w:rPr>
                <w:rStyle w:val="Strong"/>
                <w:rFonts w:eastAsia="Times New Roman"/>
                <w:sz w:val="23"/>
                <w:szCs w:val="23"/>
              </w:rPr>
              <w:t>8.045.131 liên kết-năm</w:t>
            </w:r>
            <w:r w:rsidRPr="00122EEA">
              <w:rPr>
                <w:rFonts w:eastAsia="Times New Roman"/>
                <w:sz w:val="23"/>
                <w:szCs w:val="23"/>
              </w:rPr>
              <w:t xml:space="preserve"> có rủi ro đứt gãy.</w:t>
            </w:r>
            <w:r w:rsidRPr="00122EEA">
              <w:rPr>
                <w:rFonts w:eastAsia="Times New Roman"/>
                <w:sz w:val="23"/>
                <w:szCs w:val="23"/>
              </w:rPr>
              <w:br/>
              <w:t xml:space="preserve">• </w:t>
            </w:r>
            <w:r w:rsidRPr="00122EEA">
              <w:rPr>
                <w:rStyle w:val="Emphasis"/>
                <w:rFonts w:eastAsia="Times New Roman"/>
                <w:sz w:val="23"/>
                <w:szCs w:val="23"/>
              </w:rPr>
              <w:t>Bảng phục hồi (Recovery):</w:t>
            </w:r>
            <w:r w:rsidRPr="00122EEA">
              <w:rPr>
                <w:rFonts w:eastAsia="Times New Roman"/>
                <w:sz w:val="23"/>
                <w:szCs w:val="23"/>
              </w:rPr>
              <w:t xml:space="preserve"> </w:t>
            </w:r>
            <w:r w:rsidRPr="00122EEA">
              <w:rPr>
                <w:rStyle w:val="Strong"/>
                <w:rFonts w:eastAsia="Times New Roman"/>
                <w:sz w:val="23"/>
                <w:szCs w:val="23"/>
              </w:rPr>
              <w:t>1.151.310 biến cố đứt gãy</w:t>
            </w:r>
            <w:r w:rsidRPr="00122EEA">
              <w:rPr>
                <w:rFonts w:eastAsia="Times New Roman"/>
                <w:sz w:val="23"/>
                <w:szCs w:val="23"/>
              </w:rPr>
              <w:t xml:space="preserve"> theo dõi sau 1 và 2 năm. </w:t>
            </w:r>
          </w:p>
        </w:tc>
      </w:tr>
      <w:tr w:rsidR="004526A1" w:rsidRPr="00122EEA" w14:paraId="3B268677"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77F40445"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Nguồn dữ liệu</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754CC17"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 xml:space="preserve">1. </w:t>
            </w:r>
            <w:r w:rsidRPr="00122EEA">
              <w:rPr>
                <w:rStyle w:val="Strong"/>
                <w:rFonts w:eastAsia="Times New Roman"/>
                <w:sz w:val="23"/>
                <w:szCs w:val="23"/>
              </w:rPr>
              <w:t>CEPII BACI (V202601):</w:t>
            </w:r>
            <w:r w:rsidRPr="00122EEA">
              <w:rPr>
                <w:rFonts w:eastAsia="Times New Roman"/>
                <w:sz w:val="23"/>
                <w:szCs w:val="23"/>
              </w:rPr>
              <w:t xml:space="preserve"> Dữ liệu thương mại song phương chi tiết HS 6-digit.</w:t>
            </w:r>
            <w:r w:rsidRPr="00122EEA">
              <w:rPr>
                <w:rFonts w:eastAsia="Times New Roman"/>
                <w:sz w:val="23"/>
                <w:szCs w:val="23"/>
              </w:rPr>
              <w:br/>
              <w:t xml:space="preserve">2. </w:t>
            </w:r>
            <w:r w:rsidRPr="00122EEA">
              <w:rPr>
                <w:rStyle w:val="Strong"/>
                <w:rFonts w:eastAsia="Times New Roman"/>
                <w:sz w:val="23"/>
                <w:szCs w:val="23"/>
              </w:rPr>
              <w:t>World Bank DTA Database:</w:t>
            </w:r>
            <w:r w:rsidRPr="00122EEA">
              <w:rPr>
                <w:rFonts w:eastAsia="Times New Roman"/>
                <w:sz w:val="23"/>
                <w:szCs w:val="23"/>
              </w:rPr>
              <w:t xml:space="preserve"> Đo lường 52 lĩnh vực chính sách với tính ràng buộc pháp lý (legally enforceable provisions).</w:t>
            </w:r>
            <w:r w:rsidRPr="00122EEA">
              <w:rPr>
                <w:rFonts w:eastAsia="Times New Roman"/>
                <w:sz w:val="23"/>
                <w:szCs w:val="23"/>
              </w:rPr>
              <w:br/>
              <w:t xml:space="preserve">3. </w:t>
            </w:r>
            <w:r w:rsidRPr="00122EEA">
              <w:rPr>
                <w:rStyle w:val="Strong"/>
                <w:rFonts w:eastAsia="Times New Roman"/>
                <w:sz w:val="23"/>
                <w:szCs w:val="23"/>
              </w:rPr>
              <w:t>Caldara &amp; Iacoviello (2022) - FED:</w:t>
            </w:r>
            <w:r w:rsidRPr="00122EEA">
              <w:rPr>
                <w:rFonts w:eastAsia="Times New Roman"/>
                <w:sz w:val="23"/>
                <w:szCs w:val="23"/>
              </w:rPr>
              <w:t xml:space="preserve"> Chỉ số rủi ro địa chính trị toàn cầu và quốc gia. </w:t>
            </w:r>
          </w:p>
        </w:tc>
      </w:tr>
    </w:tbl>
    <w:p w14:paraId="50016396" w14:textId="3ACC0C19" w:rsidR="007E0CEE" w:rsidRPr="00122EEA" w:rsidRDefault="007E0CEE" w:rsidP="0039478D">
      <w:pPr>
        <w:pStyle w:val="Heading2"/>
        <w:jc w:val="both"/>
        <w:divId w:val="510070646"/>
        <w:rPr>
          <w:rFonts w:eastAsia="Times New Roman"/>
          <w:lang w:val="vi-VN"/>
        </w:rPr>
      </w:pPr>
      <w:r w:rsidRPr="00122EEA">
        <w:rPr>
          <w:rFonts w:eastAsia="Times New Roman"/>
          <w:lang w:val="vi-VN"/>
        </w:rPr>
        <w:t>6. HỆ THỐNG BIẾN TRONG MÔ HÌNH</w:t>
      </w:r>
    </w:p>
    <w:tbl>
      <w:tblPr>
        <w:tblW w:w="5000" w:type="pct"/>
        <w:jc w:val="center"/>
        <w:tblCellMar>
          <w:top w:w="15" w:type="dxa"/>
          <w:left w:w="15" w:type="dxa"/>
          <w:bottom w:w="15" w:type="dxa"/>
          <w:right w:w="15" w:type="dxa"/>
        </w:tblCellMar>
        <w:tblLook w:val="04A0" w:firstRow="1" w:lastRow="0" w:firstColumn="1" w:lastColumn="0" w:noHBand="0" w:noVBand="1"/>
      </w:tblPr>
      <w:tblGrid>
        <w:gridCol w:w="1643"/>
        <w:gridCol w:w="1858"/>
        <w:gridCol w:w="3925"/>
        <w:gridCol w:w="1914"/>
      </w:tblGrid>
      <w:tr w:rsidR="004526A1" w:rsidRPr="00122EEA" w14:paraId="5DF7F366"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605661F5" w14:textId="77777777" w:rsidR="007E0CEE" w:rsidRPr="00122EEA" w:rsidRDefault="007E0CEE" w:rsidP="0039478D">
            <w:pPr>
              <w:spacing w:after="240"/>
              <w:jc w:val="both"/>
              <w:rPr>
                <w:rFonts w:eastAsia="Times New Roman"/>
                <w:b/>
                <w:bCs/>
                <w:sz w:val="23"/>
                <w:szCs w:val="23"/>
              </w:rPr>
            </w:pPr>
            <w:r w:rsidRPr="00122EEA">
              <w:rPr>
                <w:rFonts w:eastAsia="Times New Roman"/>
                <w:b/>
                <w:bCs/>
                <w:sz w:val="23"/>
                <w:szCs w:val="23"/>
              </w:rPr>
              <w:t>Tên biến</w:t>
            </w:r>
          </w:p>
        </w:tc>
        <w:tc>
          <w:tcPr>
            <w:tcW w:w="0" w:type="auto"/>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6CF8E67E" w14:textId="77777777" w:rsidR="007E0CEE" w:rsidRPr="00122EEA" w:rsidRDefault="007E0CEE" w:rsidP="0039478D">
            <w:pPr>
              <w:spacing w:after="240"/>
              <w:jc w:val="both"/>
              <w:rPr>
                <w:rFonts w:eastAsia="Times New Roman"/>
                <w:b/>
                <w:bCs/>
                <w:sz w:val="23"/>
                <w:szCs w:val="23"/>
              </w:rPr>
            </w:pPr>
            <w:r w:rsidRPr="00122EEA">
              <w:rPr>
                <w:rFonts w:eastAsia="Times New Roman"/>
                <w:b/>
                <w:bCs/>
                <w:sz w:val="23"/>
                <w:szCs w:val="23"/>
              </w:rPr>
              <w:t>Ký hiệu</w:t>
            </w:r>
          </w:p>
        </w:tc>
        <w:tc>
          <w:tcPr>
            <w:tcW w:w="0" w:type="auto"/>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23AF5E98" w14:textId="77777777" w:rsidR="007E0CEE" w:rsidRPr="00122EEA" w:rsidRDefault="007E0CEE" w:rsidP="0039478D">
            <w:pPr>
              <w:spacing w:after="240"/>
              <w:jc w:val="both"/>
              <w:rPr>
                <w:rFonts w:eastAsia="Times New Roman"/>
                <w:b/>
                <w:bCs/>
                <w:sz w:val="23"/>
                <w:szCs w:val="23"/>
              </w:rPr>
            </w:pPr>
            <w:r w:rsidRPr="00122EEA">
              <w:rPr>
                <w:rFonts w:eastAsia="Times New Roman"/>
                <w:b/>
                <w:bCs/>
                <w:sz w:val="23"/>
                <w:szCs w:val="23"/>
              </w:rPr>
              <w:t>Định nghĩa &amp; Đo lường</w:t>
            </w:r>
          </w:p>
        </w:tc>
        <w:tc>
          <w:tcPr>
            <w:tcW w:w="0" w:type="auto"/>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19CCB993" w14:textId="77777777" w:rsidR="007E0CEE" w:rsidRPr="00122EEA" w:rsidRDefault="007E0CEE" w:rsidP="0039478D">
            <w:pPr>
              <w:spacing w:after="240"/>
              <w:jc w:val="both"/>
              <w:rPr>
                <w:rFonts w:eastAsia="Times New Roman"/>
                <w:b/>
                <w:bCs/>
                <w:sz w:val="23"/>
                <w:szCs w:val="23"/>
              </w:rPr>
            </w:pPr>
            <w:r w:rsidRPr="00122EEA">
              <w:rPr>
                <w:rFonts w:eastAsia="Times New Roman"/>
                <w:b/>
                <w:bCs/>
                <w:sz w:val="23"/>
                <w:szCs w:val="23"/>
              </w:rPr>
              <w:t>Nguồn dữ liệu</w:t>
            </w:r>
          </w:p>
        </w:tc>
      </w:tr>
      <w:tr w:rsidR="004526A1" w:rsidRPr="00122EEA" w14:paraId="66C28CE8"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C417656"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Giá trị thương mại</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46657265"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TradeValue</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3CE26C86"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Kim ngạch xuất khẩu hàng trung gian i sang j ở chương k năm t (triệu USD).</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56A36BB"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CEPII BACI, UN BEC Rev. 4</w:t>
            </w:r>
          </w:p>
        </w:tc>
      </w:tr>
      <w:tr w:rsidR="004526A1" w:rsidRPr="00122EEA" w14:paraId="370C9869"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0A48C7A"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Sống sót liên kết</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3AE093F"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Survival</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6A5A96D"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Biến nhị phân: = 1 nếu liên kết dương năm t-1 tiếp tục dương ở năm t; = 0 nếu đứt gãy.</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C6197E3"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CEPII BACI</w:t>
            </w:r>
          </w:p>
        </w:tc>
      </w:tr>
      <w:tr w:rsidR="004526A1" w:rsidRPr="00122EEA" w14:paraId="226CE212"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793FCFC7"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Tái gia nhập sau đứt gãy</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0130B1E"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Reentry1Y, Reentry2Y</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159E4143"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Biến nhị phân: = 1 nếu liên kết đứt gãy xuất khẩu trở lại trong vòng 1 năm (2 năm).</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733A6621"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CEPII BACI</w:t>
            </w:r>
          </w:p>
        </w:tc>
      </w:tr>
      <w:tr w:rsidR="004526A1" w:rsidRPr="00122EEA" w14:paraId="30C2E559"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46299D89"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Rủi ro địa chính trị</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458D782C"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GlobalGPR, PairGPR</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F47FCEF"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Chỉ số GPR toàn cầu và rủi ro bình quân cặp quốc gia (chuẩn hóa độ lệch chuẩn).</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7BF4B91"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Caldara &amp; Iacoviello (2022)</w:t>
            </w:r>
          </w:p>
        </w:tc>
      </w:tr>
      <w:tr w:rsidR="004526A1" w:rsidRPr="00122EEA" w14:paraId="2BD8E9F1"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3FE561D9"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lastRenderedPageBreak/>
              <w:t>Hiệp định ưu đãi (FTA)</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DE7857E"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FTA</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15F90D71"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Biến giả: = 1 nếu cặp nước có FTA đang có hiệu lực tại năm t-1.</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E85534A"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World Bank DTA, WTO RTA</w:t>
            </w:r>
          </w:p>
        </w:tc>
      </w:tr>
      <w:tr w:rsidR="004526A1" w:rsidRPr="00122EEA" w14:paraId="2F6F1771"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3B9394E6"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Độ sâu thể chế</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7C406EF"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DTAdepth</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64ACE53" w14:textId="229EA530" w:rsidR="007E0CEE" w:rsidRPr="00122EEA" w:rsidRDefault="007E0CEE" w:rsidP="0039478D">
            <w:pPr>
              <w:spacing w:after="240"/>
              <w:jc w:val="both"/>
              <w:rPr>
                <w:rFonts w:eastAsia="Times New Roman"/>
                <w:sz w:val="23"/>
                <w:szCs w:val="23"/>
              </w:rPr>
            </w:pPr>
            <w:r w:rsidRPr="00122EEA">
              <w:rPr>
                <w:rFonts w:eastAsia="Times New Roman"/>
                <w:sz w:val="23"/>
                <w:szCs w:val="23"/>
              </w:rPr>
              <w:t xml:space="preserve">Số điều khoản ràng buộc pháp lý đang có hiệu lực tại t-1 chia cho 10 (thang 0 </w:t>
            </w:r>
            <w:r w:rsidR="009601DC" w:rsidRPr="009601DC">
              <w:rPr>
                <w:rFonts w:eastAsia="Times New Roman"/>
                <w:sz w:val="23"/>
                <w:szCs w:val="23"/>
              </w:rPr>
              <w:t>-</w:t>
            </w:r>
            <w:r w:rsidRPr="00122EEA">
              <w:rPr>
                <w:rFonts w:eastAsia="Times New Roman"/>
                <w:sz w:val="23"/>
                <w:szCs w:val="23"/>
              </w:rPr>
              <w:t xml:space="preserve"> 3,8).</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1EDA1547"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World Bank DTA</w:t>
            </w:r>
          </w:p>
        </w:tc>
      </w:tr>
      <w:tr w:rsidR="004526A1" w:rsidRPr="00122EEA" w14:paraId="2F7D31F7" w14:textId="77777777" w:rsidTr="00122EEA">
        <w:trPr>
          <w:divId w:val="510070646"/>
          <w:jc w:val="center"/>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3E30AF0" w14:textId="77777777" w:rsidR="007E0CEE" w:rsidRPr="00122EEA" w:rsidRDefault="007E0CEE" w:rsidP="0039478D">
            <w:pPr>
              <w:spacing w:after="240"/>
              <w:jc w:val="both"/>
              <w:rPr>
                <w:rFonts w:eastAsia="Times New Roman"/>
                <w:sz w:val="23"/>
                <w:szCs w:val="23"/>
              </w:rPr>
            </w:pPr>
            <w:r w:rsidRPr="00122EEA">
              <w:rPr>
                <w:rStyle w:val="Strong"/>
                <w:rFonts w:eastAsia="Times New Roman"/>
                <w:sz w:val="23"/>
                <w:szCs w:val="23"/>
              </w:rPr>
              <w:t>Quy mô liên kết trễ</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48277E91"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LaggedTrade</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E2F514D"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ln(1 + TradeValue tại t-1), kiểm soát quy mô và kinh nghiệm xuất khẩu.</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84EBB88" w14:textId="77777777" w:rsidR="007E0CEE" w:rsidRPr="00122EEA" w:rsidRDefault="007E0CEE" w:rsidP="0039478D">
            <w:pPr>
              <w:spacing w:after="240"/>
              <w:jc w:val="both"/>
              <w:rPr>
                <w:rFonts w:eastAsia="Times New Roman"/>
                <w:sz w:val="23"/>
                <w:szCs w:val="23"/>
              </w:rPr>
            </w:pPr>
            <w:r w:rsidRPr="00122EEA">
              <w:rPr>
                <w:rFonts w:eastAsia="Times New Roman"/>
                <w:sz w:val="23"/>
                <w:szCs w:val="23"/>
              </w:rPr>
              <w:t>CEPII BACI</w:t>
            </w:r>
          </w:p>
        </w:tc>
      </w:tr>
    </w:tbl>
    <w:p w14:paraId="70F2973C" w14:textId="77777777" w:rsidR="007E0CEE" w:rsidRPr="00122EEA" w:rsidRDefault="007E0CEE" w:rsidP="0039478D">
      <w:pPr>
        <w:pStyle w:val="Heading2"/>
        <w:jc w:val="both"/>
        <w:divId w:val="510070646"/>
        <w:rPr>
          <w:rFonts w:eastAsia="Times New Roman"/>
          <w:lang w:val="vi-VN"/>
        </w:rPr>
      </w:pPr>
      <w:r w:rsidRPr="00122EEA">
        <w:rPr>
          <w:rFonts w:eastAsia="Times New Roman"/>
          <w:lang w:val="vi-VN"/>
        </w:rPr>
        <w:t>7. MÔ HÌNH KINH TẾ LƯỢNG VÀ PHƯƠNG PHÁP ƯỚC LƯỢNG</w:t>
      </w:r>
    </w:p>
    <w:p w14:paraId="25A0D614" w14:textId="77777777" w:rsidR="007E0CEE" w:rsidRPr="00122EEA" w:rsidRDefault="007E0CEE" w:rsidP="0039478D">
      <w:pPr>
        <w:pStyle w:val="Heading3"/>
        <w:jc w:val="both"/>
        <w:divId w:val="510070646"/>
        <w:rPr>
          <w:rFonts w:eastAsia="Times New Roman"/>
          <w:color w:val="auto"/>
          <w:lang w:val="vi-VN"/>
        </w:rPr>
      </w:pPr>
      <w:r w:rsidRPr="00122EEA">
        <w:rPr>
          <w:rFonts w:eastAsia="Times New Roman"/>
          <w:color w:val="auto"/>
          <w:lang w:val="vi-VN"/>
        </w:rPr>
        <w:t>7.1. Mô hình Trọng lực Cấu trúc PPML (Intensive Margin)</w:t>
      </w:r>
    </w:p>
    <w:p w14:paraId="26418BB8" w14:textId="77777777" w:rsidR="007E0CEE" w:rsidRPr="00122EEA" w:rsidRDefault="007E0CEE" w:rsidP="0039478D">
      <w:pPr>
        <w:shd w:val="clear" w:color="auto" w:fill="F8FAFC"/>
        <w:jc w:val="both"/>
        <w:divId w:val="1206023274"/>
        <w:rPr>
          <w:rFonts w:ascii="Cambria Math" w:eastAsia="Times New Roman" w:hAnsi="Cambria Math"/>
          <w:i/>
          <w:iCs/>
          <w:lang w:val="vi-VN"/>
        </w:rPr>
      </w:pPr>
      <w:r w:rsidRPr="00122EEA">
        <w:rPr>
          <w:rFonts w:ascii="Cambria Math" w:eastAsia="Times New Roman" w:hAnsi="Cambria Math"/>
          <w:i/>
          <w:iCs/>
          <w:lang w:val="vi-VN"/>
        </w:rPr>
        <w:t>TradeValue</w:t>
      </w:r>
      <w:r w:rsidRPr="00122EEA">
        <w:rPr>
          <w:rFonts w:ascii="Cambria Math" w:eastAsia="Times New Roman" w:hAnsi="Cambria Math"/>
          <w:i/>
          <w:iCs/>
          <w:vertAlign w:val="subscript"/>
          <w:lang w:val="vi-VN"/>
        </w:rPr>
        <w:t>ijkt</w:t>
      </w:r>
      <w:r w:rsidRPr="00122EEA">
        <w:rPr>
          <w:rFonts w:ascii="Cambria Math" w:eastAsia="Times New Roman" w:hAnsi="Cambria Math"/>
          <w:i/>
          <w:iCs/>
          <w:lang w:val="vi-VN"/>
        </w:rPr>
        <w:t xml:space="preserve"> = exp( β</w:t>
      </w:r>
      <w:r w:rsidRPr="00122EEA">
        <w:rPr>
          <w:rFonts w:ascii="Cambria Math" w:eastAsia="Times New Roman" w:hAnsi="Cambria Math"/>
          <w:i/>
          <w:iCs/>
          <w:vertAlign w:val="subscript"/>
          <w:lang w:val="vi-VN"/>
        </w:rPr>
        <w:t>1</w:t>
      </w:r>
      <w:r w:rsidRPr="00122EEA">
        <w:rPr>
          <w:rFonts w:ascii="Cambria Math" w:eastAsia="Times New Roman" w:hAnsi="Cambria Math"/>
          <w:i/>
          <w:iCs/>
          <w:lang w:val="vi-VN"/>
        </w:rPr>
        <w:t xml:space="preserve"> FTA</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GPR</w:t>
      </w:r>
      <w:r w:rsidRPr="00122EEA">
        <w:rPr>
          <w:rFonts w:ascii="Cambria Math" w:eastAsia="Times New Roman" w:hAnsi="Cambria Math"/>
          <w:i/>
          <w:iCs/>
          <w:vertAlign w:val="subscript"/>
          <w:lang w:val="vi-VN"/>
        </w:rPr>
        <w:t>t</w:t>
      </w:r>
      <w:r w:rsidRPr="00122EEA">
        <w:rPr>
          <w:rFonts w:ascii="Cambria Math" w:eastAsia="Times New Roman" w:hAnsi="Cambria Math"/>
          <w:i/>
          <w:iCs/>
          <w:lang w:val="vi-VN"/>
        </w:rPr>
        <w:t xml:space="preserve"> + β</w:t>
      </w:r>
      <w:r w:rsidRPr="00122EEA">
        <w:rPr>
          <w:rFonts w:ascii="Cambria Math" w:eastAsia="Times New Roman" w:hAnsi="Cambria Math"/>
          <w:i/>
          <w:iCs/>
          <w:vertAlign w:val="subscript"/>
          <w:lang w:val="vi-VN"/>
        </w:rPr>
        <w:t>2</w:t>
      </w:r>
      <w:r w:rsidRPr="00122EEA">
        <w:rPr>
          <w:rFonts w:ascii="Cambria Math" w:eastAsia="Times New Roman" w:hAnsi="Cambria Math"/>
          <w:i/>
          <w:iCs/>
          <w:lang w:val="vi-VN"/>
        </w:rPr>
        <w:t xml:space="preserve"> DTAdepth</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GPR</w:t>
      </w:r>
      <w:r w:rsidRPr="00122EEA">
        <w:rPr>
          <w:rFonts w:ascii="Cambria Math" w:eastAsia="Times New Roman" w:hAnsi="Cambria Math"/>
          <w:i/>
          <w:iCs/>
          <w:vertAlign w:val="subscript"/>
          <w:lang w:val="vi-VN"/>
        </w:rPr>
        <w:t>t</w:t>
      </w:r>
      <w:r w:rsidRPr="00122EEA">
        <w:rPr>
          <w:rFonts w:ascii="Cambria Math" w:eastAsia="Times New Roman" w:hAnsi="Cambria Math"/>
          <w:i/>
          <w:iCs/>
          <w:lang w:val="vi-VN"/>
        </w:rPr>
        <w:t xml:space="preserve"> + β</w:t>
      </w:r>
      <w:r w:rsidRPr="00122EEA">
        <w:rPr>
          <w:rFonts w:ascii="Cambria Math" w:eastAsia="Times New Roman" w:hAnsi="Cambria Math"/>
          <w:i/>
          <w:iCs/>
          <w:vertAlign w:val="subscript"/>
          <w:lang w:val="vi-VN"/>
        </w:rPr>
        <w:t>3</w:t>
      </w:r>
      <w:r w:rsidRPr="00122EEA">
        <w:rPr>
          <w:rFonts w:ascii="Cambria Math" w:eastAsia="Times New Roman" w:hAnsi="Cambria Math"/>
          <w:i/>
          <w:iCs/>
          <w:lang w:val="vi-VN"/>
        </w:rPr>
        <w:t xml:space="preserve"> FTA</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β</w:t>
      </w:r>
      <w:r w:rsidRPr="00122EEA">
        <w:rPr>
          <w:rFonts w:ascii="Cambria Math" w:eastAsia="Times New Roman" w:hAnsi="Cambria Math"/>
          <w:i/>
          <w:iCs/>
          <w:vertAlign w:val="subscript"/>
          <w:lang w:val="vi-VN"/>
        </w:rPr>
        <w:t>4</w:t>
      </w:r>
      <w:r w:rsidRPr="00122EEA">
        <w:rPr>
          <w:rFonts w:ascii="Cambria Math" w:eastAsia="Times New Roman" w:hAnsi="Cambria Math"/>
          <w:i/>
          <w:iCs/>
          <w:lang w:val="vi-VN"/>
        </w:rPr>
        <w:t xml:space="preserve"> DTAdepth</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μ</w:t>
      </w:r>
      <w:r w:rsidRPr="00122EEA">
        <w:rPr>
          <w:rFonts w:ascii="Cambria Math" w:eastAsia="Times New Roman" w:hAnsi="Cambria Math"/>
          <w:i/>
          <w:iCs/>
          <w:vertAlign w:val="subscript"/>
          <w:lang w:val="vi-VN"/>
        </w:rPr>
        <w:t>ijk</w:t>
      </w:r>
      <w:r w:rsidRPr="00122EEA">
        <w:rPr>
          <w:rFonts w:ascii="Cambria Math" w:eastAsia="Times New Roman" w:hAnsi="Cambria Math"/>
          <w:i/>
          <w:iCs/>
          <w:lang w:val="vi-VN"/>
        </w:rPr>
        <w:t xml:space="preserve"> + λ</w:t>
      </w:r>
      <w:r w:rsidRPr="00122EEA">
        <w:rPr>
          <w:rFonts w:ascii="Cambria Math" w:eastAsia="Times New Roman" w:hAnsi="Cambria Math"/>
          <w:i/>
          <w:iCs/>
          <w:vertAlign w:val="subscript"/>
          <w:lang w:val="vi-VN"/>
        </w:rPr>
        <w:t>it</w:t>
      </w:r>
      <w:r w:rsidRPr="00122EEA">
        <w:rPr>
          <w:rFonts w:ascii="Cambria Math" w:eastAsia="Times New Roman" w:hAnsi="Cambria Math"/>
          <w:i/>
          <w:iCs/>
          <w:lang w:val="vi-VN"/>
        </w:rPr>
        <w:t xml:space="preserve"> + ψ</w:t>
      </w:r>
      <w:r w:rsidRPr="00122EEA">
        <w:rPr>
          <w:rFonts w:ascii="Cambria Math" w:eastAsia="Times New Roman" w:hAnsi="Cambria Math"/>
          <w:i/>
          <w:iCs/>
          <w:vertAlign w:val="subscript"/>
          <w:lang w:val="vi-VN"/>
        </w:rPr>
        <w:t>jt</w:t>
      </w:r>
      <w:r w:rsidRPr="00122EEA">
        <w:rPr>
          <w:rFonts w:ascii="Cambria Math" w:eastAsia="Times New Roman" w:hAnsi="Cambria Math"/>
          <w:i/>
          <w:iCs/>
          <w:lang w:val="vi-VN"/>
        </w:rPr>
        <w:t xml:space="preserve"> + θ</w:t>
      </w:r>
      <w:r w:rsidRPr="00122EEA">
        <w:rPr>
          <w:rFonts w:ascii="Cambria Math" w:eastAsia="Times New Roman" w:hAnsi="Cambria Math"/>
          <w:i/>
          <w:iCs/>
          <w:vertAlign w:val="subscript"/>
          <w:lang w:val="vi-VN"/>
        </w:rPr>
        <w:t>kt</w:t>
      </w:r>
      <w:r w:rsidRPr="00122EEA">
        <w:rPr>
          <w:rFonts w:ascii="Cambria Math" w:eastAsia="Times New Roman" w:hAnsi="Cambria Math"/>
          <w:i/>
          <w:iCs/>
          <w:lang w:val="vi-VN"/>
        </w:rPr>
        <w:t xml:space="preserve"> ) × ε</w:t>
      </w:r>
      <w:r w:rsidRPr="00122EEA">
        <w:rPr>
          <w:rFonts w:ascii="Cambria Math" w:eastAsia="Times New Roman" w:hAnsi="Cambria Math"/>
          <w:i/>
          <w:iCs/>
          <w:vertAlign w:val="subscript"/>
          <w:lang w:val="vi-VN"/>
        </w:rPr>
        <w:t>ijkt</w:t>
      </w:r>
      <w:r w:rsidRPr="00122EEA">
        <w:rPr>
          <w:rFonts w:ascii="Cambria Math" w:eastAsia="Times New Roman" w:hAnsi="Cambria Math"/>
          <w:i/>
          <w:iCs/>
          <w:lang w:val="vi-VN"/>
        </w:rPr>
        <w:t xml:space="preserve"> </w:t>
      </w:r>
    </w:p>
    <w:p w14:paraId="3B99CC23" w14:textId="77777777" w:rsidR="007E0CEE" w:rsidRPr="00122EEA" w:rsidRDefault="007E0CEE" w:rsidP="0039478D">
      <w:pPr>
        <w:numPr>
          <w:ilvl w:val="0"/>
          <w:numId w:val="7"/>
        </w:numPr>
        <w:spacing w:before="100" w:beforeAutospacing="1" w:after="60"/>
        <w:jc w:val="both"/>
        <w:divId w:val="510070646"/>
        <w:rPr>
          <w:rFonts w:eastAsia="Times New Roman"/>
          <w:lang w:val="vi-VN"/>
        </w:rPr>
      </w:pPr>
      <w:r w:rsidRPr="00122EEA">
        <w:rPr>
          <w:rStyle w:val="Strong"/>
          <w:rFonts w:eastAsia="Times New Roman"/>
          <w:lang w:val="vi-VN"/>
        </w:rPr>
        <w:t>Phương pháp:</w:t>
      </w:r>
      <w:r w:rsidRPr="00122EEA">
        <w:rPr>
          <w:rFonts w:eastAsia="Times New Roman"/>
          <w:lang w:val="vi-VN"/>
        </w:rPr>
        <w:t xml:space="preserve"> Poisson Pseudo-Maximum Likelihood (PPML) theo chuẩn Santos Silva &amp; Tenreyro (2006) và Correia et al. (2020), xử lý hoàn hảo 47,52% giá trị thương mại bằng 0 và khắc phục hiện tượng phương sai sai số thay đổi.</w:t>
      </w:r>
    </w:p>
    <w:p w14:paraId="163940B2" w14:textId="77777777" w:rsidR="007E0CEE" w:rsidRPr="00122EEA" w:rsidRDefault="007E0CEE" w:rsidP="0039478D">
      <w:pPr>
        <w:numPr>
          <w:ilvl w:val="0"/>
          <w:numId w:val="7"/>
        </w:numPr>
        <w:spacing w:before="100" w:beforeAutospacing="1" w:after="60"/>
        <w:jc w:val="both"/>
        <w:divId w:val="510070646"/>
        <w:rPr>
          <w:rFonts w:eastAsia="Times New Roman"/>
          <w:lang w:val="vi-VN"/>
        </w:rPr>
      </w:pPr>
      <w:r w:rsidRPr="00122EEA">
        <w:rPr>
          <w:rStyle w:val="Strong"/>
          <w:rFonts w:eastAsia="Times New Roman"/>
          <w:lang w:val="vi-VN"/>
        </w:rPr>
        <w:t>Hệ thống Hiệu ứng Cố định (Fixed Effects) 4 chiều khắt khe:</w:t>
      </w:r>
      <w:r w:rsidRPr="00122EEA">
        <w:rPr>
          <w:rFonts w:eastAsia="Times New Roman"/>
          <w:lang w:val="vi-VN"/>
        </w:rPr>
        <w:t xml:space="preserve"> </w:t>
      </w:r>
    </w:p>
    <w:p w14:paraId="2D73A84F" w14:textId="1CA81E54" w:rsidR="007E0CEE" w:rsidRPr="00122EEA" w:rsidRDefault="007E0CEE" w:rsidP="0039478D">
      <w:pPr>
        <w:numPr>
          <w:ilvl w:val="1"/>
          <w:numId w:val="7"/>
        </w:numPr>
        <w:spacing w:before="100" w:beforeAutospacing="1" w:after="60"/>
        <w:ind w:left="1890" w:right="450"/>
        <w:jc w:val="both"/>
        <w:divId w:val="510070646"/>
        <w:rPr>
          <w:rFonts w:eastAsia="Times New Roman"/>
          <w:lang w:val="vi-VN"/>
        </w:rPr>
      </w:pPr>
      <w:r w:rsidRPr="00122EEA">
        <w:rPr>
          <w:rStyle w:val="Strong"/>
          <w:rFonts w:eastAsia="Times New Roman"/>
          <w:lang w:val="vi-VN"/>
        </w:rPr>
        <w:t>μ</w:t>
      </w:r>
      <w:r w:rsidRPr="00122EEA">
        <w:rPr>
          <w:rStyle w:val="Strong"/>
          <w:rFonts w:eastAsia="Times New Roman"/>
          <w:vertAlign w:val="subscript"/>
          <w:lang w:val="vi-VN"/>
        </w:rPr>
        <w:t>ijk</w:t>
      </w:r>
      <w:r w:rsidRPr="00122EEA">
        <w:rPr>
          <w:rStyle w:val="Strong"/>
          <w:rFonts w:eastAsia="Times New Roman"/>
          <w:lang w:val="vi-VN"/>
        </w:rPr>
        <w:t xml:space="preserve"> (Cặp quốc gia </w:t>
      </w:r>
      <w:r w:rsidR="00B741A6" w:rsidRPr="00B741A6">
        <w:rPr>
          <w:rStyle w:val="Strong"/>
          <w:rFonts w:eastAsia="Times New Roman"/>
          <w:lang w:val="vi-VN"/>
        </w:rPr>
        <w:t>-</w:t>
      </w:r>
      <w:r w:rsidRPr="00122EEA">
        <w:rPr>
          <w:rStyle w:val="Strong"/>
          <w:rFonts w:eastAsia="Times New Roman"/>
          <w:lang w:val="vi-VN"/>
        </w:rPr>
        <w:t xml:space="preserve"> Ngành HS2):</w:t>
      </w:r>
      <w:r w:rsidRPr="00122EEA">
        <w:rPr>
          <w:rFonts w:eastAsia="Times New Roman"/>
          <w:lang w:val="vi-VN"/>
        </w:rPr>
        <w:t xml:space="preserve"> Hấp thụ toàn bộ các yếu tố bất biến song phương (khoảng cách địa lý, biên giới, ngôn ngữ, lịch sử thuộc địa, quan hệ ngành chuyên biệt).</w:t>
      </w:r>
    </w:p>
    <w:p w14:paraId="490CA8A7" w14:textId="26272ADC" w:rsidR="007E0CEE" w:rsidRPr="00122EEA" w:rsidRDefault="007E0CEE" w:rsidP="0039478D">
      <w:pPr>
        <w:numPr>
          <w:ilvl w:val="1"/>
          <w:numId w:val="7"/>
        </w:numPr>
        <w:spacing w:before="100" w:beforeAutospacing="1" w:after="60"/>
        <w:ind w:left="1890" w:right="450"/>
        <w:jc w:val="both"/>
        <w:divId w:val="510070646"/>
        <w:rPr>
          <w:rFonts w:eastAsia="Times New Roman"/>
          <w:lang w:val="vi-VN"/>
        </w:rPr>
      </w:pPr>
      <w:r w:rsidRPr="00122EEA">
        <w:rPr>
          <w:rStyle w:val="Strong"/>
          <w:rFonts w:eastAsia="Times New Roman"/>
          <w:lang w:val="vi-VN"/>
        </w:rPr>
        <w:t>λ</w:t>
      </w:r>
      <w:r w:rsidRPr="00122EEA">
        <w:rPr>
          <w:rStyle w:val="Strong"/>
          <w:rFonts w:eastAsia="Times New Roman"/>
          <w:vertAlign w:val="subscript"/>
          <w:lang w:val="vi-VN"/>
        </w:rPr>
        <w:t>it</w:t>
      </w:r>
      <w:r w:rsidRPr="00122EEA">
        <w:rPr>
          <w:rStyle w:val="Strong"/>
          <w:rFonts w:eastAsia="Times New Roman"/>
          <w:lang w:val="vi-VN"/>
        </w:rPr>
        <w:t xml:space="preserve"> (Xuất khẩu </w:t>
      </w:r>
      <w:r w:rsidR="00B741A6" w:rsidRPr="00B741A6">
        <w:rPr>
          <w:rStyle w:val="Strong"/>
          <w:rFonts w:eastAsia="Times New Roman"/>
          <w:lang w:val="vi-VN"/>
        </w:rPr>
        <w:t>-</w:t>
      </w:r>
      <w:r w:rsidRPr="00122EEA">
        <w:rPr>
          <w:rStyle w:val="Strong"/>
          <w:rFonts w:eastAsia="Times New Roman"/>
          <w:lang w:val="vi-VN"/>
        </w:rPr>
        <w:t xml:space="preserve"> Năm) &amp; ψ</w:t>
      </w:r>
      <w:r w:rsidRPr="00122EEA">
        <w:rPr>
          <w:rStyle w:val="Strong"/>
          <w:rFonts w:eastAsia="Times New Roman"/>
          <w:vertAlign w:val="subscript"/>
          <w:lang w:val="vi-VN"/>
        </w:rPr>
        <w:t>jt</w:t>
      </w:r>
      <w:r w:rsidRPr="00122EEA">
        <w:rPr>
          <w:rStyle w:val="Strong"/>
          <w:rFonts w:eastAsia="Times New Roman"/>
          <w:lang w:val="vi-VN"/>
        </w:rPr>
        <w:t xml:space="preserve"> (Nhập khẩu </w:t>
      </w:r>
      <w:r w:rsidR="009601DC" w:rsidRPr="009601DC">
        <w:rPr>
          <w:rStyle w:val="Strong"/>
          <w:rFonts w:eastAsia="Times New Roman"/>
          <w:lang w:val="vi-VN"/>
        </w:rPr>
        <w:t>-</w:t>
      </w:r>
      <w:r w:rsidRPr="00122EEA">
        <w:rPr>
          <w:rStyle w:val="Strong"/>
          <w:rFonts w:eastAsia="Times New Roman"/>
          <w:lang w:val="vi-VN"/>
        </w:rPr>
        <w:t xml:space="preserve"> Năm):</w:t>
      </w:r>
      <w:r w:rsidRPr="00122EEA">
        <w:rPr>
          <w:rFonts w:eastAsia="Times New Roman"/>
          <w:lang w:val="vi-VN"/>
        </w:rPr>
        <w:t xml:space="preserve"> Hấp thụ toàn bộ các số hạng kháng trở đa phương biến thiên theo thời gian (Multilateral Resistance Terms - MTRs) và các cú sốc vĩ mô quốc gia.</w:t>
      </w:r>
    </w:p>
    <w:p w14:paraId="05AEF33A" w14:textId="6D87FF36" w:rsidR="007E0CEE" w:rsidRPr="00122EEA" w:rsidRDefault="007E0CEE" w:rsidP="0039478D">
      <w:pPr>
        <w:numPr>
          <w:ilvl w:val="1"/>
          <w:numId w:val="7"/>
        </w:numPr>
        <w:spacing w:before="100" w:beforeAutospacing="1" w:after="60"/>
        <w:ind w:left="1890" w:right="450"/>
        <w:jc w:val="both"/>
        <w:divId w:val="510070646"/>
        <w:rPr>
          <w:rFonts w:eastAsia="Times New Roman"/>
          <w:lang w:val="vi-VN"/>
        </w:rPr>
      </w:pPr>
      <w:r w:rsidRPr="00122EEA">
        <w:rPr>
          <w:rStyle w:val="Strong"/>
          <w:rFonts w:eastAsia="Times New Roman"/>
          <w:lang w:val="vi-VN"/>
        </w:rPr>
        <w:t>θ</w:t>
      </w:r>
      <w:r w:rsidRPr="00122EEA">
        <w:rPr>
          <w:rStyle w:val="Strong"/>
          <w:rFonts w:eastAsia="Times New Roman"/>
          <w:vertAlign w:val="subscript"/>
          <w:lang w:val="vi-VN"/>
        </w:rPr>
        <w:t>kt</w:t>
      </w:r>
      <w:r w:rsidRPr="00122EEA">
        <w:rPr>
          <w:rStyle w:val="Strong"/>
          <w:rFonts w:eastAsia="Times New Roman"/>
          <w:lang w:val="vi-VN"/>
        </w:rPr>
        <w:t xml:space="preserve"> (Ngành HS2 </w:t>
      </w:r>
      <w:r w:rsidR="00B741A6" w:rsidRPr="00B741A6">
        <w:rPr>
          <w:rStyle w:val="Strong"/>
          <w:rFonts w:eastAsia="Times New Roman"/>
          <w:lang w:val="vi-VN"/>
        </w:rPr>
        <w:t>-</w:t>
      </w:r>
      <w:r w:rsidRPr="00122EEA">
        <w:rPr>
          <w:rStyle w:val="Strong"/>
          <w:rFonts w:eastAsia="Times New Roman"/>
          <w:lang w:val="vi-VN"/>
        </w:rPr>
        <w:t xml:space="preserve"> Năm):</w:t>
      </w:r>
      <w:r w:rsidRPr="00122EEA">
        <w:rPr>
          <w:rFonts w:eastAsia="Times New Roman"/>
          <w:lang w:val="vi-VN"/>
        </w:rPr>
        <w:t xml:space="preserve"> Hấp thụ toàn bộ các cú sốc cung cầu và chu kỳ giá hàng hóa thế giới.</w:t>
      </w:r>
    </w:p>
    <w:p w14:paraId="23B5A268" w14:textId="77777777" w:rsidR="007E0CEE" w:rsidRPr="00122EEA" w:rsidRDefault="007E0CEE" w:rsidP="0039478D">
      <w:pPr>
        <w:pStyle w:val="Heading3"/>
        <w:ind w:left="450" w:right="450"/>
        <w:jc w:val="both"/>
        <w:divId w:val="510070646"/>
        <w:rPr>
          <w:rFonts w:eastAsia="Times New Roman"/>
          <w:color w:val="auto"/>
          <w:lang w:val="vi-VN"/>
        </w:rPr>
      </w:pPr>
      <w:r w:rsidRPr="00122EEA">
        <w:rPr>
          <w:rFonts w:eastAsia="Times New Roman"/>
          <w:color w:val="auto"/>
          <w:lang w:val="vi-VN"/>
        </w:rPr>
        <w:t>7.2. Mô hình Tồn tại Liên kết Thương mại LPM (Extensive Margin)</w:t>
      </w:r>
    </w:p>
    <w:p w14:paraId="0A243B50" w14:textId="77777777" w:rsidR="007E0CEE" w:rsidRPr="00122EEA" w:rsidRDefault="007E0CEE" w:rsidP="0039478D">
      <w:pPr>
        <w:shd w:val="clear" w:color="auto" w:fill="F8FAFC"/>
        <w:spacing w:before="150" w:after="150"/>
        <w:ind w:left="450" w:right="450"/>
        <w:jc w:val="both"/>
        <w:divId w:val="2017800830"/>
        <w:rPr>
          <w:rFonts w:ascii="Cambria Math" w:eastAsia="Times New Roman" w:hAnsi="Cambria Math"/>
          <w:i/>
          <w:iCs/>
          <w:lang w:val="vi-VN"/>
        </w:rPr>
      </w:pPr>
      <w:r w:rsidRPr="00122EEA">
        <w:rPr>
          <w:rFonts w:ascii="Cambria Math" w:eastAsia="Times New Roman" w:hAnsi="Cambria Math"/>
          <w:i/>
          <w:iCs/>
          <w:lang w:val="vi-VN"/>
        </w:rPr>
        <w:t>Survival</w:t>
      </w:r>
      <w:r w:rsidRPr="00122EEA">
        <w:rPr>
          <w:rFonts w:ascii="Cambria Math" w:eastAsia="Times New Roman" w:hAnsi="Cambria Math"/>
          <w:i/>
          <w:iCs/>
          <w:vertAlign w:val="subscript"/>
          <w:lang w:val="vi-VN"/>
        </w:rPr>
        <w:t>ijkt</w:t>
      </w:r>
      <w:r w:rsidRPr="00122EEA">
        <w:rPr>
          <w:rFonts w:ascii="Cambria Math" w:eastAsia="Times New Roman" w:hAnsi="Cambria Math"/>
          <w:i/>
          <w:iCs/>
          <w:lang w:val="vi-VN"/>
        </w:rPr>
        <w:t xml:space="preserve"> = γ</w:t>
      </w:r>
      <w:r w:rsidRPr="00122EEA">
        <w:rPr>
          <w:rFonts w:ascii="Cambria Math" w:eastAsia="Times New Roman" w:hAnsi="Cambria Math"/>
          <w:i/>
          <w:iCs/>
          <w:vertAlign w:val="subscript"/>
          <w:lang w:val="vi-VN"/>
        </w:rPr>
        <w:t>1</w:t>
      </w:r>
      <w:r w:rsidRPr="00122EEA">
        <w:rPr>
          <w:rFonts w:ascii="Cambria Math" w:eastAsia="Times New Roman" w:hAnsi="Cambria Math"/>
          <w:i/>
          <w:iCs/>
          <w:lang w:val="vi-VN"/>
        </w:rPr>
        <w:t xml:space="preserve"> FTA</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GPR</w:t>
      </w:r>
      <w:r w:rsidRPr="00122EEA">
        <w:rPr>
          <w:rFonts w:ascii="Cambria Math" w:eastAsia="Times New Roman" w:hAnsi="Cambria Math"/>
          <w:i/>
          <w:iCs/>
          <w:vertAlign w:val="subscript"/>
          <w:lang w:val="vi-VN"/>
        </w:rPr>
        <w:t>t</w:t>
      </w:r>
      <w:r w:rsidRPr="00122EEA">
        <w:rPr>
          <w:rFonts w:ascii="Cambria Math" w:eastAsia="Times New Roman" w:hAnsi="Cambria Math"/>
          <w:i/>
          <w:iCs/>
          <w:lang w:val="vi-VN"/>
        </w:rPr>
        <w:t xml:space="preserve"> + γ</w:t>
      </w:r>
      <w:r w:rsidRPr="00122EEA">
        <w:rPr>
          <w:rFonts w:ascii="Cambria Math" w:eastAsia="Times New Roman" w:hAnsi="Cambria Math"/>
          <w:i/>
          <w:iCs/>
          <w:vertAlign w:val="subscript"/>
          <w:lang w:val="vi-VN"/>
        </w:rPr>
        <w:t>2</w:t>
      </w:r>
      <w:r w:rsidRPr="00122EEA">
        <w:rPr>
          <w:rFonts w:ascii="Cambria Math" w:eastAsia="Times New Roman" w:hAnsi="Cambria Math"/>
          <w:i/>
          <w:iCs/>
          <w:lang w:val="vi-VN"/>
        </w:rPr>
        <w:t xml:space="preserve"> DTAdepth</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GPR</w:t>
      </w:r>
      <w:r w:rsidRPr="00122EEA">
        <w:rPr>
          <w:rFonts w:ascii="Cambria Math" w:eastAsia="Times New Roman" w:hAnsi="Cambria Math"/>
          <w:i/>
          <w:iCs/>
          <w:vertAlign w:val="subscript"/>
          <w:lang w:val="vi-VN"/>
        </w:rPr>
        <w:t>t</w:t>
      </w:r>
      <w:r w:rsidRPr="00122EEA">
        <w:rPr>
          <w:rFonts w:ascii="Cambria Math" w:eastAsia="Times New Roman" w:hAnsi="Cambria Math"/>
          <w:i/>
          <w:iCs/>
          <w:lang w:val="vi-VN"/>
        </w:rPr>
        <w:t xml:space="preserve"> + γ</w:t>
      </w:r>
      <w:r w:rsidRPr="00122EEA">
        <w:rPr>
          <w:rFonts w:ascii="Cambria Math" w:eastAsia="Times New Roman" w:hAnsi="Cambria Math"/>
          <w:i/>
          <w:iCs/>
          <w:vertAlign w:val="subscript"/>
          <w:lang w:val="vi-VN"/>
        </w:rPr>
        <w:t>3</w:t>
      </w:r>
      <w:r w:rsidRPr="00122EEA">
        <w:rPr>
          <w:rFonts w:ascii="Cambria Math" w:eastAsia="Times New Roman" w:hAnsi="Cambria Math"/>
          <w:i/>
          <w:iCs/>
          <w:lang w:val="vi-VN"/>
        </w:rPr>
        <w:t xml:space="preserve"> FTA</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γ</w:t>
      </w:r>
      <w:r w:rsidRPr="00122EEA">
        <w:rPr>
          <w:rFonts w:ascii="Cambria Math" w:eastAsia="Times New Roman" w:hAnsi="Cambria Math"/>
          <w:i/>
          <w:iCs/>
          <w:vertAlign w:val="subscript"/>
          <w:lang w:val="vi-VN"/>
        </w:rPr>
        <w:t>4</w:t>
      </w:r>
      <w:r w:rsidRPr="00122EEA">
        <w:rPr>
          <w:rFonts w:ascii="Cambria Math" w:eastAsia="Times New Roman" w:hAnsi="Cambria Math"/>
          <w:i/>
          <w:iCs/>
          <w:lang w:val="vi-VN"/>
        </w:rPr>
        <w:t xml:space="preserve"> DTAdepth</w:t>
      </w:r>
      <w:r w:rsidRPr="00122EEA">
        <w:rPr>
          <w:rFonts w:ascii="Cambria Math" w:eastAsia="Times New Roman" w:hAnsi="Cambria Math"/>
          <w:i/>
          <w:iCs/>
          <w:vertAlign w:val="subscript"/>
          <w:lang w:val="vi-VN"/>
        </w:rPr>
        <w:t>ij,t-1</w:t>
      </w:r>
      <w:r w:rsidRPr="00122EEA">
        <w:rPr>
          <w:rFonts w:ascii="Cambria Math" w:eastAsia="Times New Roman" w:hAnsi="Cambria Math"/>
          <w:i/>
          <w:iCs/>
          <w:lang w:val="vi-VN"/>
        </w:rPr>
        <w:t xml:space="preserve"> + γ</w:t>
      </w:r>
      <w:r w:rsidRPr="00122EEA">
        <w:rPr>
          <w:rFonts w:ascii="Cambria Math" w:eastAsia="Times New Roman" w:hAnsi="Cambria Math"/>
          <w:i/>
          <w:iCs/>
          <w:vertAlign w:val="subscript"/>
          <w:lang w:val="vi-VN"/>
        </w:rPr>
        <w:t>5</w:t>
      </w:r>
      <w:r w:rsidRPr="00122EEA">
        <w:rPr>
          <w:rFonts w:ascii="Cambria Math" w:eastAsia="Times New Roman" w:hAnsi="Cambria Math"/>
          <w:i/>
          <w:iCs/>
          <w:lang w:val="vi-VN"/>
        </w:rPr>
        <w:t xml:space="preserve"> LaggedTrade</w:t>
      </w:r>
      <w:r w:rsidRPr="00122EEA">
        <w:rPr>
          <w:rFonts w:ascii="Cambria Math" w:eastAsia="Times New Roman" w:hAnsi="Cambria Math"/>
          <w:i/>
          <w:iCs/>
          <w:vertAlign w:val="subscript"/>
          <w:lang w:val="vi-VN"/>
        </w:rPr>
        <w:t>ijk,t-1</w:t>
      </w:r>
      <w:r w:rsidRPr="00122EEA">
        <w:rPr>
          <w:rFonts w:ascii="Cambria Math" w:eastAsia="Times New Roman" w:hAnsi="Cambria Math"/>
          <w:i/>
          <w:iCs/>
          <w:lang w:val="vi-VN"/>
        </w:rPr>
        <w:t xml:space="preserve"> + μ</w:t>
      </w:r>
      <w:r w:rsidRPr="00122EEA">
        <w:rPr>
          <w:rFonts w:ascii="Cambria Math" w:eastAsia="Times New Roman" w:hAnsi="Cambria Math"/>
          <w:i/>
          <w:iCs/>
          <w:vertAlign w:val="subscript"/>
          <w:lang w:val="vi-VN"/>
        </w:rPr>
        <w:t>ijk</w:t>
      </w:r>
      <w:r w:rsidRPr="00122EEA">
        <w:rPr>
          <w:rFonts w:ascii="Cambria Math" w:eastAsia="Times New Roman" w:hAnsi="Cambria Math"/>
          <w:i/>
          <w:iCs/>
          <w:lang w:val="vi-VN"/>
        </w:rPr>
        <w:t xml:space="preserve"> + λ</w:t>
      </w:r>
      <w:r w:rsidRPr="00122EEA">
        <w:rPr>
          <w:rFonts w:ascii="Cambria Math" w:eastAsia="Times New Roman" w:hAnsi="Cambria Math"/>
          <w:i/>
          <w:iCs/>
          <w:vertAlign w:val="subscript"/>
          <w:lang w:val="vi-VN"/>
        </w:rPr>
        <w:t>it</w:t>
      </w:r>
      <w:r w:rsidRPr="00122EEA">
        <w:rPr>
          <w:rFonts w:ascii="Cambria Math" w:eastAsia="Times New Roman" w:hAnsi="Cambria Math"/>
          <w:i/>
          <w:iCs/>
          <w:lang w:val="vi-VN"/>
        </w:rPr>
        <w:t xml:space="preserve"> + ψ</w:t>
      </w:r>
      <w:r w:rsidRPr="00122EEA">
        <w:rPr>
          <w:rFonts w:ascii="Cambria Math" w:eastAsia="Times New Roman" w:hAnsi="Cambria Math"/>
          <w:i/>
          <w:iCs/>
          <w:vertAlign w:val="subscript"/>
          <w:lang w:val="vi-VN"/>
        </w:rPr>
        <w:t>jt</w:t>
      </w:r>
      <w:r w:rsidRPr="00122EEA">
        <w:rPr>
          <w:rFonts w:ascii="Cambria Math" w:eastAsia="Times New Roman" w:hAnsi="Cambria Math"/>
          <w:i/>
          <w:iCs/>
          <w:lang w:val="vi-VN"/>
        </w:rPr>
        <w:t xml:space="preserve"> + θ</w:t>
      </w:r>
      <w:r w:rsidRPr="00122EEA">
        <w:rPr>
          <w:rFonts w:ascii="Cambria Math" w:eastAsia="Times New Roman" w:hAnsi="Cambria Math"/>
          <w:i/>
          <w:iCs/>
          <w:vertAlign w:val="subscript"/>
          <w:lang w:val="vi-VN"/>
        </w:rPr>
        <w:t>kt</w:t>
      </w:r>
      <w:r w:rsidRPr="00122EEA">
        <w:rPr>
          <w:rFonts w:ascii="Cambria Math" w:eastAsia="Times New Roman" w:hAnsi="Cambria Math"/>
          <w:i/>
          <w:iCs/>
          <w:lang w:val="vi-VN"/>
        </w:rPr>
        <w:t xml:space="preserve"> + ν</w:t>
      </w:r>
      <w:r w:rsidRPr="00122EEA">
        <w:rPr>
          <w:rFonts w:ascii="Cambria Math" w:eastAsia="Times New Roman" w:hAnsi="Cambria Math"/>
          <w:i/>
          <w:iCs/>
          <w:vertAlign w:val="subscript"/>
          <w:lang w:val="vi-VN"/>
        </w:rPr>
        <w:t>ijkt</w:t>
      </w:r>
      <w:r w:rsidRPr="00122EEA">
        <w:rPr>
          <w:rFonts w:ascii="Cambria Math" w:eastAsia="Times New Roman" w:hAnsi="Cambria Math"/>
          <w:i/>
          <w:iCs/>
          <w:lang w:val="vi-VN"/>
        </w:rPr>
        <w:t xml:space="preserve"> </w:t>
      </w:r>
    </w:p>
    <w:p w14:paraId="2B042323" w14:textId="77777777" w:rsidR="007E0CEE" w:rsidRPr="00122EEA" w:rsidRDefault="007E0CEE" w:rsidP="0039478D">
      <w:pPr>
        <w:numPr>
          <w:ilvl w:val="0"/>
          <w:numId w:val="8"/>
        </w:numPr>
        <w:spacing w:before="100" w:beforeAutospacing="1" w:after="60"/>
        <w:ind w:left="1170" w:right="450"/>
        <w:jc w:val="both"/>
        <w:divId w:val="510070646"/>
        <w:rPr>
          <w:rFonts w:eastAsia="Times New Roman"/>
          <w:lang w:val="vi-VN"/>
        </w:rPr>
      </w:pPr>
      <w:r w:rsidRPr="00122EEA">
        <w:rPr>
          <w:rFonts w:eastAsia="Times New Roman"/>
          <w:lang w:val="vi-VN"/>
        </w:rPr>
        <w:t>Ước lượng trên mẫu các liên kết đang hoạt động (TradeValue</w:t>
      </w:r>
      <w:r w:rsidRPr="00122EEA">
        <w:rPr>
          <w:rFonts w:eastAsia="Times New Roman"/>
          <w:vertAlign w:val="subscript"/>
          <w:lang w:val="vi-VN"/>
        </w:rPr>
        <w:t>ijk,t-1</w:t>
      </w:r>
      <w:r w:rsidRPr="00122EEA">
        <w:rPr>
          <w:rFonts w:eastAsia="Times New Roman"/>
          <w:lang w:val="vi-VN"/>
        </w:rPr>
        <w:t xml:space="preserve"> &gt; 0). Mô hình LPM cho phép kiểm soát trọn vẹn 4 chiều Fixed Effects mà không gặp lỗi phi tuyến hay tham số phụ.</w:t>
      </w:r>
    </w:p>
    <w:p w14:paraId="58C4BC99" w14:textId="77777777" w:rsidR="007E0CEE" w:rsidRPr="00122EEA" w:rsidRDefault="007E0CEE" w:rsidP="0039478D">
      <w:pPr>
        <w:pStyle w:val="Heading3"/>
        <w:ind w:left="450" w:right="450"/>
        <w:jc w:val="both"/>
        <w:divId w:val="510070646"/>
        <w:rPr>
          <w:rFonts w:eastAsia="Times New Roman"/>
          <w:color w:val="auto"/>
          <w:lang w:val="vi-VN"/>
        </w:rPr>
      </w:pPr>
      <w:r w:rsidRPr="00122EEA">
        <w:rPr>
          <w:rFonts w:eastAsia="Times New Roman"/>
          <w:color w:val="auto"/>
          <w:lang w:val="vi-VN"/>
        </w:rPr>
        <w:t>7.3. Kỹ thuật suy diễn thống kê chuẩn mực</w:t>
      </w:r>
    </w:p>
    <w:p w14:paraId="0E840CFB" w14:textId="77777777" w:rsidR="007E0CEE" w:rsidRPr="00122EEA" w:rsidRDefault="007E0CEE" w:rsidP="0039478D">
      <w:pPr>
        <w:numPr>
          <w:ilvl w:val="0"/>
          <w:numId w:val="9"/>
        </w:numPr>
        <w:spacing w:before="100" w:beforeAutospacing="1" w:after="60"/>
        <w:ind w:left="1170" w:right="450"/>
        <w:jc w:val="both"/>
        <w:divId w:val="510070646"/>
        <w:rPr>
          <w:rFonts w:eastAsia="Times New Roman"/>
          <w:lang w:val="vi-VN"/>
        </w:rPr>
      </w:pPr>
      <w:r w:rsidRPr="00122EEA">
        <w:rPr>
          <w:rStyle w:val="Strong"/>
          <w:rFonts w:eastAsia="Times New Roman"/>
          <w:lang w:val="vi-VN"/>
        </w:rPr>
        <w:lastRenderedPageBreak/>
        <w:t>Sai số chuẩn gom cụm 2 chiều (Two-way clustering):</w:t>
      </w:r>
      <w:r w:rsidRPr="00122EEA">
        <w:rPr>
          <w:rFonts w:eastAsia="Times New Roman"/>
          <w:lang w:val="vi-VN"/>
        </w:rPr>
        <w:t xml:space="preserve"> Gom cụm đồng thời theo Cặp quốc gia và theo Năm (Cameron et al., 2011).</w:t>
      </w:r>
    </w:p>
    <w:p w14:paraId="7AF2B306" w14:textId="77777777" w:rsidR="007E0CEE" w:rsidRPr="00122EEA" w:rsidRDefault="007E0CEE" w:rsidP="0039478D">
      <w:pPr>
        <w:numPr>
          <w:ilvl w:val="0"/>
          <w:numId w:val="9"/>
        </w:numPr>
        <w:spacing w:before="100" w:beforeAutospacing="1" w:after="60"/>
        <w:ind w:left="1170" w:right="450"/>
        <w:jc w:val="both"/>
        <w:divId w:val="510070646"/>
        <w:rPr>
          <w:rFonts w:eastAsia="Times New Roman"/>
          <w:lang w:val="vi-VN"/>
        </w:rPr>
      </w:pPr>
      <w:r w:rsidRPr="00122EEA">
        <w:rPr>
          <w:rStyle w:val="Strong"/>
          <w:rFonts w:eastAsia="Times New Roman"/>
          <w:lang w:val="vi-VN"/>
        </w:rPr>
        <w:t>Hiệu chỉnh kiểm định đa giả thuyết (Multiple Testing Correction):</w:t>
      </w:r>
      <w:r w:rsidRPr="00122EEA">
        <w:rPr>
          <w:rFonts w:eastAsia="Times New Roman"/>
          <w:lang w:val="vi-VN"/>
        </w:rPr>
        <w:t xml:space="preserve"> Kiểm soát tỷ lệ phát hiện sai bằng quy trình Benjamini–Hochberg (BH-FDR q-values) cho 10 phân ngành và 14 điều khoản đơn lẻ.</w:t>
      </w:r>
    </w:p>
    <w:p w14:paraId="4BCAF613" w14:textId="77777777" w:rsidR="007E0CEE" w:rsidRPr="00122EEA" w:rsidRDefault="007E0CEE" w:rsidP="0039478D">
      <w:pPr>
        <w:numPr>
          <w:ilvl w:val="0"/>
          <w:numId w:val="9"/>
        </w:numPr>
        <w:spacing w:before="100" w:beforeAutospacing="1" w:after="60"/>
        <w:ind w:left="1170" w:right="450"/>
        <w:jc w:val="both"/>
        <w:divId w:val="510070646"/>
        <w:rPr>
          <w:rFonts w:eastAsia="Times New Roman"/>
          <w:lang w:val="vi-VN"/>
        </w:rPr>
      </w:pPr>
      <w:r w:rsidRPr="00122EEA">
        <w:rPr>
          <w:rStyle w:val="Strong"/>
          <w:rFonts w:eastAsia="Times New Roman"/>
          <w:lang w:val="vi-VN"/>
        </w:rPr>
        <w:t>Kiểm tra độ vững chuyên sâu:</w:t>
      </w:r>
      <w:r w:rsidRPr="00122EEA">
        <w:rPr>
          <w:rFonts w:eastAsia="Times New Roman"/>
          <w:lang w:val="vi-VN"/>
        </w:rPr>
        <w:t xml:space="preserve"> Phân tích loại trừ từng năm một (Leave-one-year-out qua 16 vòng), bóc tách quy mô liên kết (≥ 100k USD, ≥ 1M USD), và mở rộng trên chuỗi rủi ro quốc gia riêng biệt (44 nước).</w:t>
      </w:r>
    </w:p>
    <w:p w14:paraId="444F0B59" w14:textId="77777777" w:rsidR="007E0CEE" w:rsidRPr="00122EEA" w:rsidRDefault="007E0CEE" w:rsidP="0039478D">
      <w:pPr>
        <w:pStyle w:val="Heading2"/>
        <w:spacing w:after="450"/>
        <w:ind w:left="450" w:right="450"/>
        <w:jc w:val="both"/>
        <w:divId w:val="510070646"/>
        <w:rPr>
          <w:rFonts w:eastAsia="Times New Roman"/>
          <w:lang w:val="vi-VN"/>
        </w:rPr>
      </w:pPr>
      <w:r w:rsidRPr="00122EEA">
        <w:rPr>
          <w:rFonts w:eastAsia="Times New Roman"/>
          <w:lang w:val="vi-VN"/>
        </w:rPr>
        <w:t>8. KẾT QUẢ THỰC NGHIỆM CHÍNH VÀ CƠ CHẾ KINH TẾ</w:t>
      </w:r>
    </w:p>
    <w:tbl>
      <w:tblPr>
        <w:tblW w:w="5000" w:type="pct"/>
        <w:tblCellMar>
          <w:top w:w="15" w:type="dxa"/>
          <w:left w:w="15" w:type="dxa"/>
          <w:bottom w:w="15" w:type="dxa"/>
          <w:right w:w="15" w:type="dxa"/>
        </w:tblCellMar>
        <w:tblLook w:val="04A0" w:firstRow="1" w:lastRow="0" w:firstColumn="1" w:lastColumn="0" w:noHBand="0" w:noVBand="1"/>
      </w:tblPr>
      <w:tblGrid>
        <w:gridCol w:w="2802"/>
        <w:gridCol w:w="3736"/>
        <w:gridCol w:w="2802"/>
      </w:tblGrid>
      <w:tr w:rsidR="004526A1" w:rsidRPr="00122EEA" w14:paraId="1E20D940" w14:textId="77777777">
        <w:trPr>
          <w:divId w:val="510070646"/>
        </w:trPr>
        <w:tc>
          <w:tcPr>
            <w:tcW w:w="1500" w:type="pct"/>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27732402" w14:textId="77777777" w:rsidR="007E0CEE" w:rsidRPr="00122EEA" w:rsidRDefault="007E0CEE" w:rsidP="0039478D">
            <w:pPr>
              <w:spacing w:before="180" w:after="240"/>
              <w:jc w:val="both"/>
              <w:rPr>
                <w:rFonts w:eastAsia="Times New Roman"/>
                <w:b/>
                <w:bCs/>
                <w:sz w:val="23"/>
                <w:szCs w:val="23"/>
              </w:rPr>
            </w:pPr>
            <w:r w:rsidRPr="00122EEA">
              <w:rPr>
                <w:rFonts w:eastAsia="Times New Roman"/>
                <w:b/>
                <w:bCs/>
                <w:sz w:val="23"/>
                <w:szCs w:val="23"/>
              </w:rPr>
              <w:t>Nội dung kiểm định</w:t>
            </w:r>
          </w:p>
        </w:tc>
        <w:tc>
          <w:tcPr>
            <w:tcW w:w="2000" w:type="pct"/>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07392FEE" w14:textId="77777777" w:rsidR="007E0CEE" w:rsidRPr="00122EEA" w:rsidRDefault="007E0CEE" w:rsidP="0039478D">
            <w:pPr>
              <w:spacing w:before="180" w:after="240"/>
              <w:jc w:val="both"/>
              <w:rPr>
                <w:rFonts w:eastAsia="Times New Roman"/>
                <w:b/>
                <w:bCs/>
                <w:sz w:val="23"/>
                <w:szCs w:val="23"/>
              </w:rPr>
            </w:pPr>
            <w:r w:rsidRPr="00122EEA">
              <w:rPr>
                <w:rFonts w:eastAsia="Times New Roman"/>
                <w:b/>
                <w:bCs/>
                <w:sz w:val="23"/>
                <w:szCs w:val="23"/>
              </w:rPr>
              <w:t>Kết quả ước lượng định lượng</w:t>
            </w:r>
          </w:p>
        </w:tc>
        <w:tc>
          <w:tcPr>
            <w:tcW w:w="1500" w:type="pct"/>
            <w:tcBorders>
              <w:top w:val="single" w:sz="8" w:space="0" w:color="CBD5E1"/>
              <w:left w:val="single" w:sz="8" w:space="0" w:color="CBD5E1"/>
              <w:bottom w:val="single" w:sz="8" w:space="0" w:color="CBD5E1"/>
              <w:right w:val="single" w:sz="8" w:space="0" w:color="CBD5E1"/>
            </w:tcBorders>
            <w:shd w:val="clear" w:color="auto" w:fill="F1F5F9"/>
            <w:tcMar>
              <w:top w:w="90" w:type="dxa"/>
              <w:left w:w="150" w:type="dxa"/>
              <w:bottom w:w="90" w:type="dxa"/>
              <w:right w:w="150" w:type="dxa"/>
            </w:tcMar>
            <w:hideMark/>
          </w:tcPr>
          <w:p w14:paraId="37F070B6" w14:textId="77777777" w:rsidR="007E0CEE" w:rsidRPr="00122EEA" w:rsidRDefault="007E0CEE" w:rsidP="0039478D">
            <w:pPr>
              <w:spacing w:before="180" w:after="240"/>
              <w:jc w:val="both"/>
              <w:rPr>
                <w:rFonts w:eastAsia="Times New Roman"/>
                <w:b/>
                <w:bCs/>
                <w:sz w:val="23"/>
                <w:szCs w:val="23"/>
              </w:rPr>
            </w:pPr>
            <w:r w:rsidRPr="00122EEA">
              <w:rPr>
                <w:rFonts w:eastAsia="Times New Roman"/>
                <w:b/>
                <w:bCs/>
                <w:sz w:val="23"/>
                <w:szCs w:val="23"/>
              </w:rPr>
              <w:t>Cơ chế &amp; Diễn giải</w:t>
            </w:r>
          </w:p>
        </w:tc>
      </w:tr>
      <w:tr w:rsidR="004526A1" w:rsidRPr="00122EEA" w14:paraId="13D4DA59"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D3B2BA3"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Tác động tổng thể của FTA dưới cú sốc GPR (H1)</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1205FFAF" w14:textId="0D34A248" w:rsidR="007E0CEE" w:rsidRPr="00122EEA" w:rsidRDefault="007E0CEE" w:rsidP="0039478D">
            <w:pPr>
              <w:spacing w:before="180" w:after="240"/>
              <w:jc w:val="both"/>
              <w:rPr>
                <w:rFonts w:eastAsia="Times New Roman"/>
                <w:sz w:val="23"/>
                <w:szCs w:val="23"/>
              </w:rPr>
            </w:pPr>
            <w:r w:rsidRPr="00122EEA">
              <w:rPr>
                <w:rFonts w:eastAsia="Times New Roman"/>
                <w:sz w:val="23"/>
                <w:szCs w:val="23"/>
              </w:rPr>
              <w:t xml:space="preserve">Hệ số tương tác: </w:t>
            </w:r>
            <w:r w:rsidR="00573CD5" w:rsidRPr="00573CD5">
              <w:rPr>
                <w:rStyle w:val="Strong"/>
                <w:rFonts w:eastAsia="Times New Roman"/>
                <w:sz w:val="23"/>
                <w:szCs w:val="23"/>
              </w:rPr>
              <w:t>-</w:t>
            </w:r>
            <w:r w:rsidRPr="00122EEA">
              <w:rPr>
                <w:rStyle w:val="Strong"/>
                <w:rFonts w:eastAsia="Times New Roman"/>
                <w:sz w:val="23"/>
                <w:szCs w:val="23"/>
              </w:rPr>
              <w:t>0,0241** (p = 0,024)</w:t>
            </w:r>
            <w:r w:rsidRPr="00122EEA">
              <w:rPr>
                <w:rFonts w:eastAsia="Times New Roman"/>
                <w:sz w:val="23"/>
                <w:szCs w:val="23"/>
              </w:rPr>
              <w:t>.</w:t>
            </w:r>
            <w:r w:rsidRPr="00122EEA">
              <w:rPr>
                <w:rFonts w:eastAsia="Times New Roman"/>
                <w:sz w:val="23"/>
                <w:szCs w:val="23"/>
              </w:rPr>
              <w:br/>
              <w:t xml:space="preserve">Kim ngạch giảm thêm </w:t>
            </w:r>
            <w:r w:rsidR="00573CD5" w:rsidRPr="00573CD5">
              <w:rPr>
                <w:rStyle w:val="Strong"/>
                <w:rFonts w:eastAsia="Times New Roman"/>
                <w:sz w:val="23"/>
                <w:szCs w:val="23"/>
              </w:rPr>
              <w:t>-</w:t>
            </w:r>
            <w:r w:rsidRPr="00122EEA">
              <w:rPr>
                <w:rStyle w:val="Strong"/>
                <w:rFonts w:eastAsia="Times New Roman"/>
                <w:sz w:val="23"/>
                <w:szCs w:val="23"/>
              </w:rPr>
              <w:t>2,38%</w:t>
            </w:r>
            <w:r w:rsidRPr="00122EEA">
              <w:rPr>
                <w:rFonts w:eastAsia="Times New Roman"/>
                <w:sz w:val="23"/>
                <w:szCs w:val="23"/>
              </w:rPr>
              <w:t xml:space="preserve"> (và </w:t>
            </w:r>
            <w:r w:rsidR="00573CD5" w:rsidRPr="00573CD5">
              <w:rPr>
                <w:rStyle w:val="Strong"/>
                <w:rFonts w:eastAsia="Times New Roman"/>
                <w:sz w:val="23"/>
                <w:szCs w:val="23"/>
              </w:rPr>
              <w:t>-</w:t>
            </w:r>
            <w:r w:rsidRPr="00122EEA">
              <w:rPr>
                <w:rStyle w:val="Strong"/>
                <w:rFonts w:eastAsia="Times New Roman"/>
                <w:sz w:val="23"/>
                <w:szCs w:val="23"/>
              </w:rPr>
              <w:t>3,75%</w:t>
            </w:r>
            <w:r w:rsidRPr="00122EEA">
              <w:rPr>
                <w:rFonts w:eastAsia="Times New Roman"/>
                <w:sz w:val="23"/>
                <w:szCs w:val="23"/>
              </w:rPr>
              <w:t xml:space="preserve"> ở mô hình kết hợp) so với đối tác phi FTA.</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B2E8C9B"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Hội nhập tạo ra tổn thương (Exposure):</w:t>
            </w:r>
            <w:r w:rsidRPr="00122EEA">
              <w:rPr>
                <w:rFonts w:eastAsia="Times New Roman"/>
                <w:sz w:val="23"/>
                <w:szCs w:val="23"/>
              </w:rPr>
              <w:t xml:space="preserve"> Do sự gắn kết chuỗi giá trị và phụ thuộc lẫn nhau, khi rủi ro tăng cao, các đối tác FTA cắt giảm mạnh hơn.</w:t>
            </w:r>
          </w:p>
        </w:tc>
      </w:tr>
      <w:tr w:rsidR="004526A1" w:rsidRPr="00122EEA" w14:paraId="1CB6D759"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7C9391C"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Phân hóa ngành theo tính chất GVC (H1 - Scope)</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DA0CA87" w14:textId="45AB06AE" w:rsidR="007E0CEE" w:rsidRPr="00122EEA" w:rsidRDefault="007E0CEE" w:rsidP="0039478D">
            <w:pPr>
              <w:spacing w:before="180" w:after="240"/>
              <w:jc w:val="both"/>
              <w:rPr>
                <w:rFonts w:eastAsia="Times New Roman"/>
                <w:sz w:val="23"/>
                <w:szCs w:val="23"/>
              </w:rPr>
            </w:pPr>
            <w:r w:rsidRPr="00122EEA">
              <w:rPr>
                <w:rFonts w:eastAsia="Times New Roman"/>
                <w:sz w:val="23"/>
                <w:szCs w:val="23"/>
              </w:rPr>
              <w:t>Sụt giảm nặng nề nhất ở các ngành chuỗi giá trị phức tạp: Thiết bị vận tải (</w:t>
            </w:r>
            <w:r w:rsidR="009601DC" w:rsidRPr="00573CD5">
              <w:rPr>
                <w:rStyle w:val="Strong"/>
                <w:rFonts w:eastAsia="Times New Roman"/>
                <w:sz w:val="23"/>
                <w:szCs w:val="23"/>
              </w:rPr>
              <w:t>-</w:t>
            </w:r>
            <w:r w:rsidRPr="00122EEA">
              <w:rPr>
                <w:rStyle w:val="Strong"/>
                <w:rFonts w:eastAsia="Times New Roman"/>
                <w:sz w:val="23"/>
                <w:szCs w:val="23"/>
              </w:rPr>
              <w:t>4,63%</w:t>
            </w:r>
            <w:r w:rsidRPr="00122EEA">
              <w:rPr>
                <w:rFonts w:eastAsia="Times New Roman"/>
                <w:sz w:val="23"/>
                <w:szCs w:val="23"/>
              </w:rPr>
              <w:t>), Dệt may da giày (</w:t>
            </w:r>
            <w:r w:rsidR="009601DC" w:rsidRPr="00573CD5">
              <w:rPr>
                <w:rStyle w:val="Strong"/>
                <w:rFonts w:eastAsia="Times New Roman"/>
                <w:sz w:val="23"/>
                <w:szCs w:val="23"/>
              </w:rPr>
              <w:t>-</w:t>
            </w:r>
            <w:r w:rsidRPr="00122EEA">
              <w:rPr>
                <w:rStyle w:val="Strong"/>
                <w:rFonts w:eastAsia="Times New Roman"/>
                <w:sz w:val="23"/>
                <w:szCs w:val="23"/>
              </w:rPr>
              <w:t>4,37%</w:t>
            </w:r>
            <w:r w:rsidRPr="00122EEA">
              <w:rPr>
                <w:rFonts w:eastAsia="Times New Roman"/>
                <w:sz w:val="23"/>
                <w:szCs w:val="23"/>
              </w:rPr>
              <w:t>), Điện tử &amp; máy móc (</w:t>
            </w:r>
            <w:r w:rsidR="009601DC" w:rsidRPr="00573CD5">
              <w:rPr>
                <w:rStyle w:val="Strong"/>
                <w:rFonts w:eastAsia="Times New Roman"/>
                <w:sz w:val="23"/>
                <w:szCs w:val="23"/>
              </w:rPr>
              <w:t>-</w:t>
            </w:r>
            <w:r w:rsidRPr="00122EEA">
              <w:rPr>
                <w:rStyle w:val="Strong"/>
                <w:rFonts w:eastAsia="Times New Roman"/>
                <w:sz w:val="23"/>
                <w:szCs w:val="23"/>
              </w:rPr>
              <w:t>3,43%</w:t>
            </w:r>
            <w:r w:rsidRPr="00122EEA">
              <w:rPr>
                <w:rFonts w:eastAsia="Times New Roman"/>
                <w:sz w:val="23"/>
                <w:szCs w:val="23"/>
              </w:rPr>
              <w:t>). Các ngành hàng hóa thô (khoáng sản, nông sản) không bị ảnh hưởng.</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C867157"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Tính đặc thù tài sản (Asset-specificity):</w:t>
            </w:r>
            <w:r w:rsidRPr="00122EEA">
              <w:rPr>
                <w:rFonts w:eastAsia="Times New Roman"/>
                <w:sz w:val="23"/>
                <w:szCs w:val="23"/>
              </w:rPr>
              <w:t xml:space="preserve"> Hàng linh kiện chuyên biệt khó tìm nguồn cung thay thế ngắn hạn trên thị trường giao ngay, khiến cú sốc lan truyền dọc chuỗi.</w:t>
            </w:r>
          </w:p>
        </w:tc>
      </w:tr>
      <w:tr w:rsidR="004526A1" w:rsidRPr="00122EEA" w14:paraId="7732A527"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2D702269"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Nghịch lý hai biên độ &amp; Cắt tỉa chọn lọc (H3a)</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41E4EF02" w14:textId="72ED7D0F" w:rsidR="007E0CEE" w:rsidRPr="00122EEA" w:rsidRDefault="007E0CEE" w:rsidP="0039478D">
            <w:pPr>
              <w:spacing w:before="180" w:after="240"/>
              <w:jc w:val="both"/>
              <w:rPr>
                <w:rFonts w:eastAsia="Times New Roman"/>
                <w:sz w:val="23"/>
                <w:szCs w:val="23"/>
              </w:rPr>
            </w:pPr>
            <w:r w:rsidRPr="00122EEA">
              <w:rPr>
                <w:rFonts w:eastAsia="Times New Roman"/>
                <w:sz w:val="23"/>
                <w:szCs w:val="23"/>
              </w:rPr>
              <w:t xml:space="preserve">• </w:t>
            </w:r>
            <w:r w:rsidRPr="00122EEA">
              <w:rPr>
                <w:rStyle w:val="Emphasis"/>
                <w:rFonts w:eastAsia="Times New Roman"/>
                <w:sz w:val="23"/>
                <w:szCs w:val="23"/>
              </w:rPr>
              <w:t>Biên độ giá trị:</w:t>
            </w:r>
            <w:r w:rsidRPr="00122EEA">
              <w:rPr>
                <w:rFonts w:eastAsia="Times New Roman"/>
                <w:sz w:val="23"/>
                <w:szCs w:val="23"/>
              </w:rPr>
              <w:t xml:space="preserve"> DTA depth giữ nguyên giá trị (+2,84% ở mẫu rủi ro song phương).</w:t>
            </w:r>
            <w:r w:rsidRPr="00122EEA">
              <w:rPr>
                <w:rFonts w:eastAsia="Times New Roman"/>
                <w:sz w:val="23"/>
                <w:szCs w:val="23"/>
              </w:rPr>
              <w:br/>
              <w:t xml:space="preserve">• </w:t>
            </w:r>
            <w:r w:rsidRPr="00122EEA">
              <w:rPr>
                <w:rStyle w:val="Emphasis"/>
                <w:rFonts w:eastAsia="Times New Roman"/>
                <w:sz w:val="23"/>
                <w:szCs w:val="23"/>
              </w:rPr>
              <w:t>Biên độ sống sót:</w:t>
            </w:r>
            <w:r w:rsidRPr="00122EEA">
              <w:rPr>
                <w:rFonts w:eastAsia="Times New Roman"/>
                <w:sz w:val="23"/>
                <w:szCs w:val="23"/>
              </w:rPr>
              <w:t xml:space="preserve"> Hệ số </w:t>
            </w:r>
            <w:r w:rsidR="009601DC" w:rsidRPr="009601DC">
              <w:rPr>
                <w:rStyle w:val="Strong"/>
                <w:rFonts w:eastAsia="Times New Roman"/>
                <w:sz w:val="23"/>
                <w:szCs w:val="23"/>
              </w:rPr>
              <w:t>-</w:t>
            </w:r>
            <w:r w:rsidRPr="00122EEA">
              <w:rPr>
                <w:rStyle w:val="Strong"/>
                <w:rFonts w:eastAsia="Times New Roman"/>
                <w:sz w:val="23"/>
                <w:szCs w:val="23"/>
              </w:rPr>
              <w:t>0,0052*** (p = 0,007)</w:t>
            </w:r>
            <w:r w:rsidRPr="00122EEA">
              <w:rPr>
                <w:rFonts w:eastAsia="Times New Roman"/>
                <w:sz w:val="23"/>
                <w:szCs w:val="23"/>
              </w:rPr>
              <w:t xml:space="preserve">. Cứ 10 điều khoản ràng buộc làm giảm </w:t>
            </w:r>
            <w:r w:rsidRPr="00122EEA">
              <w:rPr>
                <w:rStyle w:val="Strong"/>
                <w:rFonts w:eastAsia="Times New Roman"/>
                <w:sz w:val="23"/>
                <w:szCs w:val="23"/>
              </w:rPr>
              <w:t>0,52 điểm %</w:t>
            </w:r>
            <w:r w:rsidRPr="00122EEA">
              <w:rPr>
                <w:rFonts w:eastAsia="Times New Roman"/>
                <w:sz w:val="23"/>
                <w:szCs w:val="23"/>
              </w:rPr>
              <w:t xml:space="preserve"> xác suất sống sót.</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06B209E7"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Chi phí tuân thủ cố định (Selective Pruning):</w:t>
            </w:r>
            <w:r w:rsidRPr="00122EEA">
              <w:rPr>
                <w:rFonts w:eastAsia="Times New Roman"/>
                <w:sz w:val="23"/>
                <w:szCs w:val="23"/>
              </w:rPr>
              <w:t xml:space="preserve"> Chi phí hành chính và xuất xứ đè nặng lên các dòng thương mại nhỏ khiến chúng bị xóa sổ, trong khi các dòng giao dịch lớn cốt lõi vẫn trụ vững.</w:t>
            </w:r>
          </w:p>
        </w:tc>
      </w:tr>
      <w:tr w:rsidR="004526A1" w:rsidRPr="00122EEA" w14:paraId="4A52BF9C" w14:textId="77777777">
        <w:trPr>
          <w:divId w:val="510070646"/>
        </w:trPr>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CF6B8E2"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Khả năng phục hồi sau đứt gãy (H3b)</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501FAFB6" w14:textId="77777777" w:rsidR="007E0CEE" w:rsidRPr="00122EEA" w:rsidRDefault="007E0CEE" w:rsidP="0039478D">
            <w:pPr>
              <w:spacing w:before="180" w:after="240"/>
              <w:jc w:val="both"/>
              <w:rPr>
                <w:rFonts w:eastAsia="Times New Roman"/>
                <w:sz w:val="23"/>
                <w:szCs w:val="23"/>
              </w:rPr>
            </w:pPr>
            <w:r w:rsidRPr="00122EEA">
              <w:rPr>
                <w:rFonts w:eastAsia="Times New Roman"/>
                <w:sz w:val="23"/>
                <w:szCs w:val="23"/>
              </w:rPr>
              <w:t>Hệ số tái gia nhập sau 2 năm không có ý nghĩa thống kê (p &gt; 0,40).</w:t>
            </w:r>
          </w:p>
        </w:tc>
        <w:tc>
          <w:tcPr>
            <w:tcW w:w="0" w:type="auto"/>
            <w:tcBorders>
              <w:top w:val="single" w:sz="8" w:space="0" w:color="CBD5E1"/>
              <w:left w:val="single" w:sz="8" w:space="0" w:color="CBD5E1"/>
              <w:bottom w:val="single" w:sz="8" w:space="0" w:color="CBD5E1"/>
              <w:right w:val="single" w:sz="8" w:space="0" w:color="CBD5E1"/>
            </w:tcBorders>
            <w:tcMar>
              <w:top w:w="90" w:type="dxa"/>
              <w:left w:w="150" w:type="dxa"/>
              <w:bottom w:w="90" w:type="dxa"/>
              <w:right w:w="150" w:type="dxa"/>
            </w:tcMar>
            <w:hideMark/>
          </w:tcPr>
          <w:p w14:paraId="6AA4AB76" w14:textId="77777777" w:rsidR="007E0CEE" w:rsidRPr="00122EEA" w:rsidRDefault="007E0CEE" w:rsidP="0039478D">
            <w:pPr>
              <w:spacing w:before="180" w:after="240"/>
              <w:jc w:val="both"/>
              <w:rPr>
                <w:rFonts w:eastAsia="Times New Roman"/>
                <w:sz w:val="23"/>
                <w:szCs w:val="23"/>
              </w:rPr>
            </w:pPr>
            <w:r w:rsidRPr="00122EEA">
              <w:rPr>
                <w:rStyle w:val="Strong"/>
                <w:rFonts w:eastAsia="Times New Roman"/>
                <w:sz w:val="23"/>
                <w:szCs w:val="23"/>
              </w:rPr>
              <w:t>Ma sát tạm thời:</w:t>
            </w:r>
            <w:r w:rsidRPr="00122EEA">
              <w:rPr>
                <w:rFonts w:eastAsia="Times New Roman"/>
                <w:sz w:val="23"/>
                <w:szCs w:val="23"/>
              </w:rPr>
              <w:t xml:space="preserve"> Sự đứt gãy trong thời kỳ rủi ro </w:t>
            </w:r>
            <w:r w:rsidRPr="00122EEA">
              <w:rPr>
                <w:rFonts w:eastAsia="Times New Roman"/>
                <w:sz w:val="23"/>
                <w:szCs w:val="23"/>
              </w:rPr>
              <w:lastRenderedPageBreak/>
              <w:t>không gây ra tổn thương vĩnh viễn (hysteresis).</w:t>
            </w:r>
          </w:p>
        </w:tc>
      </w:tr>
    </w:tbl>
    <w:p w14:paraId="638D932B" w14:textId="77777777" w:rsidR="007E0CEE" w:rsidRPr="00122EEA" w:rsidRDefault="007E0CEE" w:rsidP="0039478D">
      <w:pPr>
        <w:pStyle w:val="Heading2"/>
        <w:ind w:left="450" w:right="450"/>
        <w:jc w:val="both"/>
        <w:divId w:val="510070646"/>
        <w:rPr>
          <w:rFonts w:eastAsia="Times New Roman"/>
          <w:lang w:val="vi-VN"/>
        </w:rPr>
      </w:pPr>
      <w:r w:rsidRPr="00122EEA">
        <w:rPr>
          <w:rFonts w:eastAsia="Times New Roman"/>
          <w:lang w:val="vi-VN"/>
        </w:rPr>
        <w:lastRenderedPageBreak/>
        <w:t>9. ĐÓNG GÓP HỌC THUẬT VÀ Ý NGHĨA THỰC TIỄN</w:t>
      </w:r>
    </w:p>
    <w:p w14:paraId="4953CE1C" w14:textId="77777777" w:rsidR="007E0CEE" w:rsidRPr="00122EEA" w:rsidRDefault="007E0CEE" w:rsidP="0039478D">
      <w:pPr>
        <w:pStyle w:val="Heading3"/>
        <w:ind w:left="450" w:right="450"/>
        <w:jc w:val="both"/>
        <w:divId w:val="510070646"/>
        <w:rPr>
          <w:rFonts w:eastAsia="Times New Roman"/>
          <w:color w:val="auto"/>
          <w:lang w:val="vi-VN"/>
        </w:rPr>
      </w:pPr>
      <w:r w:rsidRPr="00122EEA">
        <w:rPr>
          <w:rFonts w:eastAsia="Times New Roman"/>
          <w:color w:val="auto"/>
          <w:lang w:val="vi-VN"/>
        </w:rPr>
        <w:t>9.1. Đóng góp học thuật</w:t>
      </w:r>
    </w:p>
    <w:p w14:paraId="2F16DAD2" w14:textId="77777777" w:rsidR="007E0CEE" w:rsidRPr="00122EEA" w:rsidRDefault="007E0CEE" w:rsidP="0039478D">
      <w:pPr>
        <w:numPr>
          <w:ilvl w:val="0"/>
          <w:numId w:val="10"/>
        </w:numPr>
        <w:spacing w:before="100" w:beforeAutospacing="1" w:after="60"/>
        <w:ind w:left="1170" w:right="450"/>
        <w:jc w:val="both"/>
        <w:divId w:val="510070646"/>
        <w:rPr>
          <w:rFonts w:eastAsia="Times New Roman"/>
          <w:lang w:val="vi-VN"/>
        </w:rPr>
      </w:pPr>
      <w:r w:rsidRPr="00122EEA">
        <w:rPr>
          <w:rStyle w:val="Strong"/>
          <w:rFonts w:eastAsia="Times New Roman"/>
          <w:lang w:val="vi-VN"/>
        </w:rPr>
        <w:t>Tiên phong đánh giá DTA dưới góc độ hấp thụ cú sốc:</w:t>
      </w:r>
      <w:r w:rsidRPr="00122EEA">
        <w:rPr>
          <w:rFonts w:eastAsia="Times New Roman"/>
          <w:lang w:val="vi-VN"/>
        </w:rPr>
        <w:t xml:space="preserve"> Là một trong những công trình thực nghiệm toàn cầu đầu tiên kiểm định vai trò điều tiết của độ sâu hiệp định thương mại trước các cú sốc địa chính trị đối với hàng hóa trung gian.</w:t>
      </w:r>
    </w:p>
    <w:p w14:paraId="1AD56B2E" w14:textId="77777777" w:rsidR="007E0CEE" w:rsidRPr="00122EEA" w:rsidRDefault="007E0CEE" w:rsidP="0039478D">
      <w:pPr>
        <w:numPr>
          <w:ilvl w:val="0"/>
          <w:numId w:val="10"/>
        </w:numPr>
        <w:spacing w:before="100" w:beforeAutospacing="1" w:after="60"/>
        <w:ind w:left="1170" w:right="450"/>
        <w:jc w:val="both"/>
        <w:divId w:val="510070646"/>
        <w:rPr>
          <w:rFonts w:eastAsia="Times New Roman"/>
          <w:lang w:val="vi-VN"/>
        </w:rPr>
      </w:pPr>
      <w:r w:rsidRPr="00122EEA">
        <w:rPr>
          <w:rStyle w:val="Strong"/>
          <w:rFonts w:eastAsia="Times New Roman"/>
          <w:lang w:val="vi-VN"/>
        </w:rPr>
        <w:t>Phát hiện "Nghịch lý hai biên độ":</w:t>
      </w:r>
      <w:r w:rsidRPr="00122EEA">
        <w:rPr>
          <w:rFonts w:eastAsia="Times New Roman"/>
          <w:lang w:val="vi-VN"/>
        </w:rPr>
        <w:t xml:space="preserve"> Chứng minh rằng việc chỉ nhìn vào kim ngạch giá trị sẽ che giấu sự xói mòn và suy yếu của mạng lưới đối tác bên dưới.</w:t>
      </w:r>
    </w:p>
    <w:p w14:paraId="087D82BB" w14:textId="77777777" w:rsidR="007E0CEE" w:rsidRPr="00122EEA" w:rsidRDefault="007E0CEE" w:rsidP="0039478D">
      <w:pPr>
        <w:numPr>
          <w:ilvl w:val="0"/>
          <w:numId w:val="10"/>
        </w:numPr>
        <w:spacing w:before="100" w:beforeAutospacing="1" w:after="60"/>
        <w:ind w:left="1170" w:right="450"/>
        <w:jc w:val="both"/>
        <w:divId w:val="510070646"/>
        <w:rPr>
          <w:rFonts w:eastAsia="Times New Roman"/>
          <w:lang w:val="vi-VN"/>
        </w:rPr>
      </w:pPr>
      <w:r w:rsidRPr="00122EEA">
        <w:rPr>
          <w:rStyle w:val="Strong"/>
          <w:rFonts w:eastAsia="Times New Roman"/>
          <w:lang w:val="vi-VN"/>
        </w:rPr>
        <w:t>Phương pháp luận hiện đại, mẫu dữ liệu đồ sộ:</w:t>
      </w:r>
      <w:r w:rsidRPr="00122EEA">
        <w:rPr>
          <w:rFonts w:eastAsia="Times New Roman"/>
          <w:lang w:val="vi-VN"/>
        </w:rPr>
        <w:t xml:space="preserve"> Xử lý bộ dữ liệu 16,75 triệu dòng với 4 chiều Fixed Effects và kiểm soát nghiêm ngặt suy diễn thống kê.</w:t>
      </w:r>
    </w:p>
    <w:p w14:paraId="520CEA31" w14:textId="77777777" w:rsidR="007E0CEE" w:rsidRPr="00122EEA" w:rsidRDefault="007E0CEE" w:rsidP="0039478D">
      <w:pPr>
        <w:pStyle w:val="Heading3"/>
        <w:ind w:left="450" w:right="450"/>
        <w:jc w:val="both"/>
        <w:divId w:val="510070646"/>
        <w:rPr>
          <w:rFonts w:eastAsia="Times New Roman"/>
          <w:color w:val="auto"/>
          <w:lang w:val="vi-VN"/>
        </w:rPr>
      </w:pPr>
      <w:r w:rsidRPr="00122EEA">
        <w:rPr>
          <w:rFonts w:eastAsia="Times New Roman"/>
          <w:color w:val="auto"/>
          <w:lang w:val="vi-VN"/>
        </w:rPr>
        <w:t>9.2. Hàm ý chính sách sâu sắc</w:t>
      </w:r>
    </w:p>
    <w:p w14:paraId="548144B9" w14:textId="77777777" w:rsidR="007E0CEE" w:rsidRPr="00122EEA" w:rsidRDefault="007E0CEE" w:rsidP="0039478D">
      <w:pPr>
        <w:numPr>
          <w:ilvl w:val="0"/>
          <w:numId w:val="11"/>
        </w:numPr>
        <w:spacing w:before="100" w:beforeAutospacing="1" w:after="60"/>
        <w:ind w:left="1170" w:right="450"/>
        <w:jc w:val="both"/>
        <w:divId w:val="510070646"/>
        <w:rPr>
          <w:rFonts w:eastAsia="Times New Roman"/>
          <w:lang w:val="vi-VN"/>
        </w:rPr>
      </w:pPr>
      <w:r w:rsidRPr="00122EEA">
        <w:rPr>
          <w:rStyle w:val="Strong"/>
          <w:rFonts w:eastAsia="Times New Roman"/>
          <w:lang w:val="vi-VN"/>
        </w:rPr>
        <w:t>Đánh giá lại chiến lược "Friend-shoring":</w:t>
      </w:r>
      <w:r w:rsidRPr="00122EEA">
        <w:rPr>
          <w:rFonts w:eastAsia="Times New Roman"/>
          <w:lang w:val="vi-VN"/>
        </w:rPr>
        <w:t xml:space="preserve"> Thể chế sâu rộng không tự động mang lại sự kiên cường chuỗi cung ứng; nếu cú sốc mang tính toàn cầu, sự liên kết chặt chẽ còn làm gia tăng tính đồng biến động.</w:t>
      </w:r>
    </w:p>
    <w:p w14:paraId="7E364EC3" w14:textId="77777777" w:rsidR="007E0CEE" w:rsidRPr="00122EEA" w:rsidRDefault="007E0CEE" w:rsidP="0039478D">
      <w:pPr>
        <w:numPr>
          <w:ilvl w:val="0"/>
          <w:numId w:val="11"/>
        </w:numPr>
        <w:spacing w:before="100" w:beforeAutospacing="1" w:after="60"/>
        <w:ind w:left="1170" w:right="450"/>
        <w:jc w:val="both"/>
        <w:divId w:val="510070646"/>
        <w:rPr>
          <w:rFonts w:eastAsia="Times New Roman"/>
          <w:lang w:val="vi-VN"/>
        </w:rPr>
      </w:pPr>
      <w:r w:rsidRPr="00122EEA">
        <w:rPr>
          <w:rStyle w:val="Strong"/>
          <w:rFonts w:eastAsia="Times New Roman"/>
          <w:lang w:val="vi-VN"/>
        </w:rPr>
        <w:t>Cải cách đòn bẩy chi phí tuân thủ:</w:t>
      </w:r>
      <w:r w:rsidRPr="00122EEA">
        <w:rPr>
          <w:rFonts w:eastAsia="Times New Roman"/>
          <w:lang w:val="vi-VN"/>
        </w:rPr>
        <w:t xml:space="preserve"> Thay vì chỉ tập trung vào mức thuế quan, các nhà đàm phán cần: (1) Đẩy mạnh cơ chế tự chứng nhận xuất xứ (self-certification); (2) Nâng ngưỡng miễn trừ chứng từ (de minimis); (3) Mở rộng quy tắc cộng gộp để bảo vệ các doanh nghiệp vừa và nhỏ (SMEs).</w:t>
      </w:r>
    </w:p>
    <w:p w14:paraId="04787BB7" w14:textId="77777777" w:rsidR="007E0CEE" w:rsidRPr="00122EEA" w:rsidRDefault="007E0CEE" w:rsidP="0039478D">
      <w:pPr>
        <w:numPr>
          <w:ilvl w:val="0"/>
          <w:numId w:val="11"/>
        </w:numPr>
        <w:spacing w:before="100" w:beforeAutospacing="1" w:after="60"/>
        <w:ind w:left="1170" w:right="450"/>
        <w:jc w:val="both"/>
        <w:divId w:val="510070646"/>
        <w:rPr>
          <w:rFonts w:eastAsia="Times New Roman"/>
          <w:lang w:val="vi-VN"/>
        </w:rPr>
      </w:pPr>
      <w:r w:rsidRPr="00122EEA">
        <w:rPr>
          <w:rStyle w:val="Strong"/>
          <w:rFonts w:eastAsia="Times New Roman"/>
          <w:lang w:val="vi-VN"/>
        </w:rPr>
        <w:t>Hàm ý trực tiếp cho Việt Nam:</w:t>
      </w:r>
      <w:r w:rsidRPr="00122EEA">
        <w:rPr>
          <w:rFonts w:eastAsia="Times New Roman"/>
          <w:lang w:val="vi-VN"/>
        </w:rPr>
        <w:t xml:space="preserve"> Việt Nam đang tham gia nhiều FTA sâu rộng (CPTPP, EVFTA). Khi rủi ro địa chính trị toàn cầu leo thang, các doanh nghiệp phụ trợ nhỏ của Việt Nam là đối tượng dễ bị "cắt tỉa" nhất. Chính phủ cần có các gói hỗ trợ giảm chi phí thủ tục tuân thủ kỹ thuật để duy trì các mối liên kết bạn hàng quốc tế.</w:t>
      </w:r>
    </w:p>
    <w:sectPr w:rsidR="007E0CEE" w:rsidRPr="00122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4280"/>
    <w:multiLevelType w:val="multilevel"/>
    <w:tmpl w:val="FA40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80A7A"/>
    <w:multiLevelType w:val="hybridMultilevel"/>
    <w:tmpl w:val="36F00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5595C"/>
    <w:multiLevelType w:val="multilevel"/>
    <w:tmpl w:val="E5989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83966"/>
    <w:multiLevelType w:val="multilevel"/>
    <w:tmpl w:val="9AE6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92D8D"/>
    <w:multiLevelType w:val="multilevel"/>
    <w:tmpl w:val="960CC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35E8C"/>
    <w:multiLevelType w:val="multilevel"/>
    <w:tmpl w:val="B60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84B69"/>
    <w:multiLevelType w:val="multilevel"/>
    <w:tmpl w:val="8BB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72FCB"/>
    <w:multiLevelType w:val="multilevel"/>
    <w:tmpl w:val="5D1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57616"/>
    <w:multiLevelType w:val="multilevel"/>
    <w:tmpl w:val="06D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74197"/>
    <w:multiLevelType w:val="multilevel"/>
    <w:tmpl w:val="069C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46EAB"/>
    <w:multiLevelType w:val="multilevel"/>
    <w:tmpl w:val="C35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722E6"/>
    <w:multiLevelType w:val="multilevel"/>
    <w:tmpl w:val="2A7A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0542B"/>
    <w:multiLevelType w:val="multilevel"/>
    <w:tmpl w:val="5AA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354223">
    <w:abstractNumId w:val="4"/>
  </w:num>
  <w:num w:numId="2" w16cid:durableId="1122455881">
    <w:abstractNumId w:val="3"/>
  </w:num>
  <w:num w:numId="3" w16cid:durableId="235634157">
    <w:abstractNumId w:val="2"/>
  </w:num>
  <w:num w:numId="4" w16cid:durableId="1492603750">
    <w:abstractNumId w:val="7"/>
  </w:num>
  <w:num w:numId="5" w16cid:durableId="784930398">
    <w:abstractNumId w:val="6"/>
  </w:num>
  <w:num w:numId="6" w16cid:durableId="1293247759">
    <w:abstractNumId w:val="8"/>
  </w:num>
  <w:num w:numId="7" w16cid:durableId="660044624">
    <w:abstractNumId w:val="0"/>
  </w:num>
  <w:num w:numId="8" w16cid:durableId="2115781108">
    <w:abstractNumId w:val="5"/>
  </w:num>
  <w:num w:numId="9" w16cid:durableId="792404453">
    <w:abstractNumId w:val="12"/>
  </w:num>
  <w:num w:numId="10" w16cid:durableId="2050492842">
    <w:abstractNumId w:val="9"/>
  </w:num>
  <w:num w:numId="11" w16cid:durableId="1028288268">
    <w:abstractNumId w:val="10"/>
  </w:num>
  <w:num w:numId="12" w16cid:durableId="1783381126">
    <w:abstractNumId w:val="11"/>
  </w:num>
  <w:num w:numId="13" w16cid:durableId="43752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5C"/>
    <w:rsid w:val="00122EEA"/>
    <w:rsid w:val="00190AC5"/>
    <w:rsid w:val="00282659"/>
    <w:rsid w:val="003210C1"/>
    <w:rsid w:val="0039478D"/>
    <w:rsid w:val="004006B4"/>
    <w:rsid w:val="004526A1"/>
    <w:rsid w:val="00573CD5"/>
    <w:rsid w:val="00585051"/>
    <w:rsid w:val="007E0CEE"/>
    <w:rsid w:val="008049B0"/>
    <w:rsid w:val="008B615F"/>
    <w:rsid w:val="008E29F4"/>
    <w:rsid w:val="009601DC"/>
    <w:rsid w:val="00A8727A"/>
    <w:rsid w:val="00B741A6"/>
    <w:rsid w:val="00C56B90"/>
    <w:rsid w:val="00C82E5C"/>
    <w:rsid w:val="00DE1F93"/>
    <w:rsid w:val="00F0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8BC33"/>
  <w15:chartTrackingRefBased/>
  <w15:docId w15:val="{AA6EE81A-5DF7-43A9-BDB7-A3153B78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6B4"/>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aps/>
      <w:color w:val="1E3A8A"/>
      <w:kern w:val="36"/>
      <w:sz w:val="36"/>
      <w:szCs w:val="36"/>
    </w:rPr>
  </w:style>
  <w:style w:type="paragraph" w:styleId="Heading2">
    <w:name w:val="heading 2"/>
    <w:basedOn w:val="Normal"/>
    <w:link w:val="Heading2Char"/>
    <w:uiPriority w:val="9"/>
    <w:qFormat/>
    <w:rsid w:val="00122EEA"/>
    <w:pPr>
      <w:spacing w:before="360" w:after="150"/>
      <w:outlineLvl w:val="1"/>
    </w:pPr>
    <w:rPr>
      <w:b/>
      <w:bCs/>
      <w:caps/>
      <w:sz w:val="28"/>
      <w:szCs w:val="28"/>
    </w:rPr>
  </w:style>
  <w:style w:type="paragraph" w:styleId="Heading3">
    <w:name w:val="heading 3"/>
    <w:basedOn w:val="Normal"/>
    <w:link w:val="Heading3Char"/>
    <w:uiPriority w:val="9"/>
    <w:qFormat/>
    <w:pPr>
      <w:spacing w:before="210" w:after="90"/>
      <w:outlineLvl w:val="2"/>
    </w:pPr>
    <w:rPr>
      <w:b/>
      <w:bCs/>
      <w:color w:val="1E3A8A"/>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2EEA"/>
    <w:rPr>
      <w:rFonts w:eastAsiaTheme="minorEastAsia"/>
      <w:b/>
      <w:bCs/>
      <w:caps/>
      <w:sz w:val="28"/>
      <w:szCs w:val="28"/>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title1">
    <w:name w:val="Subtitle1"/>
    <w:basedOn w:val="Normal"/>
    <w:pPr>
      <w:spacing w:before="100" w:beforeAutospacing="1" w:after="225"/>
      <w:jc w:val="center"/>
    </w:pPr>
    <w:rPr>
      <w:i/>
      <w:iCs/>
      <w:color w:val="374151"/>
      <w:sz w:val="26"/>
      <w:szCs w:val="26"/>
    </w:rPr>
  </w:style>
  <w:style w:type="paragraph" w:customStyle="1" w:styleId="meta-box">
    <w:name w:val="meta-box"/>
    <w:basedOn w:val="Normal"/>
    <w:pPr>
      <w:pBdr>
        <w:top w:val="single" w:sz="8" w:space="9" w:color="CBD5E1"/>
        <w:left w:val="single" w:sz="8" w:space="14" w:color="CBD5E1"/>
        <w:bottom w:val="single" w:sz="8" w:space="9" w:color="CBD5E1"/>
        <w:right w:val="single" w:sz="8" w:space="14" w:color="CBD5E1"/>
      </w:pBdr>
      <w:shd w:val="clear" w:color="auto" w:fill="F8FAFC"/>
      <w:spacing w:before="100" w:beforeAutospacing="1" w:after="300"/>
    </w:pPr>
    <w:rPr>
      <w:sz w:val="22"/>
      <w:szCs w:val="22"/>
    </w:rPr>
  </w:style>
  <w:style w:type="paragraph" w:customStyle="1" w:styleId="summary-box">
    <w:name w:val="summary-box"/>
    <w:basedOn w:val="Normal"/>
    <w:pPr>
      <w:pBdr>
        <w:left w:val="single" w:sz="36" w:space="12" w:color="2563EB"/>
      </w:pBdr>
      <w:shd w:val="clear" w:color="auto" w:fill="EFF6FF"/>
      <w:spacing w:before="100" w:beforeAutospacing="1" w:after="300"/>
    </w:pPr>
  </w:style>
  <w:style w:type="paragraph" w:customStyle="1" w:styleId="highlight">
    <w:name w:val="highlight"/>
    <w:basedOn w:val="Normal"/>
    <w:pPr>
      <w:spacing w:before="100" w:beforeAutospacing="1" w:after="60"/>
    </w:pPr>
    <w:rPr>
      <w:b/>
      <w:bCs/>
      <w:color w:val="1E40AF"/>
    </w:rPr>
  </w:style>
  <w:style w:type="paragraph" w:customStyle="1" w:styleId="equation">
    <w:name w:val="equation"/>
    <w:basedOn w:val="Normal"/>
    <w:pPr>
      <w:pBdr>
        <w:top w:val="single" w:sz="8" w:space="6" w:color="E2E8F0"/>
        <w:left w:val="single" w:sz="8" w:space="11" w:color="E2E8F0"/>
        <w:bottom w:val="single" w:sz="8" w:space="6" w:color="E2E8F0"/>
        <w:right w:val="single" w:sz="8" w:space="11" w:color="E2E8F0"/>
      </w:pBdr>
      <w:shd w:val="clear" w:color="auto" w:fill="F8FAFC"/>
      <w:spacing w:before="150" w:after="150"/>
      <w:jc w:val="center"/>
    </w:pPr>
    <w:rPr>
      <w:rFonts w:ascii="Cambria Math" w:hAnsi="Cambria Math"/>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394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70646">
      <w:bodyDiv w:val="1"/>
      <w:marLeft w:val="450"/>
      <w:marRight w:val="450"/>
      <w:marTop w:val="450"/>
      <w:marBottom w:val="450"/>
      <w:divBdr>
        <w:top w:val="none" w:sz="0" w:space="0" w:color="auto"/>
        <w:left w:val="none" w:sz="0" w:space="0" w:color="auto"/>
        <w:bottom w:val="none" w:sz="0" w:space="0" w:color="auto"/>
        <w:right w:val="none" w:sz="0" w:space="0" w:color="auto"/>
      </w:divBdr>
      <w:divsChild>
        <w:div w:id="877014908">
          <w:marLeft w:val="0"/>
          <w:marRight w:val="0"/>
          <w:marTop w:val="0"/>
          <w:marBottom w:val="300"/>
          <w:divBdr>
            <w:top w:val="single" w:sz="8" w:space="9" w:color="CBD5E1"/>
            <w:left w:val="single" w:sz="8" w:space="14" w:color="CBD5E1"/>
            <w:bottom w:val="single" w:sz="8" w:space="9" w:color="CBD5E1"/>
            <w:right w:val="single" w:sz="8" w:space="14" w:color="CBD5E1"/>
          </w:divBdr>
        </w:div>
        <w:div w:id="1206023274">
          <w:marLeft w:val="0"/>
          <w:marRight w:val="0"/>
          <w:marTop w:val="150"/>
          <w:marBottom w:val="150"/>
          <w:divBdr>
            <w:top w:val="single" w:sz="8" w:space="6" w:color="E2E8F0"/>
            <w:left w:val="single" w:sz="8" w:space="11" w:color="E2E8F0"/>
            <w:bottom w:val="single" w:sz="8" w:space="6" w:color="E2E8F0"/>
            <w:right w:val="single" w:sz="8" w:space="11" w:color="E2E8F0"/>
          </w:divBdr>
        </w:div>
        <w:div w:id="2017800830">
          <w:marLeft w:val="0"/>
          <w:marRight w:val="0"/>
          <w:marTop w:val="150"/>
          <w:marBottom w:val="150"/>
          <w:divBdr>
            <w:top w:val="single" w:sz="8" w:space="6" w:color="E2E8F0"/>
            <w:left w:val="single" w:sz="8" w:space="11" w:color="E2E8F0"/>
            <w:bottom w:val="single" w:sz="8" w:space="6" w:color="E2E8F0"/>
            <w:right w:val="single" w:sz="8" w:space="11" w:color="E2E8F0"/>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Đề Cương Nghiên Cứu - Can Deep Trade Agreements Absorb Geopolitical Shocks?</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Nghiên Cứu - Can Deep Trade Agreements Absorb Geopolitical Shocks?</dc:title>
  <dc:subject/>
  <dc:creator>2312450141-Vũ Hà Vy</dc:creator>
  <cp:keywords/>
  <dc:description/>
  <cp:lastModifiedBy>2312450141-Vũ Hà Vy</cp:lastModifiedBy>
  <cp:revision>13</cp:revision>
  <dcterms:created xsi:type="dcterms:W3CDTF">2026-09-20T15:25:00Z</dcterms:created>
  <dcterms:modified xsi:type="dcterms:W3CDTF">2026-09-21T03:55:00Z</dcterms:modified>
</cp:coreProperties>
</file>