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READY-TO-PASTE TABLES</w:t>
      </w:r>
    </w:p>
    <w:p>
      <w:pPr>
        <w:jc w:val="center"/>
      </w:pPr>
      <w:r>
        <w:rPr>
          <w:rFonts w:ascii="Times New Roman" w:hAnsi="Times New Roman"/>
          <w:i/>
          <w:sz w:val="22"/>
        </w:rPr>
        <w:t>Deep Integration without Resilience? Trade Agreements and Intermediate-Goods Supply Chains under Geopolitical Risk</w:t>
      </w:r>
    </w:p>
    <w:p>
      <w:pPr>
        <w:jc w:val="center"/>
      </w:pPr>
      <w:r>
        <w:rPr>
          <w:rFonts w:ascii="Times New Roman" w:hAnsi="Times New Roman"/>
          <w:sz w:val="18"/>
        </w:rPr>
        <w:t>Main-text tables and appendix tables generated from the locked empirical outputs</w:t>
      </w:r>
    </w:p>
    <w:p/>
    <w:p/>
    <w:p>
      <w:pPr>
        <w:jc w:val="left"/>
      </w:pPr>
      <w:r>
        <w:rPr>
          <w:rFonts w:ascii="Times New Roman" w:hAnsi="Times New Roman"/>
          <w:b/>
          <w:sz w:val="20"/>
        </w:rPr>
        <w:t>Formatting convention</w:t>
      </w:r>
    </w:p>
    <w:p>
      <w:pPr>
        <w:ind w:left="360"/>
      </w:pPr>
      <w:r>
        <w:rPr>
          <w:rFonts w:ascii="Times New Roman" w:hAnsi="Times New Roman"/>
          <w:sz w:val="18"/>
        </w:rPr>
        <w:t>Regression coefficients are reported first, standard errors are in parentheses, and exact percentage or percentage-point effects are in square brackets. Statistical significance: *** p &lt; 0.01, ** p &lt; 0.05, * p &lt; 0.10. Sector and provision-screen stars use BH-FDR-adjusted p-values; all other stars use the reported model p-values.</w:t>
      </w:r>
    </w:p>
    <w:p>
      <w:pPr>
        <w:sectPr>
          <w:pgSz w:w="11909" w:h="16834"/>
          <w:pgMar w:top="792" w:right="936" w:bottom="792" w:left="936" w:header="720" w:footer="720" w:gutter="0"/>
          <w:cols w:space="720"/>
          <w:docGrid w:linePitch="360"/>
        </w:sectPr>
      </w:pPr>
    </w:p>
    <w:p>
      <w:pPr>
        <w:spacing w:before="40" w:after="100"/>
        <w:jc w:val="left"/>
      </w:pPr>
      <w:r>
        <w:rPr>
          <w:rFonts w:ascii="Times New Roman" w:hAnsi="Times New Roman" w:eastAsia="Times New Roman"/>
          <w:b/>
          <w:sz w:val="20"/>
        </w:rPr>
        <w:t>Table 1. Sample Coverage and Outcome Construction</w:t>
      </w:r>
    </w:p>
    <w:tbl>
      <w:tblPr>
        <w:tblStyle w:val="TableGrid"/>
        <w:tblW w:type="auto" w:w="0"/>
        <w:jc w:val="center"/>
        <w:tblLayout w:type="fixed"/>
        <w:tblLook w:firstColumn="1" w:firstRow="1" w:lastColumn="0" w:lastRow="0" w:noHBand="0" w:noVBand="1" w:val="04A0"/>
      </w:tblPr>
      <w:tblGrid>
        <w:gridCol w:w="1673"/>
        <w:gridCol w:w="1673"/>
        <w:gridCol w:w="1673"/>
        <w:gridCol w:w="1673"/>
        <w:gridCol w:w="1673"/>
        <w:gridCol w:w="1673"/>
      </w:tblGrid>
      <w:tr>
        <w:trPr>
          <w:tblHeader w:val="true"/>
        </w:trPr>
        <w:tc>
          <w:tcPr>
            <w:tcW w:type="dxa" w:w="2376"/>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6"/>
              </w:rPr>
              <w:t>Analysis panel</w:t>
            </w:r>
          </w:p>
        </w:tc>
        <w:tc>
          <w:tcPr>
            <w:tcW w:type="dxa" w:w="1440"/>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6"/>
              </w:rPr>
              <w:t>Observations / events</w:t>
            </w:r>
          </w:p>
        </w:tc>
        <w:tc>
          <w:tcPr>
            <w:tcW w:type="dxa" w:w="1296"/>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6"/>
              </w:rPr>
              <w:t>Pair–HS2 groups</w:t>
            </w:r>
          </w:p>
        </w:tc>
        <w:tc>
          <w:tcPr>
            <w:tcW w:type="dxa" w:w="1224"/>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6"/>
              </w:rPr>
              <w:t>Unordered pairs</w:t>
            </w:r>
          </w:p>
        </w:tc>
        <w:tc>
          <w:tcPr>
            <w:tcW w:type="dxa" w:w="1224"/>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6"/>
              </w:rPr>
              <w:t>Period</w:t>
            </w:r>
          </w:p>
        </w:tc>
        <w:tc>
          <w:tcPr>
            <w:tcW w:type="dxa" w:w="3168"/>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6"/>
              </w:rPr>
              <w:t>Key sample statistic</w:t>
            </w:r>
          </w:p>
        </w:tc>
      </w:tr>
      <w:tr>
        <w:trPr>
          <w:cantSplit/>
        </w:trPr>
        <w:tc>
          <w:tcPr>
            <w:tcW w:type="dxa" w:w="2376"/>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6"/>
              </w:rPr>
              <w:t>Trade-value PPML panel</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16,752,461</w:t>
            </w:r>
          </w:p>
        </w:tc>
        <w:tc>
          <w:tcPr>
            <w:tcW w:type="dxa" w:w="12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985,562</w:t>
            </w:r>
          </w:p>
        </w:tc>
        <w:tc>
          <w:tcPr>
            <w:tcW w:type="dxa" w:w="1224"/>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12,454</w:t>
            </w:r>
          </w:p>
        </w:tc>
        <w:tc>
          <w:tcPr>
            <w:tcW w:type="dxa" w:w="1224"/>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2007–2023</w:t>
            </w:r>
          </w:p>
        </w:tc>
        <w:tc>
          <w:tcPr>
            <w:tcW w:type="dxa" w:w="3168"/>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47.52% zero trade observations</w:t>
            </w:r>
          </w:p>
        </w:tc>
      </w:tr>
      <w:tr>
        <w:trPr>
          <w:cantSplit/>
        </w:trPr>
        <w:tc>
          <w:tcPr>
            <w:tcW w:type="dxa" w:w="2376"/>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6"/>
              </w:rPr>
              <w:t>Trade-link survival risk set</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8,219,579</w:t>
            </w:r>
          </w:p>
        </w:tc>
        <w:tc>
          <w:tcPr>
            <w:tcW w:type="dxa" w:w="12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967,746</w:t>
            </w:r>
          </w:p>
        </w:tc>
        <w:tc>
          <w:tcPr>
            <w:tcW w:type="dxa" w:w="1224"/>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12,436</w:t>
            </w:r>
          </w:p>
        </w:tc>
        <w:tc>
          <w:tcPr>
            <w:tcW w:type="dxa" w:w="1224"/>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2008–2023</w:t>
            </w:r>
          </w:p>
        </w:tc>
        <w:tc>
          <w:tcPr>
            <w:tcW w:type="dxa" w:w="3168"/>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84.94% survive; 15.06% exit</w:t>
            </w:r>
          </w:p>
        </w:tc>
      </w:tr>
      <w:tr>
        <w:trPr>
          <w:cantSplit/>
        </w:trPr>
        <w:tc>
          <w:tcPr>
            <w:tcW w:type="dxa" w:w="2376"/>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6"/>
              </w:rPr>
              <w:t>Post-exit recovery panel</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1,237,520 exit events</w:t>
            </w:r>
          </w:p>
        </w:tc>
        <w:tc>
          <w:tcPr>
            <w:tcW w:type="dxa" w:w="12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658,808</w:t>
            </w:r>
          </w:p>
        </w:tc>
        <w:tc>
          <w:tcPr>
            <w:tcW w:type="dxa" w:w="1224"/>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12,431</w:t>
            </w:r>
          </w:p>
        </w:tc>
        <w:tc>
          <w:tcPr>
            <w:tcW w:type="dxa" w:w="1224"/>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2008–2023</w:t>
            </w:r>
          </w:p>
        </w:tc>
        <w:tc>
          <w:tcPr>
            <w:tcW w:type="dxa" w:w="3168"/>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34.10% re-enter in 1 year; 49.72% within 2 years</w:t>
            </w:r>
          </w:p>
        </w:tc>
      </w:tr>
      <w:tr>
        <w:trPr>
          <w:cantSplit/>
        </w:trPr>
        <w:tc>
          <w:tcPr>
            <w:tcW w:type="dxa" w:w="2376"/>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6"/>
              </w:rPr>
              <w:t>Country-GPR trade panel</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2,520,781</w:t>
            </w:r>
          </w:p>
        </w:tc>
        <w:tc>
          <w:tcPr>
            <w:tcW w:type="dxa" w:w="12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148,332</w:t>
            </w:r>
          </w:p>
        </w:tc>
        <w:tc>
          <w:tcPr>
            <w:tcW w:type="dxa" w:w="1224"/>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946</w:t>
            </w:r>
          </w:p>
        </w:tc>
        <w:tc>
          <w:tcPr>
            <w:tcW w:type="dxa" w:w="1224"/>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2007–2023</w:t>
            </w:r>
          </w:p>
        </w:tc>
        <w:tc>
          <w:tcPr>
            <w:tcW w:type="dxa" w:w="3168"/>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15.05% of full trade panel retained</w:t>
            </w:r>
          </w:p>
        </w:tc>
      </w:tr>
      <w:tr>
        <w:trPr>
          <w:cantSplit/>
        </w:trPr>
        <w:tc>
          <w:tcPr>
            <w:tcW w:type="dxa" w:w="2376"/>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6"/>
              </w:rPr>
              <w:t>Country-GPR survival panel</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1,885,368</w:t>
            </w:r>
          </w:p>
        </w:tc>
        <w:tc>
          <w:tcPr>
            <w:tcW w:type="dxa" w:w="12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147,691</w:t>
            </w:r>
          </w:p>
        </w:tc>
        <w:tc>
          <w:tcPr>
            <w:tcW w:type="dxa" w:w="1224"/>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946</w:t>
            </w:r>
          </w:p>
        </w:tc>
        <w:tc>
          <w:tcPr>
            <w:tcW w:type="dxa" w:w="1224"/>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2008–2023</w:t>
            </w:r>
          </w:p>
        </w:tc>
        <w:tc>
          <w:tcPr>
            <w:tcW w:type="dxa" w:w="3168"/>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94.12% survival; 22.94% of full risk set retained</w:t>
            </w:r>
          </w:p>
        </w:tc>
      </w:tr>
    </w:tbl>
    <w:p>
      <w:pPr>
        <w:spacing w:before="80" w:after="20" w:line="240" w:lineRule="auto"/>
      </w:pPr>
      <w:r>
        <w:rPr>
          <w:rFonts w:ascii="Times New Roman" w:hAnsi="Times New Roman"/>
          <w:b/>
          <w:sz w:val="16"/>
        </w:rPr>
        <w:t xml:space="preserve">Notes: </w:t>
      </w:r>
      <w:r>
        <w:rPr>
          <w:rFonts w:ascii="Times New Roman" w:hAnsi="Times New Roman"/>
          <w:sz w:val="16"/>
        </w:rPr>
        <w:t>Intermediate-goods products are identified using the HS2007–BEC Rev. 4 correspondence. The trade-value panel contains the complete pair–HS2 support, including zeros. The survival risk set includes links with positive trade in t−1. Recovery events are links that were positive in t−1 and recorded zero trade in t.</w:t>
      </w:r>
    </w:p>
    <w:p>
      <w:pPr>
        <w:spacing w:before="0" w:after="160"/>
      </w:pPr>
      <w:r>
        <w:rPr>
          <w:rFonts w:ascii="Times New Roman" w:hAnsi="Times New Roman"/>
          <w:b/>
          <w:color w:val="646464"/>
          <w:sz w:val="15"/>
        </w:rPr>
        <w:t xml:space="preserve">Internal extraction source (remove before submission): </w:t>
      </w:r>
      <w:r>
        <w:rPr>
          <w:rFonts w:ascii="Times New Roman" w:hAnsi="Times New Roman"/>
          <w:color w:val="646464"/>
          <w:sz w:val="15"/>
        </w:rPr>
        <w:t>outputs/audit/step10a_compact_hs2_summary.csv; step13a_hs2_survival_summary.csv; step14a_hs2_recovery_summary.csv; step15b_country_gpr_panel_summary.csv</w:t>
      </w:r>
    </w:p>
    <w:p>
      <w:pPr>
        <w:spacing w:before="40" w:after="100"/>
        <w:jc w:val="left"/>
      </w:pPr>
      <w:r>
        <w:rPr>
          <w:rFonts w:ascii="Times New Roman" w:hAnsi="Times New Roman" w:eastAsia="Times New Roman"/>
          <w:b/>
          <w:sz w:val="20"/>
        </w:rPr>
        <w:t>Table 2. Variable Definitions and Data Sources</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1944"/>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6"/>
              </w:rPr>
              <w:t>Variable</w:t>
            </w:r>
          </w:p>
        </w:tc>
        <w:tc>
          <w:tcPr>
            <w:tcW w:type="dxa" w:w="4392"/>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6"/>
              </w:rPr>
              <w:t>Definition and construction</w:t>
            </w:r>
          </w:p>
        </w:tc>
        <w:tc>
          <w:tcPr>
            <w:tcW w:type="dxa" w:w="1656"/>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6"/>
              </w:rPr>
              <w:t>Scale / timing</w:t>
            </w:r>
          </w:p>
        </w:tc>
        <w:tc>
          <w:tcPr>
            <w:tcW w:type="dxa" w:w="2880"/>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6"/>
              </w:rPr>
              <w:t>Source</w:t>
            </w:r>
          </w:p>
        </w:tc>
      </w:tr>
      <w:tr>
        <w:trPr>
          <w:cantSplit/>
        </w:trPr>
        <w:tc>
          <w:tcPr>
            <w:tcW w:type="dxa" w:w="1944"/>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6"/>
              </w:rPr>
              <w:t>Intermediate-goods trade value</w:t>
            </w:r>
          </w:p>
        </w:tc>
        <w:tc>
          <w:tcPr>
            <w:tcW w:type="dxa" w:w="439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Bilateral exporter–importer trade aggregated to HS2 after retaining BEC Rev. 4 intermediate goods.</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Million USD; annual</w:t>
            </w:r>
          </w:p>
        </w:tc>
        <w:tc>
          <w:tcPr>
            <w:tcW w:type="dxa" w:w="288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CEPII BACI HS2007 V202601; UNSD HS2007–BEC Rev. 4 correspondence</w:t>
            </w:r>
          </w:p>
        </w:tc>
      </w:tr>
      <w:tr>
        <w:trPr>
          <w:cantSplit/>
        </w:trPr>
        <w:tc>
          <w:tcPr>
            <w:tcW w:type="dxa" w:w="1944"/>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6"/>
              </w:rPr>
              <w:t>FTA active</w:t>
            </w:r>
          </w:p>
        </w:tc>
        <w:tc>
          <w:tcPr>
            <w:tcW w:type="dxa" w:w="439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Indicator equal to one when an eligible trade agreement is active for the bilateral pair.</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Lagged one year; 0/1</w:t>
            </w:r>
          </w:p>
        </w:tc>
        <w:tc>
          <w:tcPr>
            <w:tcW w:type="dxa" w:w="288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WTO RTA metadata and World Bank Deep Trade Agreements database</w:t>
            </w:r>
          </w:p>
        </w:tc>
      </w:tr>
      <w:tr>
        <w:trPr>
          <w:cantSplit/>
        </w:trPr>
        <w:tc>
          <w:tcPr>
            <w:tcW w:type="dxa" w:w="1944"/>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6"/>
              </w:rPr>
              <w:t>Legally enforceable DTA depth</w:t>
            </w:r>
          </w:p>
        </w:tc>
        <w:tc>
          <w:tcPr>
            <w:tcW w:type="dxa" w:w="439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Number of policy areas coded as legally enforceable; overlapping agreements are combined using the provision-level maximum.</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Lagged one year; divided by 10, so one unit = 10 provisions</w:t>
            </w:r>
          </w:p>
        </w:tc>
        <w:tc>
          <w:tcPr>
            <w:tcW w:type="dxa" w:w="288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World Bank DTA Horizontal Content v2</w:t>
            </w:r>
          </w:p>
        </w:tc>
      </w:tr>
      <w:tr>
        <w:trPr>
          <w:cantSplit/>
        </w:trPr>
        <w:tc>
          <w:tcPr>
            <w:tcW w:type="dxa" w:w="1944"/>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6"/>
              </w:rPr>
              <w:t>Global GPR</w:t>
            </w:r>
          </w:p>
        </w:tc>
        <w:tc>
          <w:tcPr>
            <w:tcW w:type="dxa" w:w="439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Annual mean of the global geopolitical risk index, standardized using the 1985–2019 reference period.</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One-standard-deviation units</w:t>
            </w:r>
          </w:p>
        </w:tc>
        <w:tc>
          <w:tcPr>
            <w:tcW w:type="dxa" w:w="288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Caldara and Iacoviello GPR index</w:t>
            </w:r>
          </w:p>
        </w:tc>
      </w:tr>
      <w:tr>
        <w:trPr>
          <w:cantSplit/>
        </w:trPr>
        <w:tc>
          <w:tcPr>
            <w:tcW w:type="dxa" w:w="1944"/>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6"/>
              </w:rPr>
              <w:t>Country-specific pair GPR: average</w:t>
            </w:r>
          </w:p>
        </w:tc>
        <w:tc>
          <w:tcPr>
            <w:tcW w:type="dxa" w:w="439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Mean of exporter and importer country-specific GPR scores, re-standardized over covered pair-years.</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One-standard-deviation units</w:t>
            </w:r>
          </w:p>
        </w:tc>
        <w:tc>
          <w:tcPr>
            <w:tcW w:type="dxa" w:w="288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Caldara and Iacoviello country-specific GPR series; authors’ calculation</w:t>
            </w:r>
          </w:p>
        </w:tc>
      </w:tr>
      <w:tr>
        <w:trPr>
          <w:cantSplit/>
        </w:trPr>
        <w:tc>
          <w:tcPr>
            <w:tcW w:type="dxa" w:w="1944"/>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6"/>
              </w:rPr>
              <w:t>Country-specific pair GPR: maximum</w:t>
            </w:r>
          </w:p>
        </w:tc>
        <w:tc>
          <w:tcPr>
            <w:tcW w:type="dxa" w:w="439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Larger of exporter and importer country-specific GPR scores, re-standardized over covered pair-years.</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One-standard-deviation units</w:t>
            </w:r>
          </w:p>
        </w:tc>
        <w:tc>
          <w:tcPr>
            <w:tcW w:type="dxa" w:w="288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Caldara and Iacoviello country-specific GPR series; authors’ calculation</w:t>
            </w:r>
          </w:p>
        </w:tc>
      </w:tr>
      <w:tr>
        <w:trPr>
          <w:cantSplit/>
        </w:trPr>
        <w:tc>
          <w:tcPr>
            <w:tcW w:type="dxa" w:w="1944"/>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6"/>
              </w:rPr>
              <w:t>Trade-link survival</w:t>
            </w:r>
          </w:p>
        </w:tc>
        <w:tc>
          <w:tcPr>
            <w:tcW w:type="dxa" w:w="439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Equals one when a pair–HS2 link with positive trade in t−1 remains positive in t.</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0/1</w:t>
            </w:r>
          </w:p>
        </w:tc>
        <w:tc>
          <w:tcPr>
            <w:tcW w:type="dxa" w:w="288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Authors’ calculation from BACI</w:t>
            </w:r>
          </w:p>
        </w:tc>
      </w:tr>
      <w:tr>
        <w:trPr>
          <w:cantSplit/>
        </w:trPr>
        <w:tc>
          <w:tcPr>
            <w:tcW w:type="dxa" w:w="1944"/>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6"/>
              </w:rPr>
              <w:t>Post-exit re-entry</w:t>
            </w:r>
          </w:p>
        </w:tc>
        <w:tc>
          <w:tcPr>
            <w:tcW w:type="dxa" w:w="439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Equals one when an exited pair–HS2 link records positive trade in t+1 or within t+2.</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0/1</w:t>
            </w:r>
          </w:p>
        </w:tc>
        <w:tc>
          <w:tcPr>
            <w:tcW w:type="dxa" w:w="288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Authors’ calculation from BACI</w:t>
            </w:r>
          </w:p>
        </w:tc>
      </w:tr>
      <w:tr>
        <w:trPr>
          <w:cantSplit/>
        </w:trPr>
        <w:tc>
          <w:tcPr>
            <w:tcW w:type="dxa" w:w="1944"/>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6"/>
              </w:rPr>
              <w:t>Full recovery</w:t>
            </w:r>
          </w:p>
        </w:tc>
        <w:tc>
          <w:tcPr>
            <w:tcW w:type="dxa" w:w="439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Equals one when post-exit trade returns to at least the pre-exit trade value within one or two years.</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0/1</w:t>
            </w:r>
          </w:p>
        </w:tc>
        <w:tc>
          <w:tcPr>
            <w:tcW w:type="dxa" w:w="288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Authors’ calculation from BACI</w:t>
            </w:r>
          </w:p>
        </w:tc>
      </w:tr>
      <w:tr>
        <w:trPr>
          <w:cantSplit/>
        </w:trPr>
        <w:tc>
          <w:tcPr>
            <w:tcW w:type="dxa" w:w="1944"/>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6"/>
              </w:rPr>
              <w:t>Lagged link size</w:t>
            </w:r>
          </w:p>
        </w:tc>
        <w:tc>
          <w:tcPr>
            <w:tcW w:type="dxa" w:w="439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Natural logarithm of one plus trade value in t−1.</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Log of million USD</w:t>
            </w:r>
          </w:p>
        </w:tc>
        <w:tc>
          <w:tcPr>
            <w:tcW w:type="dxa" w:w="288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Authors’ calculation from BACI</w:t>
            </w:r>
          </w:p>
        </w:tc>
      </w:tr>
    </w:tbl>
    <w:p>
      <w:pPr>
        <w:spacing w:before="80" w:after="20" w:line="240" w:lineRule="auto"/>
      </w:pPr>
      <w:r>
        <w:rPr>
          <w:rFonts w:ascii="Times New Roman" w:hAnsi="Times New Roman"/>
          <w:b/>
          <w:sz w:val="16"/>
        </w:rPr>
        <w:t xml:space="preserve">Notes: </w:t>
      </w:r>
      <w:r>
        <w:rPr>
          <w:rFonts w:ascii="Times New Roman" w:hAnsi="Times New Roman"/>
          <w:sz w:val="16"/>
        </w:rPr>
        <w:t>All agreement variables are lagged one year. Global GPR main effects are absorbed by the exporter–year, importer–year, and HS2–year fixed effects in the principal specifications; the interaction terms remain identified.</w:t>
      </w:r>
    </w:p>
    <w:p>
      <w:pPr>
        <w:spacing w:before="0" w:after="160"/>
      </w:pPr>
      <w:r>
        <w:rPr>
          <w:rFonts w:ascii="Times New Roman" w:hAnsi="Times New Roman"/>
          <w:b/>
          <w:color w:val="646464"/>
          <w:sz w:val="15"/>
        </w:rPr>
        <w:t xml:space="preserve">Internal extraction source (remove before submission): </w:t>
      </w:r>
      <w:r>
        <w:rPr>
          <w:rFonts w:ascii="Times New Roman" w:hAnsi="Times New Roman"/>
          <w:color w:val="646464"/>
          <w:sz w:val="15"/>
        </w:rPr>
        <w:t>Data-construction scripts 04–08, 13A, 14A, and 15B; underlying reference files in data/raw and data/interim.</w:t>
      </w:r>
    </w:p>
    <w:p>
      <w:pPr>
        <w:sectPr>
          <w:pgSz w:w="11909" w:h="16834"/>
          <w:pgMar w:top="792" w:right="936" w:bottom="792" w:left="936" w:header="720" w:footer="720" w:gutter="0"/>
          <w:cols w:space="720"/>
          <w:docGrid w:linePitch="360"/>
        </w:sectPr>
      </w:pPr>
    </w:p>
    <w:p>
      <w:pPr>
        <w:spacing w:before="40" w:after="100"/>
        <w:jc w:val="left"/>
      </w:pPr>
      <w:r>
        <w:rPr>
          <w:rFonts w:ascii="Times New Roman" w:hAnsi="Times New Roman" w:eastAsia="Times New Roman"/>
          <w:b/>
          <w:sz w:val="20"/>
        </w:rPr>
        <w:t>Table 3. Baseline PPML Estimates for Intermediate-Goods Trade</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3240"/>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7"/>
              </w:rPr>
              <w:t>Variable</w:t>
            </w:r>
          </w:p>
        </w:tc>
        <w:tc>
          <w:tcPr>
            <w:tcW w:type="dxa" w:w="2520"/>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7"/>
              </w:rPr>
              <w:t>(1) FTA interaction</w:t>
            </w:r>
          </w:p>
        </w:tc>
        <w:tc>
          <w:tcPr>
            <w:tcW w:type="dxa" w:w="2520"/>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7"/>
              </w:rPr>
              <w:t>(2) Depth interaction</w:t>
            </w:r>
          </w:p>
        </w:tc>
        <w:tc>
          <w:tcPr>
            <w:tcW w:type="dxa" w:w="2520"/>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7"/>
              </w:rPr>
              <w:t>(3) Joint FTA + depth</w:t>
            </w:r>
          </w:p>
        </w:tc>
      </w:tr>
      <w:tr>
        <w:trPr>
          <w:cantSplit/>
        </w:trPr>
        <w:tc>
          <w:tcPr>
            <w:tcW w:type="dxa" w:w="3240"/>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7"/>
              </w:rPr>
              <w:t>GPR × FTA</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-0.0241**</w:t>
            </w:r>
            <w:r>
              <w:br/>
            </w:r>
            <w:r>
              <w:rPr>
                <w:rFonts w:ascii="Times New Roman" w:hAnsi="Times New Roman" w:eastAsia="Times New Roman"/>
                <w:b w:val="0"/>
                <w:i w:val="0"/>
                <w:sz w:val="17"/>
              </w:rPr>
              <w:t>(0.0107)</w:t>
            </w:r>
            <w:r>
              <w:br/>
            </w:r>
            <w:r>
              <w:rPr>
                <w:rFonts w:ascii="Times New Roman" w:hAnsi="Times New Roman" w:eastAsia="Times New Roman"/>
                <w:b w:val="0"/>
                <w:i w:val="0"/>
                <w:sz w:val="17"/>
              </w:rPr>
              <w:t>[-2.38%]</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-0.0382**</w:t>
            </w:r>
            <w:r>
              <w:br/>
            </w:r>
            <w:r>
              <w:rPr>
                <w:rFonts w:ascii="Times New Roman" w:hAnsi="Times New Roman" w:eastAsia="Times New Roman"/>
                <w:b w:val="0"/>
                <w:i w:val="0"/>
                <w:sz w:val="17"/>
              </w:rPr>
              <w:t>(0.0171)</w:t>
            </w:r>
            <w:r>
              <w:br/>
            </w:r>
            <w:r>
              <w:rPr>
                <w:rFonts w:ascii="Times New Roman" w:hAnsi="Times New Roman" w:eastAsia="Times New Roman"/>
                <w:b w:val="0"/>
                <w:i w:val="0"/>
                <w:sz w:val="17"/>
              </w:rPr>
              <w:t>[-3.75%]</w:t>
            </w:r>
          </w:p>
        </w:tc>
      </w:tr>
      <w:tr>
        <w:trPr>
          <w:cantSplit/>
        </w:trPr>
        <w:tc>
          <w:tcPr>
            <w:tcW w:type="dxa" w:w="3240"/>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7"/>
              </w:rPr>
              <w:t>GPR × DTA depth</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-0.0053</w:t>
            </w:r>
            <w:r>
              <w:br/>
            </w:r>
            <w:r>
              <w:rPr>
                <w:rFonts w:ascii="Times New Roman" w:hAnsi="Times New Roman" w:eastAsia="Times New Roman"/>
                <w:b w:val="0"/>
                <w:i w:val="0"/>
                <w:sz w:val="17"/>
              </w:rPr>
              <w:t>(0.0047)</w:t>
            </w:r>
            <w:r>
              <w:br/>
            </w:r>
            <w:r>
              <w:rPr>
                <w:rFonts w:ascii="Times New Roman" w:hAnsi="Times New Roman" w:eastAsia="Times New Roman"/>
                <w:b w:val="0"/>
                <w:i w:val="0"/>
                <w:sz w:val="17"/>
              </w:rPr>
              <w:t>[-0.53%]</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0.0099</w:t>
            </w:r>
            <w:r>
              <w:br/>
            </w:r>
            <w:r>
              <w:rPr>
                <w:rFonts w:ascii="Times New Roman" w:hAnsi="Times New Roman" w:eastAsia="Times New Roman"/>
                <w:b w:val="0"/>
                <w:i w:val="0"/>
                <w:sz w:val="17"/>
              </w:rPr>
              <w:t>(0.0078)</w:t>
            </w:r>
            <w:r>
              <w:br/>
            </w:r>
            <w:r>
              <w:rPr>
                <w:rFonts w:ascii="Times New Roman" w:hAnsi="Times New Roman" w:eastAsia="Times New Roman"/>
                <w:b w:val="0"/>
                <w:i w:val="0"/>
                <w:sz w:val="17"/>
              </w:rPr>
              <w:t>[+0.99%]</w:t>
            </w:r>
          </w:p>
        </w:tc>
      </w:tr>
      <w:tr>
        <w:trPr>
          <w:cantSplit/>
        </w:trPr>
        <w:tc>
          <w:tcPr>
            <w:tcW w:type="dxa" w:w="3240"/>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7"/>
              </w:rPr>
              <w:t>FTA level term</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Included</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Included</w:t>
            </w:r>
          </w:p>
        </w:tc>
      </w:tr>
      <w:tr>
        <w:trPr>
          <w:cantSplit/>
        </w:trPr>
        <w:tc>
          <w:tcPr>
            <w:tcW w:type="dxa" w:w="3240"/>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7"/>
              </w:rPr>
              <w:t>DTA-depth level term</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Included</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Included</w:t>
            </w:r>
          </w:p>
        </w:tc>
      </w:tr>
      <w:tr>
        <w:trPr>
          <w:cantSplit/>
        </w:trPr>
        <w:tc>
          <w:tcPr>
            <w:tcW w:type="dxa" w:w="3240"/>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7"/>
              </w:rPr>
              <w:t>Pair–HS2 fixed effects</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Yes</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Yes</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Yes</w:t>
            </w:r>
          </w:p>
        </w:tc>
      </w:tr>
      <w:tr>
        <w:trPr>
          <w:cantSplit/>
        </w:trPr>
        <w:tc>
          <w:tcPr>
            <w:tcW w:type="dxa" w:w="3240"/>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7"/>
              </w:rPr>
              <w:t>Exporter–year fixed effects</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Yes</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Yes</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Yes</w:t>
            </w:r>
          </w:p>
        </w:tc>
      </w:tr>
      <w:tr>
        <w:trPr>
          <w:cantSplit/>
        </w:trPr>
        <w:tc>
          <w:tcPr>
            <w:tcW w:type="dxa" w:w="3240"/>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7"/>
              </w:rPr>
              <w:t>Importer–year fixed effects</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Yes</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Yes</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Yes</w:t>
            </w:r>
          </w:p>
        </w:tc>
      </w:tr>
      <w:tr>
        <w:trPr>
          <w:cantSplit/>
        </w:trPr>
        <w:tc>
          <w:tcPr>
            <w:tcW w:type="dxa" w:w="3240"/>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7"/>
              </w:rPr>
              <w:t>HS2–year fixed effects</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Yes</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Yes</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Yes</w:t>
            </w:r>
          </w:p>
        </w:tc>
      </w:tr>
      <w:tr>
        <w:trPr>
          <w:cantSplit/>
        </w:trPr>
        <w:tc>
          <w:tcPr>
            <w:tcW w:type="dxa" w:w="3240"/>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7"/>
              </w:rPr>
              <w:t>Observations</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16,752,356</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16,752,356</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16,752,356</w:t>
            </w:r>
          </w:p>
        </w:tc>
      </w:tr>
    </w:tbl>
    <w:p>
      <w:pPr>
        <w:spacing w:before="80" w:after="20" w:line="240" w:lineRule="auto"/>
      </w:pPr>
      <w:r>
        <w:rPr>
          <w:rFonts w:ascii="Times New Roman" w:hAnsi="Times New Roman"/>
          <w:b/>
          <w:sz w:val="16"/>
        </w:rPr>
        <w:t xml:space="preserve">Notes: </w:t>
      </w:r>
      <w:r>
        <w:rPr>
          <w:rFonts w:ascii="Times New Roman" w:hAnsi="Times New Roman"/>
          <w:sz w:val="16"/>
        </w:rPr>
        <w:t>Dependent variable: bilateral intermediate-goods trade value at the pair–HS2–year level. Coefficients are PPML estimates; standard errors clustered by unordered pair and year are in parentheses; exact percentage effects, 100[exp(β)−1], are in square brackets. DTA depth is measured in units of ten legally enforceable policy areas.</w:t>
      </w:r>
    </w:p>
    <w:p>
      <w:pPr>
        <w:spacing w:before="0" w:after="160"/>
      </w:pPr>
      <w:r>
        <w:rPr>
          <w:rFonts w:ascii="Times New Roman" w:hAnsi="Times New Roman"/>
          <w:b/>
          <w:color w:val="646464"/>
          <w:sz w:val="15"/>
        </w:rPr>
        <w:t xml:space="preserve">Internal extraction source (remove before submission): </w:t>
      </w:r>
      <w:r>
        <w:rPr>
          <w:rFonts w:ascii="Times New Roman" w:hAnsi="Times New Roman"/>
          <w:color w:val="646464"/>
          <w:sz w:val="15"/>
        </w:rPr>
        <w:t>outputs/tables/step10b_hs2_core_coefficients.csv and step10c_hs2_robustness_coefficients.csv</w:t>
      </w:r>
    </w:p>
    <w:p>
      <w:pPr>
        <w:sectPr>
          <w:pgSz w:w="11909" w:h="16834"/>
          <w:pgMar w:top="792" w:right="936" w:bottom="792" w:left="936" w:header="720" w:footer="720" w:gutter="0"/>
          <w:cols w:space="720"/>
          <w:docGrid w:linePitch="360"/>
        </w:sectPr>
      </w:pPr>
    </w:p>
    <w:p>
      <w:pPr>
        <w:spacing w:before="40" w:after="100"/>
        <w:jc w:val="left"/>
      </w:pPr>
      <w:r>
        <w:rPr>
          <w:rFonts w:ascii="Times New Roman" w:hAnsi="Times New Roman" w:eastAsia="Times New Roman"/>
          <w:b/>
          <w:sz w:val="20"/>
        </w:rPr>
        <w:t>Table 4. Sector Heterogeneity in the Response of Intermediate-Goods Trade to Global GPR</w:t>
      </w:r>
    </w:p>
    <w:tbl>
      <w:tblPr>
        <w:tblStyle w:val="TableGrid"/>
        <w:tblW w:type="auto" w:w="0"/>
        <w:jc w:val="center"/>
        <w:tblLayout w:type="fixed"/>
        <w:tblLook w:firstColumn="1" w:firstRow="1" w:lastColumn="0" w:lastRow="0" w:noHBand="0" w:noVBand="1" w:val="04A0"/>
      </w:tblPr>
      <w:tblGrid>
        <w:gridCol w:w="2590"/>
        <w:gridCol w:w="2590"/>
        <w:gridCol w:w="2590"/>
        <w:gridCol w:w="2590"/>
        <w:gridCol w:w="2590"/>
        <w:gridCol w:w="2590"/>
      </w:tblGrid>
      <w:tr>
        <w:trPr>
          <w:tblHeader w:val="true"/>
        </w:trPr>
        <w:tc>
          <w:tcPr>
            <w:tcW w:type="dxa" w:w="3456"/>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6"/>
              </w:rPr>
              <w:t>Sector</w:t>
            </w:r>
          </w:p>
        </w:tc>
        <w:tc>
          <w:tcPr>
            <w:tcW w:type="dxa" w:w="3096"/>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6"/>
              </w:rPr>
              <w:t>GPR × FTA</w:t>
            </w:r>
            <w:r>
              <w:br/>
            </w:r>
            <w:r>
              <w:rPr>
                <w:rFonts w:ascii="Times New Roman" w:hAnsi="Times New Roman" w:eastAsia="Times New Roman"/>
                <w:b/>
                <w:i w:val="0"/>
                <w:sz w:val="16"/>
              </w:rPr>
              <w:t>Coefficient (SE) [effect]</w:t>
            </w:r>
          </w:p>
        </w:tc>
        <w:tc>
          <w:tcPr>
            <w:tcW w:type="dxa" w:w="1224"/>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6"/>
              </w:rPr>
              <w:t>BH-FDR p</w:t>
            </w:r>
          </w:p>
        </w:tc>
        <w:tc>
          <w:tcPr>
            <w:tcW w:type="dxa" w:w="3096"/>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6"/>
              </w:rPr>
              <w:t>GPR × DTA depth</w:t>
            </w:r>
            <w:r>
              <w:br/>
            </w:r>
            <w:r>
              <w:rPr>
                <w:rFonts w:ascii="Times New Roman" w:hAnsi="Times New Roman" w:eastAsia="Times New Roman"/>
                <w:b/>
                <w:i w:val="0"/>
                <w:sz w:val="16"/>
              </w:rPr>
              <w:t>Coefficient (SE) [effect]</w:t>
            </w:r>
          </w:p>
        </w:tc>
        <w:tc>
          <w:tcPr>
            <w:tcW w:type="dxa" w:w="1224"/>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6"/>
              </w:rPr>
              <w:t>BH-FDR p</w:t>
            </w:r>
          </w:p>
        </w:tc>
        <w:tc>
          <w:tcPr>
            <w:tcW w:type="dxa" w:w="1440"/>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6"/>
              </w:rPr>
              <w:t>Observations</w:t>
            </w:r>
          </w:p>
        </w:tc>
      </w:tr>
      <w:tr>
        <w:trPr>
          <w:cantSplit/>
        </w:trPr>
        <w:tc>
          <w:tcPr>
            <w:tcW w:type="dxa" w:w="3456"/>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6"/>
              </w:rPr>
              <w:t>Plastics, rubber and leather</w:t>
            </w:r>
          </w:p>
        </w:tc>
        <w:tc>
          <w:tcPr>
            <w:tcW w:type="dxa" w:w="30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-0.0194**</w:t>
            </w:r>
            <w:r>
              <w:br/>
            </w:r>
            <w:r>
              <w:rPr>
                <w:rFonts w:ascii="Times New Roman" w:hAnsi="Times New Roman" w:eastAsia="Times New Roman"/>
                <w:b w:val="0"/>
                <w:i w:val="0"/>
                <w:sz w:val="16"/>
              </w:rPr>
              <w:t>(0.0078)</w:t>
            </w:r>
            <w:r>
              <w:br/>
            </w:r>
            <w:r>
              <w:rPr>
                <w:rFonts w:ascii="Times New Roman" w:hAnsi="Times New Roman" w:eastAsia="Times New Roman"/>
                <w:b w:val="0"/>
                <w:i w:val="0"/>
                <w:sz w:val="16"/>
              </w:rPr>
              <w:t>[-1.92%]</w:t>
            </w:r>
          </w:p>
        </w:tc>
        <w:tc>
          <w:tcPr>
            <w:tcW w:type="dxa" w:w="1224"/>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0.0263</w:t>
            </w:r>
          </w:p>
        </w:tc>
        <w:tc>
          <w:tcPr>
            <w:tcW w:type="dxa" w:w="30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-0.0108*</w:t>
            </w:r>
            <w:r>
              <w:br/>
            </w:r>
            <w:r>
              <w:rPr>
                <w:rFonts w:ascii="Times New Roman" w:hAnsi="Times New Roman" w:eastAsia="Times New Roman"/>
                <w:b w:val="0"/>
                <w:i w:val="0"/>
                <w:sz w:val="16"/>
              </w:rPr>
              <w:t>(0.0049)</w:t>
            </w:r>
            <w:r>
              <w:br/>
            </w:r>
            <w:r>
              <w:rPr>
                <w:rFonts w:ascii="Times New Roman" w:hAnsi="Times New Roman" w:eastAsia="Times New Roman"/>
                <w:b w:val="0"/>
                <w:i w:val="0"/>
                <w:sz w:val="16"/>
              </w:rPr>
              <w:t>[-1.07%]</w:t>
            </w:r>
          </w:p>
        </w:tc>
        <w:tc>
          <w:tcPr>
            <w:tcW w:type="dxa" w:w="1224"/>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0.0615</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947,987</w:t>
            </w:r>
          </w:p>
        </w:tc>
      </w:tr>
      <w:tr>
        <w:trPr>
          <w:cantSplit/>
        </w:trPr>
        <w:tc>
          <w:tcPr>
            <w:tcW w:type="dxa" w:w="3456"/>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6"/>
              </w:rPr>
              <w:t>Textiles and footwear</w:t>
            </w:r>
          </w:p>
        </w:tc>
        <w:tc>
          <w:tcPr>
            <w:tcW w:type="dxa" w:w="30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-0.0447***</w:t>
            </w:r>
            <w:r>
              <w:br/>
            </w:r>
            <w:r>
              <w:rPr>
                <w:rFonts w:ascii="Times New Roman" w:hAnsi="Times New Roman" w:eastAsia="Times New Roman"/>
                <w:b w:val="0"/>
                <w:i w:val="0"/>
                <w:sz w:val="16"/>
              </w:rPr>
              <w:t>(0.0124)</w:t>
            </w:r>
            <w:r>
              <w:br/>
            </w:r>
            <w:r>
              <w:rPr>
                <w:rFonts w:ascii="Times New Roman" w:hAnsi="Times New Roman" w:eastAsia="Times New Roman"/>
                <w:b w:val="0"/>
                <w:i w:val="0"/>
                <w:sz w:val="16"/>
              </w:rPr>
              <w:t>[-4.37%]</w:t>
            </w:r>
          </w:p>
        </w:tc>
        <w:tc>
          <w:tcPr>
            <w:tcW w:type="dxa" w:w="1224"/>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0.0031</w:t>
            </w:r>
          </w:p>
        </w:tc>
        <w:tc>
          <w:tcPr>
            <w:tcW w:type="dxa" w:w="30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-0.0201***</w:t>
            </w:r>
            <w:r>
              <w:br/>
            </w:r>
            <w:r>
              <w:rPr>
                <w:rFonts w:ascii="Times New Roman" w:hAnsi="Times New Roman" w:eastAsia="Times New Roman"/>
                <w:b w:val="0"/>
                <w:i w:val="0"/>
                <w:sz w:val="16"/>
              </w:rPr>
              <w:t>(0.0058)</w:t>
            </w:r>
            <w:r>
              <w:br/>
            </w:r>
            <w:r>
              <w:rPr>
                <w:rFonts w:ascii="Times New Roman" w:hAnsi="Times New Roman" w:eastAsia="Times New Roman"/>
                <w:b w:val="0"/>
                <w:i w:val="0"/>
                <w:sz w:val="16"/>
              </w:rPr>
              <w:t>[-1.99%]</w:t>
            </w:r>
          </w:p>
        </w:tc>
        <w:tc>
          <w:tcPr>
            <w:tcW w:type="dxa" w:w="1224"/>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0.0047</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2,522,056</w:t>
            </w:r>
          </w:p>
        </w:tc>
      </w:tr>
      <w:tr>
        <w:trPr>
          <w:cantSplit/>
        </w:trPr>
        <w:tc>
          <w:tcPr>
            <w:tcW w:type="dxa" w:w="3456"/>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6"/>
              </w:rPr>
              <w:t>Machinery and electronics</w:t>
            </w:r>
          </w:p>
        </w:tc>
        <w:tc>
          <w:tcPr>
            <w:tcW w:type="dxa" w:w="30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-0.0349**</w:t>
            </w:r>
            <w:r>
              <w:br/>
            </w:r>
            <w:r>
              <w:rPr>
                <w:rFonts w:ascii="Times New Roman" w:hAnsi="Times New Roman" w:eastAsia="Times New Roman"/>
                <w:b w:val="0"/>
                <w:i w:val="0"/>
                <w:sz w:val="16"/>
              </w:rPr>
              <w:t>(0.0131)</w:t>
            </w:r>
            <w:r>
              <w:br/>
            </w:r>
            <w:r>
              <w:rPr>
                <w:rFonts w:ascii="Times New Roman" w:hAnsi="Times New Roman" w:eastAsia="Times New Roman"/>
                <w:b w:val="0"/>
                <w:i w:val="0"/>
                <w:sz w:val="16"/>
              </w:rPr>
              <w:t>[-3.43%]</w:t>
            </w:r>
          </w:p>
        </w:tc>
        <w:tc>
          <w:tcPr>
            <w:tcW w:type="dxa" w:w="1224"/>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0.0263</w:t>
            </w:r>
          </w:p>
        </w:tc>
        <w:tc>
          <w:tcPr>
            <w:tcW w:type="dxa" w:w="30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-0.0135*</w:t>
            </w:r>
            <w:r>
              <w:br/>
            </w:r>
            <w:r>
              <w:rPr>
                <w:rFonts w:ascii="Times New Roman" w:hAnsi="Times New Roman" w:eastAsia="Times New Roman"/>
                <w:b w:val="0"/>
                <w:i w:val="0"/>
                <w:sz w:val="16"/>
              </w:rPr>
              <w:t>(0.0068)</w:t>
            </w:r>
            <w:r>
              <w:br/>
            </w:r>
            <w:r>
              <w:rPr>
                <w:rFonts w:ascii="Times New Roman" w:hAnsi="Times New Roman" w:eastAsia="Times New Roman"/>
                <w:b w:val="0"/>
                <w:i w:val="0"/>
                <w:sz w:val="16"/>
              </w:rPr>
              <w:t>[-1.34%]</w:t>
            </w:r>
          </w:p>
        </w:tc>
        <w:tc>
          <w:tcPr>
            <w:tcW w:type="dxa" w:w="1224"/>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0.0765</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723,655</w:t>
            </w:r>
          </w:p>
        </w:tc>
      </w:tr>
      <w:tr>
        <w:trPr>
          <w:cantSplit/>
        </w:trPr>
        <w:tc>
          <w:tcPr>
            <w:tcW w:type="dxa" w:w="3456"/>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6"/>
              </w:rPr>
              <w:t>Transport equipment</w:t>
            </w:r>
          </w:p>
        </w:tc>
        <w:tc>
          <w:tcPr>
            <w:tcW w:type="dxa" w:w="30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-0.0474**</w:t>
            </w:r>
            <w:r>
              <w:br/>
            </w:r>
            <w:r>
              <w:rPr>
                <w:rFonts w:ascii="Times New Roman" w:hAnsi="Times New Roman" w:eastAsia="Times New Roman"/>
                <w:b w:val="0"/>
                <w:i w:val="0"/>
                <w:sz w:val="16"/>
              </w:rPr>
              <w:t>(0.0188)</w:t>
            </w:r>
            <w:r>
              <w:br/>
            </w:r>
            <w:r>
              <w:rPr>
                <w:rFonts w:ascii="Times New Roman" w:hAnsi="Times New Roman" w:eastAsia="Times New Roman"/>
                <w:b w:val="0"/>
                <w:i w:val="0"/>
                <w:sz w:val="16"/>
              </w:rPr>
              <w:t>[-4.63%]</w:t>
            </w:r>
          </w:p>
        </w:tc>
        <w:tc>
          <w:tcPr>
            <w:tcW w:type="dxa" w:w="1224"/>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0.0263</w:t>
            </w:r>
          </w:p>
        </w:tc>
        <w:tc>
          <w:tcPr>
            <w:tcW w:type="dxa" w:w="30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-0.0184*</w:t>
            </w:r>
            <w:r>
              <w:br/>
            </w:r>
            <w:r>
              <w:rPr>
                <w:rFonts w:ascii="Times New Roman" w:hAnsi="Times New Roman" w:eastAsia="Times New Roman"/>
                <w:b w:val="0"/>
                <w:i w:val="0"/>
                <w:sz w:val="16"/>
              </w:rPr>
              <w:t>(0.0085)</w:t>
            </w:r>
            <w:r>
              <w:br/>
            </w:r>
            <w:r>
              <w:rPr>
                <w:rFonts w:ascii="Times New Roman" w:hAnsi="Times New Roman" w:eastAsia="Times New Roman"/>
                <w:b w:val="0"/>
                <w:i w:val="0"/>
                <w:sz w:val="16"/>
              </w:rPr>
              <w:t>[-1.83%]</w:t>
            </w:r>
          </w:p>
        </w:tc>
        <w:tc>
          <w:tcPr>
            <w:tcW w:type="dxa" w:w="1224"/>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0.0615</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669,321</w:t>
            </w:r>
          </w:p>
        </w:tc>
      </w:tr>
      <w:tr>
        <w:trPr>
          <w:cantSplit/>
        </w:trPr>
        <w:tc>
          <w:tcPr>
            <w:tcW w:type="dxa" w:w="3456"/>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6"/>
              </w:rPr>
              <w:t>Precision and other manufactures</w:t>
            </w:r>
          </w:p>
        </w:tc>
        <w:tc>
          <w:tcPr>
            <w:tcW w:type="dxa" w:w="30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-0.0320**</w:t>
            </w:r>
            <w:r>
              <w:br/>
            </w:r>
            <w:r>
              <w:rPr>
                <w:rFonts w:ascii="Times New Roman" w:hAnsi="Times New Roman" w:eastAsia="Times New Roman"/>
                <w:b w:val="0"/>
                <w:i w:val="0"/>
                <w:sz w:val="16"/>
              </w:rPr>
              <w:t>(0.0123)</w:t>
            </w:r>
            <w:r>
              <w:br/>
            </w:r>
            <w:r>
              <w:rPr>
                <w:rFonts w:ascii="Times New Roman" w:hAnsi="Times New Roman" w:eastAsia="Times New Roman"/>
                <w:b w:val="0"/>
                <w:i w:val="0"/>
                <w:sz w:val="16"/>
              </w:rPr>
              <w:t>[-3.15%]</w:t>
            </w:r>
          </w:p>
        </w:tc>
        <w:tc>
          <w:tcPr>
            <w:tcW w:type="dxa" w:w="1224"/>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0.0263</w:t>
            </w:r>
          </w:p>
        </w:tc>
        <w:tc>
          <w:tcPr>
            <w:tcW w:type="dxa" w:w="30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-0.0173***</w:t>
            </w:r>
            <w:r>
              <w:br/>
            </w:r>
            <w:r>
              <w:rPr>
                <w:rFonts w:ascii="Times New Roman" w:hAnsi="Times New Roman" w:eastAsia="Times New Roman"/>
                <w:b w:val="0"/>
                <w:i w:val="0"/>
                <w:sz w:val="16"/>
              </w:rPr>
              <w:t>(0.0053)</w:t>
            </w:r>
            <w:r>
              <w:br/>
            </w:r>
            <w:r>
              <w:rPr>
                <w:rFonts w:ascii="Times New Roman" w:hAnsi="Times New Roman" w:eastAsia="Times New Roman"/>
                <w:b w:val="0"/>
                <w:i w:val="0"/>
                <w:sz w:val="16"/>
              </w:rPr>
              <w:t>[-1.72%]</w:t>
            </w:r>
          </w:p>
        </w:tc>
        <w:tc>
          <w:tcPr>
            <w:tcW w:type="dxa" w:w="1224"/>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0.0061</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1,171,921</w:t>
            </w:r>
          </w:p>
        </w:tc>
      </w:tr>
    </w:tbl>
    <w:p>
      <w:pPr>
        <w:spacing w:before="80" w:after="20" w:line="240" w:lineRule="auto"/>
      </w:pPr>
      <w:r>
        <w:rPr>
          <w:rFonts w:ascii="Times New Roman" w:hAnsi="Times New Roman"/>
          <w:b/>
          <w:sz w:val="16"/>
        </w:rPr>
        <w:t xml:space="preserve">Notes: </w:t>
      </w:r>
      <w:r>
        <w:rPr>
          <w:rFonts w:ascii="Times New Roman" w:hAnsi="Times New Roman"/>
          <w:sz w:val="16"/>
        </w:rPr>
        <w:t>Each sector is estimated separately using PPML with pair–HS2, exporter–year, importer–year, and HS2–year fixed effects. Standard errors are clustered by unordered pair and year. Stars are based on BH-FDR-adjusted p-values across the ten pre-specified sector tests. Only sectors with aligned negative FTA and depth interactions that remain significant at the 10% FDR level are shown.</w:t>
      </w:r>
    </w:p>
    <w:p>
      <w:pPr>
        <w:spacing w:before="0" w:after="160"/>
      </w:pPr>
      <w:r>
        <w:rPr>
          <w:rFonts w:ascii="Times New Roman" w:hAnsi="Times New Roman"/>
          <w:b/>
          <w:color w:val="646464"/>
          <w:sz w:val="15"/>
        </w:rPr>
        <w:t xml:space="preserve">Internal extraction source (remove before submission): </w:t>
      </w:r>
      <w:r>
        <w:rPr>
          <w:rFonts w:ascii="Times New Roman" w:hAnsi="Times New Roman"/>
          <w:color w:val="646464"/>
          <w:sz w:val="15"/>
        </w:rPr>
        <w:t>outputs/tables/step11_hs2_sector_coefficients.csv</w:t>
      </w:r>
    </w:p>
    <w:p>
      <w:pPr>
        <w:sectPr>
          <w:pgSz w:w="16834" w:h="11909" w:orient="landscape"/>
          <w:pgMar w:top="648" w:right="648" w:bottom="648" w:left="648" w:header="720" w:footer="720" w:gutter="0"/>
          <w:cols w:space="720"/>
          <w:docGrid w:linePitch="360"/>
        </w:sectPr>
      </w:pPr>
    </w:p>
    <w:p>
      <w:pPr>
        <w:spacing w:before="40" w:after="100"/>
        <w:jc w:val="left"/>
      </w:pPr>
      <w:r>
        <w:rPr>
          <w:rFonts w:ascii="Times New Roman" w:hAnsi="Times New Roman" w:eastAsia="Times New Roman"/>
          <w:b/>
          <w:sz w:val="20"/>
        </w:rPr>
        <w:t>Table 5. Trade-Link Survival under Global Geopolitical Risk</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3240"/>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7"/>
              </w:rPr>
              <w:t>Variable</w:t>
            </w:r>
          </w:p>
        </w:tc>
        <w:tc>
          <w:tcPr>
            <w:tcW w:type="dxa" w:w="2520"/>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7"/>
              </w:rPr>
              <w:t>(1) FTA interaction</w:t>
            </w:r>
          </w:p>
        </w:tc>
        <w:tc>
          <w:tcPr>
            <w:tcW w:type="dxa" w:w="2520"/>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7"/>
              </w:rPr>
              <w:t>(2) Depth interaction</w:t>
            </w:r>
          </w:p>
        </w:tc>
        <w:tc>
          <w:tcPr>
            <w:tcW w:type="dxa" w:w="2520"/>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7"/>
              </w:rPr>
              <w:t>(3) Joint FTA + depth</w:t>
            </w:r>
          </w:p>
        </w:tc>
      </w:tr>
      <w:tr>
        <w:trPr>
          <w:cantSplit/>
        </w:trPr>
        <w:tc>
          <w:tcPr>
            <w:tcW w:type="dxa" w:w="3240"/>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7"/>
              </w:rPr>
              <w:t>GPR × FTA</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-0.0047</w:t>
            </w:r>
            <w:r>
              <w:br/>
            </w:r>
            <w:r>
              <w:rPr>
                <w:rFonts w:ascii="Times New Roman" w:hAnsi="Times New Roman" w:eastAsia="Times New Roman"/>
                <w:b w:val="0"/>
                <w:i w:val="0"/>
                <w:sz w:val="17"/>
              </w:rPr>
              <w:t>(0.0037)</w:t>
            </w:r>
            <w:r>
              <w:br/>
            </w:r>
            <w:r>
              <w:rPr>
                <w:rFonts w:ascii="Times New Roman" w:hAnsi="Times New Roman" w:eastAsia="Times New Roman"/>
                <w:b w:val="0"/>
                <w:i w:val="0"/>
                <w:sz w:val="17"/>
              </w:rPr>
              <w:t>[-0.468 pp]</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0.0028*</w:t>
            </w:r>
            <w:r>
              <w:br/>
            </w:r>
            <w:r>
              <w:rPr>
                <w:rFonts w:ascii="Times New Roman" w:hAnsi="Times New Roman" w:eastAsia="Times New Roman"/>
                <w:b w:val="0"/>
                <w:i w:val="0"/>
                <w:sz w:val="17"/>
              </w:rPr>
              <w:t>(0.0015)</w:t>
            </w:r>
            <w:r>
              <w:br/>
            </w:r>
            <w:r>
              <w:rPr>
                <w:rFonts w:ascii="Times New Roman" w:hAnsi="Times New Roman" w:eastAsia="Times New Roman"/>
                <w:b w:val="0"/>
                <w:i w:val="0"/>
                <w:sz w:val="17"/>
              </w:rPr>
              <w:t>[+0.282 pp]</w:t>
            </w:r>
          </w:p>
        </w:tc>
      </w:tr>
      <w:tr>
        <w:trPr>
          <w:cantSplit/>
        </w:trPr>
        <w:tc>
          <w:tcPr>
            <w:tcW w:type="dxa" w:w="3240"/>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7"/>
              </w:rPr>
              <w:t>GPR × DTA depth</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-0.0042*</w:t>
            </w:r>
            <w:r>
              <w:br/>
            </w:r>
            <w:r>
              <w:rPr>
                <w:rFonts w:ascii="Times New Roman" w:hAnsi="Times New Roman" w:eastAsia="Times New Roman"/>
                <w:b w:val="0"/>
                <w:i w:val="0"/>
                <w:sz w:val="17"/>
              </w:rPr>
              <w:t>(0.0021)</w:t>
            </w:r>
            <w:r>
              <w:br/>
            </w:r>
            <w:r>
              <w:rPr>
                <w:rFonts w:ascii="Times New Roman" w:hAnsi="Times New Roman" w:eastAsia="Times New Roman"/>
                <w:b w:val="0"/>
                <w:i w:val="0"/>
                <w:sz w:val="17"/>
              </w:rPr>
              <w:t>[-0.418 pp]</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-0.0052***</w:t>
            </w:r>
            <w:r>
              <w:br/>
            </w:r>
            <w:r>
              <w:rPr>
                <w:rFonts w:ascii="Times New Roman" w:hAnsi="Times New Roman" w:eastAsia="Times New Roman"/>
                <w:b w:val="0"/>
                <w:i w:val="0"/>
                <w:sz w:val="17"/>
              </w:rPr>
              <w:t>(0.0017)</w:t>
            </w:r>
            <w:r>
              <w:br/>
            </w:r>
            <w:r>
              <w:rPr>
                <w:rFonts w:ascii="Times New Roman" w:hAnsi="Times New Roman" w:eastAsia="Times New Roman"/>
                <w:b w:val="0"/>
                <w:i w:val="0"/>
                <w:sz w:val="17"/>
              </w:rPr>
              <w:t>[-0.523 pp]</w:t>
            </w:r>
          </w:p>
        </w:tc>
      </w:tr>
      <w:tr>
        <w:trPr>
          <w:cantSplit/>
        </w:trPr>
        <w:tc>
          <w:tcPr>
            <w:tcW w:type="dxa" w:w="3240"/>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7"/>
              </w:rPr>
              <w:t>Lagged link size</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Included</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Included</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Included</w:t>
            </w:r>
          </w:p>
        </w:tc>
      </w:tr>
      <w:tr>
        <w:trPr>
          <w:cantSplit/>
        </w:trPr>
        <w:tc>
          <w:tcPr>
            <w:tcW w:type="dxa" w:w="3240"/>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7"/>
              </w:rPr>
              <w:t>Pair–HS2 fixed effects</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Yes</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Yes</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Yes</w:t>
            </w:r>
          </w:p>
        </w:tc>
      </w:tr>
      <w:tr>
        <w:trPr>
          <w:cantSplit/>
        </w:trPr>
        <w:tc>
          <w:tcPr>
            <w:tcW w:type="dxa" w:w="3240"/>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7"/>
              </w:rPr>
              <w:t>Exporter–year fixed effects</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Yes</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Yes</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Yes</w:t>
            </w:r>
          </w:p>
        </w:tc>
      </w:tr>
      <w:tr>
        <w:trPr>
          <w:cantSplit/>
        </w:trPr>
        <w:tc>
          <w:tcPr>
            <w:tcW w:type="dxa" w:w="3240"/>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7"/>
              </w:rPr>
              <w:t>Importer–year fixed effects</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Yes</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Yes</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Yes</w:t>
            </w:r>
          </w:p>
        </w:tc>
      </w:tr>
      <w:tr>
        <w:trPr>
          <w:cantSplit/>
        </w:trPr>
        <w:tc>
          <w:tcPr>
            <w:tcW w:type="dxa" w:w="3240"/>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7"/>
              </w:rPr>
              <w:t>HS2–year fixed effects</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Yes</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Yes</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Yes</w:t>
            </w:r>
          </w:p>
        </w:tc>
      </w:tr>
      <w:tr>
        <w:trPr>
          <w:cantSplit/>
        </w:trPr>
        <w:tc>
          <w:tcPr>
            <w:tcW w:type="dxa" w:w="3240"/>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7"/>
              </w:rPr>
              <w:t>Observations</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8,045,131</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8,045,131</w:t>
            </w:r>
          </w:p>
        </w:tc>
        <w:tc>
          <w:tcPr>
            <w:tcW w:type="dxa" w:w="252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8,045,131</w:t>
            </w:r>
          </w:p>
        </w:tc>
      </w:tr>
    </w:tbl>
    <w:p>
      <w:pPr>
        <w:spacing w:before="80" w:after="20" w:line="240" w:lineRule="auto"/>
      </w:pPr>
      <w:r>
        <w:rPr>
          <w:rFonts w:ascii="Times New Roman" w:hAnsi="Times New Roman"/>
          <w:b/>
          <w:sz w:val="16"/>
        </w:rPr>
        <w:t xml:space="preserve">Notes: </w:t>
      </w:r>
      <w:r>
        <w:rPr>
          <w:rFonts w:ascii="Times New Roman" w:hAnsi="Times New Roman"/>
          <w:sz w:val="16"/>
        </w:rPr>
        <w:t>Dependent variable equals one when an at-risk pair–HS2 link remains positive in year t. LPM coefficients are reported with unordered-pair and year clustered standard errors in parentheses; percentage-point effects are in square brackets. Mean survival in the untrimmed risk set is 84.94%. DTA depth is measured in units of ten provisions.</w:t>
      </w:r>
    </w:p>
    <w:p>
      <w:pPr>
        <w:spacing w:before="0" w:after="160"/>
      </w:pPr>
      <w:r>
        <w:rPr>
          <w:rFonts w:ascii="Times New Roman" w:hAnsi="Times New Roman"/>
          <w:b/>
          <w:color w:val="646464"/>
          <w:sz w:val="15"/>
        </w:rPr>
        <w:t xml:space="preserve">Internal extraction source (remove before submission): </w:t>
      </w:r>
      <w:r>
        <w:rPr>
          <w:rFonts w:ascii="Times New Roman" w:hAnsi="Times New Roman"/>
          <w:color w:val="646464"/>
          <w:sz w:val="15"/>
        </w:rPr>
        <w:t>outputs/tables/step13b_hs2_survival_interactions.csv</w:t>
      </w:r>
    </w:p>
    <w:p>
      <w:pPr>
        <w:sectPr>
          <w:pgSz w:w="11909" w:h="16834"/>
          <w:pgMar w:top="792" w:right="936" w:bottom="792" w:left="936" w:header="720" w:footer="720" w:gutter="0"/>
          <w:cols w:space="720"/>
          <w:docGrid w:linePitch="360"/>
        </w:sectPr>
      </w:pPr>
    </w:p>
    <w:p>
      <w:pPr>
        <w:spacing w:before="40" w:after="100"/>
        <w:jc w:val="left"/>
      </w:pPr>
      <w:r>
        <w:rPr>
          <w:rFonts w:ascii="Times New Roman" w:hAnsi="Times New Roman" w:eastAsia="Times New Roman"/>
          <w:b/>
          <w:sz w:val="20"/>
        </w:rPr>
        <w:t>Table 6. Robustness Checks Using Alternative Shocks and Restricted Samples</w:t>
      </w:r>
    </w:p>
    <w:tbl>
      <w:tblPr>
        <w:tblStyle w:val="TableGrid"/>
        <w:tblW w:type="auto" w:w="0"/>
        <w:jc w:val="center"/>
        <w:tblLayout w:type="fixed"/>
        <w:tblLook w:firstColumn="1" w:firstRow="1" w:lastColumn="0" w:lastRow="0" w:noHBand="0" w:noVBand="1" w:val="04A0"/>
      </w:tblPr>
      <w:tblGrid>
        <w:gridCol w:w="2590"/>
        <w:gridCol w:w="2590"/>
        <w:gridCol w:w="2590"/>
        <w:gridCol w:w="2590"/>
        <w:gridCol w:w="2590"/>
        <w:gridCol w:w="2590"/>
      </w:tblGrid>
      <w:tr>
        <w:trPr>
          <w:tblHeader w:val="true"/>
        </w:trPr>
        <w:tc>
          <w:tcPr>
            <w:tcW w:type="dxa" w:w="2952"/>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5"/>
              </w:rPr>
              <w:t>Shock definition</w:t>
            </w:r>
          </w:p>
        </w:tc>
        <w:tc>
          <w:tcPr>
            <w:tcW w:type="dxa" w:w="3240"/>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5"/>
              </w:rPr>
              <w:t>Sample</w:t>
            </w:r>
          </w:p>
        </w:tc>
        <w:tc>
          <w:tcPr>
            <w:tcW w:type="dxa" w:w="3600"/>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5"/>
              </w:rPr>
              <w:t>Interaction coefficient(s) (SE)</w:t>
            </w:r>
          </w:p>
        </w:tc>
        <w:tc>
          <w:tcPr>
            <w:tcW w:type="dxa" w:w="2160"/>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5"/>
              </w:rPr>
              <w:t>Exact effect</w:t>
            </w:r>
          </w:p>
        </w:tc>
        <w:tc>
          <w:tcPr>
            <w:tcW w:type="dxa" w:w="1656"/>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5"/>
              </w:rPr>
              <w:t>p-value</w:t>
            </w:r>
          </w:p>
        </w:tc>
        <w:tc>
          <w:tcPr>
            <w:tcW w:type="dxa" w:w="1656"/>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5"/>
              </w:rPr>
              <w:t>Observations</w:t>
            </w:r>
          </w:p>
        </w:tc>
      </w:tr>
      <w:tr>
        <w:trPr>
          <w:cantSplit/>
        </w:trPr>
        <w:tc>
          <w:tcPr>
            <w:tcW w:type="dxa" w:w="2952"/>
            <w:vAlign w:val="center"/>
            <w:tcMar>
              <w:top w:w="60" w:type="dxa"/>
              <w:start w:w="70" w:type="dxa"/>
              <w:bottom w:w="60" w:type="dxa"/>
              <w:end w:w="70" w:type="dxa"/>
            </w:tcMar>
            <w:shd w:fill="EDEDED"/>
          </w:tcPr>
          <w:p>
            <w:pPr>
              <w:spacing w:after="0" w:before="0" w:line="240" w:lineRule="auto"/>
              <w:jc w:val="left"/>
            </w:pPr>
            <w:r/>
            <w:r>
              <w:rPr>
                <w:rFonts w:ascii="Times New Roman" w:hAnsi="Times New Roman" w:eastAsia="Times New Roman"/>
                <w:b/>
                <w:i w:val="0"/>
                <w:sz w:val="15"/>
              </w:rPr>
              <w:t>Panel A. Robustness of GPR × DTA depth for trade-link survival</w:t>
            </w:r>
          </w:p>
        </w:tc>
        <w:tc>
          <w:tcPr>
            <w:tcW w:type="dxa" w:w="3240"/>
            <w:vAlign w:val="center"/>
            <w:tcMar>
              <w:top w:w="60" w:type="dxa"/>
              <w:start w:w="70" w:type="dxa"/>
              <w:bottom w:w="60" w:type="dxa"/>
              <w:end w:w="70" w:type="dxa"/>
            </w:tcMar>
            <w:shd w:fill="EDEDED"/>
          </w:tcPr>
          <w:p>
            <w:pPr>
              <w:spacing w:after="0" w:before="0" w:line="240" w:lineRule="auto"/>
              <w:jc w:val="center"/>
            </w:pPr>
            <w:r/>
            <w:r>
              <w:rPr>
                <w:rFonts w:ascii="Times New Roman" w:hAnsi="Times New Roman" w:eastAsia="Times New Roman"/>
                <w:b/>
                <w:i w:val="0"/>
                <w:sz w:val="15"/>
              </w:rPr>
            </w:r>
          </w:p>
        </w:tc>
        <w:tc>
          <w:tcPr>
            <w:tcW w:type="dxa" w:w="3600"/>
            <w:vAlign w:val="center"/>
            <w:tcMar>
              <w:top w:w="60" w:type="dxa"/>
              <w:start w:w="70" w:type="dxa"/>
              <w:bottom w:w="60" w:type="dxa"/>
              <w:end w:w="70" w:type="dxa"/>
            </w:tcMar>
            <w:shd w:fill="EDEDED"/>
          </w:tcPr>
          <w:p>
            <w:pPr>
              <w:spacing w:after="0" w:before="0" w:line="240" w:lineRule="auto"/>
              <w:jc w:val="center"/>
            </w:pPr>
            <w:r/>
            <w:r>
              <w:rPr>
                <w:rFonts w:ascii="Times New Roman" w:hAnsi="Times New Roman" w:eastAsia="Times New Roman"/>
                <w:b/>
                <w:i w:val="0"/>
                <w:sz w:val="15"/>
              </w:rPr>
            </w:r>
          </w:p>
        </w:tc>
        <w:tc>
          <w:tcPr>
            <w:tcW w:type="dxa" w:w="2160"/>
            <w:vAlign w:val="center"/>
            <w:tcMar>
              <w:top w:w="60" w:type="dxa"/>
              <w:start w:w="70" w:type="dxa"/>
              <w:bottom w:w="60" w:type="dxa"/>
              <w:end w:w="70" w:type="dxa"/>
            </w:tcMar>
            <w:shd w:fill="EDEDED"/>
          </w:tcPr>
          <w:p>
            <w:pPr>
              <w:spacing w:after="0" w:before="0" w:line="240" w:lineRule="auto"/>
              <w:jc w:val="center"/>
            </w:pPr>
            <w:r/>
            <w:r>
              <w:rPr>
                <w:rFonts w:ascii="Times New Roman" w:hAnsi="Times New Roman" w:eastAsia="Times New Roman"/>
                <w:b/>
                <w:i w:val="0"/>
                <w:sz w:val="15"/>
              </w:rPr>
            </w:r>
          </w:p>
        </w:tc>
        <w:tc>
          <w:tcPr>
            <w:tcW w:type="dxa" w:w="1656"/>
            <w:vAlign w:val="center"/>
            <w:tcMar>
              <w:top w:w="60" w:type="dxa"/>
              <w:start w:w="70" w:type="dxa"/>
              <w:bottom w:w="60" w:type="dxa"/>
              <w:end w:w="70" w:type="dxa"/>
            </w:tcMar>
            <w:shd w:fill="EDEDED"/>
          </w:tcPr>
          <w:p>
            <w:pPr>
              <w:spacing w:after="0" w:before="0" w:line="240" w:lineRule="auto"/>
              <w:jc w:val="center"/>
            </w:pPr>
            <w:r/>
            <w:r>
              <w:rPr>
                <w:rFonts w:ascii="Times New Roman" w:hAnsi="Times New Roman" w:eastAsia="Times New Roman"/>
                <w:b/>
                <w:i w:val="0"/>
                <w:sz w:val="15"/>
              </w:rPr>
            </w:r>
          </w:p>
        </w:tc>
        <w:tc>
          <w:tcPr>
            <w:tcW w:type="dxa" w:w="1656"/>
            <w:vAlign w:val="center"/>
            <w:tcMar>
              <w:top w:w="60" w:type="dxa"/>
              <w:start w:w="70" w:type="dxa"/>
              <w:bottom w:w="60" w:type="dxa"/>
              <w:end w:w="70" w:type="dxa"/>
            </w:tcMar>
            <w:shd w:fill="EDEDED"/>
          </w:tcPr>
          <w:p>
            <w:pPr>
              <w:spacing w:after="0" w:before="0" w:line="240" w:lineRule="auto"/>
              <w:jc w:val="center"/>
            </w:pPr>
            <w:r/>
            <w:r>
              <w:rPr>
                <w:rFonts w:ascii="Times New Roman" w:hAnsi="Times New Roman" w:eastAsia="Times New Roman"/>
                <w:b/>
                <w:i w:val="0"/>
                <w:sz w:val="15"/>
              </w:rPr>
            </w:r>
          </w:p>
        </w:tc>
      </w:tr>
      <w:tr>
        <w:trPr>
          <w:cantSplit/>
        </w:trPr>
        <w:tc>
          <w:tcPr>
            <w:tcW w:type="dxa" w:w="2952"/>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5"/>
              </w:rPr>
              <w:t>Baseline global mean GPR</w:t>
            </w:r>
          </w:p>
        </w:tc>
        <w:tc>
          <w:tcPr>
            <w:tcW w:type="dxa" w:w="32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Full risk set</w:t>
            </w:r>
          </w:p>
        </w:tc>
        <w:tc>
          <w:tcPr>
            <w:tcW w:type="dxa" w:w="360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-0.0052***</w:t>
            </w:r>
            <w:r>
              <w:br/>
            </w:r>
            <w:r>
              <w:rPr>
                <w:rFonts w:ascii="Times New Roman" w:hAnsi="Times New Roman" w:eastAsia="Times New Roman"/>
                <w:b w:val="0"/>
                <w:i w:val="0"/>
                <w:sz w:val="15"/>
              </w:rPr>
              <w:t>(0.0017)</w:t>
            </w:r>
          </w:p>
        </w:tc>
        <w:tc>
          <w:tcPr>
            <w:tcW w:type="dxa" w:w="216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-0.523</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0.0072</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8,045,131</w:t>
            </w:r>
          </w:p>
        </w:tc>
      </w:tr>
      <w:tr>
        <w:trPr>
          <w:cantSplit/>
        </w:trPr>
        <w:tc>
          <w:tcPr>
            <w:tcW w:type="dxa" w:w="2952"/>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5"/>
              </w:rPr>
              <w:t>Log mean GPR</w:t>
            </w:r>
          </w:p>
        </w:tc>
        <w:tc>
          <w:tcPr>
            <w:tcW w:type="dxa" w:w="32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Full risk set</w:t>
            </w:r>
          </w:p>
        </w:tc>
        <w:tc>
          <w:tcPr>
            <w:tcW w:type="dxa" w:w="360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-0.0053***</w:t>
            </w:r>
            <w:r>
              <w:br/>
            </w:r>
            <w:r>
              <w:rPr>
                <w:rFonts w:ascii="Times New Roman" w:hAnsi="Times New Roman" w:eastAsia="Times New Roman"/>
                <w:b w:val="0"/>
                <w:i w:val="0"/>
                <w:sz w:val="15"/>
              </w:rPr>
              <w:t>(0.0017)</w:t>
            </w:r>
          </w:p>
        </w:tc>
        <w:tc>
          <w:tcPr>
            <w:tcW w:type="dxa" w:w="216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-0.528</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0.0080</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8,045,131</w:t>
            </w:r>
          </w:p>
        </w:tc>
      </w:tr>
      <w:tr>
        <w:trPr>
          <w:cantSplit/>
        </w:trPr>
        <w:tc>
          <w:tcPr>
            <w:tcW w:type="dxa" w:w="2952"/>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5"/>
              </w:rPr>
              <w:t>GPR threats</w:t>
            </w:r>
          </w:p>
        </w:tc>
        <w:tc>
          <w:tcPr>
            <w:tcW w:type="dxa" w:w="32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Full risk set</w:t>
            </w:r>
          </w:p>
        </w:tc>
        <w:tc>
          <w:tcPr>
            <w:tcW w:type="dxa" w:w="360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-0.0034***</w:t>
            </w:r>
            <w:r>
              <w:br/>
            </w:r>
            <w:r>
              <w:rPr>
                <w:rFonts w:ascii="Times New Roman" w:hAnsi="Times New Roman" w:eastAsia="Times New Roman"/>
                <w:b w:val="0"/>
                <w:i w:val="0"/>
                <w:sz w:val="15"/>
              </w:rPr>
              <w:t>(0.0009)</w:t>
            </w:r>
          </w:p>
        </w:tc>
        <w:tc>
          <w:tcPr>
            <w:tcW w:type="dxa" w:w="216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-0.344</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0.0020</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8,045,131</w:t>
            </w:r>
          </w:p>
        </w:tc>
      </w:tr>
      <w:tr>
        <w:trPr>
          <w:cantSplit/>
        </w:trPr>
        <w:tc>
          <w:tcPr>
            <w:tcW w:type="dxa" w:w="2952"/>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5"/>
              </w:rPr>
              <w:t>Annual peak GPR</w:t>
            </w:r>
          </w:p>
        </w:tc>
        <w:tc>
          <w:tcPr>
            <w:tcW w:type="dxa" w:w="32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Full risk set</w:t>
            </w:r>
          </w:p>
        </w:tc>
        <w:tc>
          <w:tcPr>
            <w:tcW w:type="dxa" w:w="360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-0.0065***</w:t>
            </w:r>
            <w:r>
              <w:br/>
            </w:r>
            <w:r>
              <w:rPr>
                <w:rFonts w:ascii="Times New Roman" w:hAnsi="Times New Roman" w:eastAsia="Times New Roman"/>
                <w:b w:val="0"/>
                <w:i w:val="0"/>
                <w:sz w:val="15"/>
              </w:rPr>
              <w:t>(0.0021)</w:t>
            </w:r>
          </w:p>
        </w:tc>
        <w:tc>
          <w:tcPr>
            <w:tcW w:type="dxa" w:w="216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-0.649</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0.0074</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8,045,131</w:t>
            </w:r>
          </w:p>
        </w:tc>
      </w:tr>
      <w:tr>
        <w:trPr>
          <w:cantSplit/>
        </w:trPr>
        <w:tc>
          <w:tcPr>
            <w:tcW w:type="dxa" w:w="2952"/>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5"/>
              </w:rPr>
              <w:t>GPR acts</w:t>
            </w:r>
          </w:p>
        </w:tc>
        <w:tc>
          <w:tcPr>
            <w:tcW w:type="dxa" w:w="32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Full risk set</w:t>
            </w:r>
          </w:p>
        </w:tc>
        <w:tc>
          <w:tcPr>
            <w:tcW w:type="dxa" w:w="360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-0.0037</w:t>
            </w:r>
            <w:r>
              <w:br/>
            </w:r>
            <w:r>
              <w:rPr>
                <w:rFonts w:ascii="Times New Roman" w:hAnsi="Times New Roman" w:eastAsia="Times New Roman"/>
                <w:b w:val="0"/>
                <w:i w:val="0"/>
                <w:sz w:val="15"/>
              </w:rPr>
              <w:t>(0.0030)</w:t>
            </w:r>
          </w:p>
        </w:tc>
        <w:tc>
          <w:tcPr>
            <w:tcW w:type="dxa" w:w="216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-0.370</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0.2292</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8,045,131</w:t>
            </w:r>
          </w:p>
        </w:tc>
      </w:tr>
      <w:tr>
        <w:trPr>
          <w:cantSplit/>
        </w:trPr>
        <w:tc>
          <w:tcPr>
            <w:tcW w:type="dxa" w:w="2952"/>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5"/>
              </w:rPr>
              <w:t>Global mean GPR</w:t>
            </w:r>
          </w:p>
        </w:tc>
        <w:tc>
          <w:tcPr>
            <w:tcW w:type="dxa" w:w="32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Lagged trade ≥ USD 100,000</w:t>
            </w:r>
          </w:p>
        </w:tc>
        <w:tc>
          <w:tcPr>
            <w:tcW w:type="dxa" w:w="360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-0.0013**</w:t>
            </w:r>
            <w:r>
              <w:br/>
            </w:r>
            <w:r>
              <w:rPr>
                <w:rFonts w:ascii="Times New Roman" w:hAnsi="Times New Roman" w:eastAsia="Times New Roman"/>
                <w:b w:val="0"/>
                <w:i w:val="0"/>
                <w:sz w:val="15"/>
              </w:rPr>
              <w:t>(0.0004)</w:t>
            </w:r>
          </w:p>
        </w:tc>
        <w:tc>
          <w:tcPr>
            <w:tcW w:type="dxa" w:w="216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-0.127</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0.0113</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3,842,229</w:t>
            </w:r>
          </w:p>
        </w:tc>
      </w:tr>
      <w:tr>
        <w:trPr>
          <w:cantSplit/>
        </w:trPr>
        <w:tc>
          <w:tcPr>
            <w:tcW w:type="dxa" w:w="2952"/>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5"/>
              </w:rPr>
              <w:t>Global mean GPR</w:t>
            </w:r>
          </w:p>
        </w:tc>
        <w:tc>
          <w:tcPr>
            <w:tcW w:type="dxa" w:w="32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Lagged trade ≥ USD 1 million</w:t>
            </w:r>
          </w:p>
        </w:tc>
        <w:tc>
          <w:tcPr>
            <w:tcW w:type="dxa" w:w="360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-0.0014**</w:t>
            </w:r>
            <w:r>
              <w:br/>
            </w:r>
            <w:r>
              <w:rPr>
                <w:rFonts w:ascii="Times New Roman" w:hAnsi="Times New Roman" w:eastAsia="Times New Roman"/>
                <w:b w:val="0"/>
                <w:i w:val="0"/>
                <w:sz w:val="15"/>
              </w:rPr>
              <w:t>(0.0006)</w:t>
            </w:r>
          </w:p>
        </w:tc>
        <w:tc>
          <w:tcPr>
            <w:tcW w:type="dxa" w:w="216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-0.144</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0.0194</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2,079,423</w:t>
            </w:r>
          </w:p>
        </w:tc>
      </w:tr>
      <w:tr>
        <w:trPr>
          <w:cantSplit/>
        </w:trPr>
        <w:tc>
          <w:tcPr>
            <w:tcW w:type="dxa" w:w="2952"/>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5"/>
              </w:rPr>
              <w:t>Global mean GPR</w:t>
            </w:r>
          </w:p>
        </w:tc>
        <w:tc>
          <w:tcPr>
            <w:tcW w:type="dxa" w:w="32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Active-FTA observations only</w:t>
            </w:r>
          </w:p>
        </w:tc>
        <w:tc>
          <w:tcPr>
            <w:tcW w:type="dxa" w:w="360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-0.0046</w:t>
            </w:r>
            <w:r>
              <w:br/>
            </w:r>
            <w:r>
              <w:rPr>
                <w:rFonts w:ascii="Times New Roman" w:hAnsi="Times New Roman" w:eastAsia="Times New Roman"/>
                <w:b w:val="0"/>
                <w:i w:val="0"/>
                <w:sz w:val="15"/>
              </w:rPr>
              <w:t>(0.0031)</w:t>
            </w:r>
          </w:p>
        </w:tc>
        <w:tc>
          <w:tcPr>
            <w:tcW w:type="dxa" w:w="216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-0.457</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0.1623</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3,479,262</w:t>
            </w:r>
          </w:p>
        </w:tc>
      </w:tr>
      <w:tr>
        <w:trPr>
          <w:cantSplit/>
        </w:trPr>
        <w:tc>
          <w:tcPr>
            <w:tcW w:type="dxa" w:w="2952"/>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5"/>
              </w:rPr>
              <w:t>Restricted global GPR</w:t>
            </w:r>
          </w:p>
        </w:tc>
        <w:tc>
          <w:tcPr>
            <w:tcW w:type="dxa" w:w="32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44-country restricted sample</w:t>
            </w:r>
          </w:p>
        </w:tc>
        <w:tc>
          <w:tcPr>
            <w:tcW w:type="dxa" w:w="360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-0.0038***</w:t>
            </w:r>
            <w:r>
              <w:br/>
            </w:r>
            <w:r>
              <w:rPr>
                <w:rFonts w:ascii="Times New Roman" w:hAnsi="Times New Roman" w:eastAsia="Times New Roman"/>
                <w:b w:val="0"/>
                <w:i w:val="0"/>
                <w:sz w:val="15"/>
              </w:rPr>
              <w:t>(0.0010)</w:t>
            </w:r>
          </w:p>
        </w:tc>
        <w:tc>
          <w:tcPr>
            <w:tcW w:type="dxa" w:w="216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-0.384</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0.0014</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1,878,443</w:t>
            </w:r>
          </w:p>
        </w:tc>
      </w:tr>
      <w:tr>
        <w:trPr>
          <w:cantSplit/>
        </w:trPr>
        <w:tc>
          <w:tcPr>
            <w:tcW w:type="dxa" w:w="2952"/>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5"/>
              </w:rPr>
              <w:t>Average pair-country GPR</w:t>
            </w:r>
          </w:p>
        </w:tc>
        <w:tc>
          <w:tcPr>
            <w:tcW w:type="dxa" w:w="32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44-country restricted sample</w:t>
            </w:r>
          </w:p>
        </w:tc>
        <w:tc>
          <w:tcPr>
            <w:tcW w:type="dxa" w:w="360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-0.0017***</w:t>
            </w:r>
            <w:r>
              <w:br/>
            </w:r>
            <w:r>
              <w:rPr>
                <w:rFonts w:ascii="Times New Roman" w:hAnsi="Times New Roman" w:eastAsia="Times New Roman"/>
                <w:b w:val="0"/>
                <w:i w:val="0"/>
                <w:sz w:val="15"/>
              </w:rPr>
              <w:t>(0.0004)</w:t>
            </w:r>
          </w:p>
        </w:tc>
        <w:tc>
          <w:tcPr>
            <w:tcW w:type="dxa" w:w="216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-0.168</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0.0005</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1,878,443</w:t>
            </w:r>
          </w:p>
        </w:tc>
      </w:tr>
      <w:tr>
        <w:trPr>
          <w:cantSplit/>
        </w:trPr>
        <w:tc>
          <w:tcPr>
            <w:tcW w:type="dxa" w:w="2952"/>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5"/>
              </w:rPr>
              <w:t>Maximum pair-country GPR</w:t>
            </w:r>
          </w:p>
        </w:tc>
        <w:tc>
          <w:tcPr>
            <w:tcW w:type="dxa" w:w="32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44-country restricted sample</w:t>
            </w:r>
          </w:p>
        </w:tc>
        <w:tc>
          <w:tcPr>
            <w:tcW w:type="dxa" w:w="360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-0.0020***</w:t>
            </w:r>
            <w:r>
              <w:br/>
            </w:r>
            <w:r>
              <w:rPr>
                <w:rFonts w:ascii="Times New Roman" w:hAnsi="Times New Roman" w:eastAsia="Times New Roman"/>
                <w:b w:val="0"/>
                <w:i w:val="0"/>
                <w:sz w:val="15"/>
              </w:rPr>
              <w:t>(0.0005)</w:t>
            </w:r>
          </w:p>
        </w:tc>
        <w:tc>
          <w:tcPr>
            <w:tcW w:type="dxa" w:w="216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-0.203</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0.0005</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1,878,443</w:t>
            </w:r>
          </w:p>
        </w:tc>
      </w:tr>
      <w:tr>
        <w:trPr>
          <w:cantSplit/>
        </w:trPr>
        <w:tc>
          <w:tcPr>
            <w:tcW w:type="dxa" w:w="2952"/>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5"/>
              </w:rPr>
              <w:t>Log-average pair-country GPR</w:t>
            </w:r>
          </w:p>
        </w:tc>
        <w:tc>
          <w:tcPr>
            <w:tcW w:type="dxa" w:w="32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44-country restricted sample</w:t>
            </w:r>
          </w:p>
        </w:tc>
        <w:tc>
          <w:tcPr>
            <w:tcW w:type="dxa" w:w="360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-0.0015***</w:t>
            </w:r>
            <w:r>
              <w:br/>
            </w:r>
            <w:r>
              <w:rPr>
                <w:rFonts w:ascii="Times New Roman" w:hAnsi="Times New Roman" w:eastAsia="Times New Roman"/>
                <w:b w:val="0"/>
                <w:i w:val="0"/>
                <w:sz w:val="15"/>
              </w:rPr>
              <w:t>(0.0004)</w:t>
            </w:r>
          </w:p>
        </w:tc>
        <w:tc>
          <w:tcPr>
            <w:tcW w:type="dxa" w:w="216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-0.147</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0.0016</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1,878,443</w:t>
            </w:r>
          </w:p>
        </w:tc>
      </w:tr>
      <w:tr>
        <w:trPr>
          <w:cantSplit/>
        </w:trPr>
        <w:tc>
          <w:tcPr>
            <w:tcW w:type="dxa" w:w="2952"/>
            <w:vAlign w:val="center"/>
            <w:tcMar>
              <w:top w:w="60" w:type="dxa"/>
              <w:start w:w="70" w:type="dxa"/>
              <w:bottom w:w="60" w:type="dxa"/>
              <w:end w:w="70" w:type="dxa"/>
            </w:tcMar>
            <w:shd w:fill="EDEDED"/>
          </w:tcPr>
          <w:p>
            <w:pPr>
              <w:spacing w:after="0" w:before="0" w:line="240" w:lineRule="auto"/>
              <w:jc w:val="left"/>
            </w:pPr>
            <w:r/>
            <w:r>
              <w:rPr>
                <w:rFonts w:ascii="Times New Roman" w:hAnsi="Times New Roman" w:eastAsia="Times New Roman"/>
                <w:b/>
                <w:i w:val="0"/>
                <w:sz w:val="15"/>
              </w:rPr>
              <w:t>Panel B. Restricted-sample PPML estimates for intermediate-goods trade value</w:t>
            </w:r>
          </w:p>
        </w:tc>
        <w:tc>
          <w:tcPr>
            <w:tcW w:type="dxa" w:w="3240"/>
            <w:vAlign w:val="center"/>
            <w:tcMar>
              <w:top w:w="60" w:type="dxa"/>
              <w:start w:w="70" w:type="dxa"/>
              <w:bottom w:w="60" w:type="dxa"/>
              <w:end w:w="70" w:type="dxa"/>
            </w:tcMar>
            <w:shd w:fill="EDEDED"/>
          </w:tcPr>
          <w:p>
            <w:pPr>
              <w:spacing w:after="0" w:before="0" w:line="240" w:lineRule="auto"/>
              <w:jc w:val="center"/>
            </w:pPr>
            <w:r/>
            <w:r>
              <w:rPr>
                <w:rFonts w:ascii="Times New Roman" w:hAnsi="Times New Roman" w:eastAsia="Times New Roman"/>
                <w:b/>
                <w:i w:val="0"/>
                <w:sz w:val="15"/>
              </w:rPr>
            </w:r>
          </w:p>
        </w:tc>
        <w:tc>
          <w:tcPr>
            <w:tcW w:type="dxa" w:w="3600"/>
            <w:vAlign w:val="center"/>
            <w:tcMar>
              <w:top w:w="60" w:type="dxa"/>
              <w:start w:w="70" w:type="dxa"/>
              <w:bottom w:w="60" w:type="dxa"/>
              <w:end w:w="70" w:type="dxa"/>
            </w:tcMar>
            <w:shd w:fill="EDEDED"/>
          </w:tcPr>
          <w:p>
            <w:pPr>
              <w:spacing w:after="0" w:before="0" w:line="240" w:lineRule="auto"/>
              <w:jc w:val="center"/>
            </w:pPr>
            <w:r/>
            <w:r>
              <w:rPr>
                <w:rFonts w:ascii="Times New Roman" w:hAnsi="Times New Roman" w:eastAsia="Times New Roman"/>
                <w:b/>
                <w:i w:val="0"/>
                <w:sz w:val="15"/>
              </w:rPr>
            </w:r>
          </w:p>
        </w:tc>
        <w:tc>
          <w:tcPr>
            <w:tcW w:type="dxa" w:w="2160"/>
            <w:vAlign w:val="center"/>
            <w:tcMar>
              <w:top w:w="60" w:type="dxa"/>
              <w:start w:w="70" w:type="dxa"/>
              <w:bottom w:w="60" w:type="dxa"/>
              <w:end w:w="70" w:type="dxa"/>
            </w:tcMar>
            <w:shd w:fill="EDEDED"/>
          </w:tcPr>
          <w:p>
            <w:pPr>
              <w:spacing w:after="0" w:before="0" w:line="240" w:lineRule="auto"/>
              <w:jc w:val="center"/>
            </w:pPr>
            <w:r/>
            <w:r>
              <w:rPr>
                <w:rFonts w:ascii="Times New Roman" w:hAnsi="Times New Roman" w:eastAsia="Times New Roman"/>
                <w:b/>
                <w:i w:val="0"/>
                <w:sz w:val="15"/>
              </w:rPr>
            </w:r>
          </w:p>
        </w:tc>
        <w:tc>
          <w:tcPr>
            <w:tcW w:type="dxa" w:w="1656"/>
            <w:vAlign w:val="center"/>
            <w:tcMar>
              <w:top w:w="60" w:type="dxa"/>
              <w:start w:w="70" w:type="dxa"/>
              <w:bottom w:w="60" w:type="dxa"/>
              <w:end w:w="70" w:type="dxa"/>
            </w:tcMar>
            <w:shd w:fill="EDEDED"/>
          </w:tcPr>
          <w:p>
            <w:pPr>
              <w:spacing w:after="0" w:before="0" w:line="240" w:lineRule="auto"/>
              <w:jc w:val="center"/>
            </w:pPr>
            <w:r/>
            <w:r>
              <w:rPr>
                <w:rFonts w:ascii="Times New Roman" w:hAnsi="Times New Roman" w:eastAsia="Times New Roman"/>
                <w:b/>
                <w:i w:val="0"/>
                <w:sz w:val="15"/>
              </w:rPr>
            </w:r>
          </w:p>
        </w:tc>
        <w:tc>
          <w:tcPr>
            <w:tcW w:type="dxa" w:w="1656"/>
            <w:vAlign w:val="center"/>
            <w:tcMar>
              <w:top w:w="60" w:type="dxa"/>
              <w:start w:w="70" w:type="dxa"/>
              <w:bottom w:w="60" w:type="dxa"/>
              <w:end w:w="70" w:type="dxa"/>
            </w:tcMar>
            <w:shd w:fill="EDEDED"/>
          </w:tcPr>
          <w:p>
            <w:pPr>
              <w:spacing w:after="0" w:before="0" w:line="240" w:lineRule="auto"/>
              <w:jc w:val="center"/>
            </w:pPr>
            <w:r/>
            <w:r>
              <w:rPr>
                <w:rFonts w:ascii="Times New Roman" w:hAnsi="Times New Roman" w:eastAsia="Times New Roman"/>
                <w:b/>
                <w:i w:val="0"/>
                <w:sz w:val="15"/>
              </w:rPr>
            </w:r>
          </w:p>
        </w:tc>
      </w:tr>
      <w:tr>
        <w:trPr>
          <w:cantSplit/>
        </w:trPr>
        <w:tc>
          <w:tcPr>
            <w:tcW w:type="dxa" w:w="2952"/>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5"/>
              </w:rPr>
              <w:t>Restricted global GPR</w:t>
            </w:r>
          </w:p>
        </w:tc>
        <w:tc>
          <w:tcPr>
            <w:tcW w:type="dxa" w:w="32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44-country restricted sample</w:t>
            </w:r>
          </w:p>
        </w:tc>
        <w:tc>
          <w:tcPr>
            <w:tcW w:type="dxa" w:w="360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FTA: -0.0617*** (0.0217)</w:t>
            </w:r>
            <w:r>
              <w:br/>
            </w:r>
            <w:r>
              <w:rPr>
                <w:rFonts w:ascii="Times New Roman" w:hAnsi="Times New Roman" w:eastAsia="Times New Roman"/>
                <w:b w:val="0"/>
                <w:i w:val="0"/>
                <w:sz w:val="15"/>
              </w:rPr>
              <w:t>Depth: 0.0160 (0.0109)</w:t>
            </w:r>
          </w:p>
        </w:tc>
        <w:tc>
          <w:tcPr>
            <w:tcW w:type="dxa" w:w="216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FTA: -5.98%</w:t>
            </w:r>
            <w:r>
              <w:br/>
            </w:r>
            <w:r>
              <w:rPr>
                <w:rFonts w:ascii="Times New Roman" w:hAnsi="Times New Roman" w:eastAsia="Times New Roman"/>
                <w:b w:val="0"/>
                <w:i w:val="0"/>
                <w:sz w:val="15"/>
              </w:rPr>
              <w:t>Depth: +1.62%</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FTA: 0.0045</w:t>
            </w:r>
            <w:r>
              <w:br/>
            </w:r>
            <w:r>
              <w:rPr>
                <w:rFonts w:ascii="Times New Roman" w:hAnsi="Times New Roman" w:eastAsia="Times New Roman"/>
                <w:b w:val="0"/>
                <w:i w:val="0"/>
                <w:sz w:val="15"/>
              </w:rPr>
              <w:t>Depth: 0.1431</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2,520,781</w:t>
            </w:r>
          </w:p>
        </w:tc>
      </w:tr>
      <w:tr>
        <w:trPr>
          <w:cantSplit/>
        </w:trPr>
        <w:tc>
          <w:tcPr>
            <w:tcW w:type="dxa" w:w="2952"/>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5"/>
              </w:rPr>
              <w:t>Average pair-country GPR</w:t>
            </w:r>
          </w:p>
        </w:tc>
        <w:tc>
          <w:tcPr>
            <w:tcW w:type="dxa" w:w="32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44-country restricted sample</w:t>
            </w:r>
          </w:p>
        </w:tc>
        <w:tc>
          <w:tcPr>
            <w:tcW w:type="dxa" w:w="360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FTA: -0.0852*** (0.0319)</w:t>
            </w:r>
            <w:r>
              <w:br/>
            </w:r>
            <w:r>
              <w:rPr>
                <w:rFonts w:ascii="Times New Roman" w:hAnsi="Times New Roman" w:eastAsia="Times New Roman"/>
                <w:b w:val="0"/>
                <w:i w:val="0"/>
                <w:sz w:val="15"/>
              </w:rPr>
              <w:t>Depth: 0.0280** (0.0118)</w:t>
            </w:r>
          </w:p>
        </w:tc>
        <w:tc>
          <w:tcPr>
            <w:tcW w:type="dxa" w:w="216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FTA: -8.17%</w:t>
            </w:r>
            <w:r>
              <w:br/>
            </w:r>
            <w:r>
              <w:rPr>
                <w:rFonts w:ascii="Times New Roman" w:hAnsi="Times New Roman" w:eastAsia="Times New Roman"/>
                <w:b w:val="0"/>
                <w:i w:val="0"/>
                <w:sz w:val="15"/>
              </w:rPr>
              <w:t>Depth: +2.84%</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FTA: 0.0075</w:t>
            </w:r>
            <w:r>
              <w:br/>
            </w:r>
            <w:r>
              <w:rPr>
                <w:rFonts w:ascii="Times New Roman" w:hAnsi="Times New Roman" w:eastAsia="Times New Roman"/>
                <w:b w:val="0"/>
                <w:i w:val="0"/>
                <w:sz w:val="15"/>
              </w:rPr>
              <w:t>Depth: 0.0175</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2,520,781</w:t>
            </w:r>
          </w:p>
        </w:tc>
      </w:tr>
      <w:tr>
        <w:trPr>
          <w:cantSplit/>
        </w:trPr>
        <w:tc>
          <w:tcPr>
            <w:tcW w:type="dxa" w:w="2952"/>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5"/>
              </w:rPr>
              <w:t>Maximum pair-country GPR</w:t>
            </w:r>
          </w:p>
        </w:tc>
        <w:tc>
          <w:tcPr>
            <w:tcW w:type="dxa" w:w="32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44-country restricted sample</w:t>
            </w:r>
          </w:p>
        </w:tc>
        <w:tc>
          <w:tcPr>
            <w:tcW w:type="dxa" w:w="360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FTA: -0.0796** (0.0339)</w:t>
            </w:r>
            <w:r>
              <w:br/>
            </w:r>
            <w:r>
              <w:rPr>
                <w:rFonts w:ascii="Times New Roman" w:hAnsi="Times New Roman" w:eastAsia="Times New Roman"/>
                <w:b w:val="0"/>
                <w:i w:val="0"/>
                <w:sz w:val="15"/>
              </w:rPr>
              <w:t>Depth: 0.0240* (0.0129)</w:t>
            </w:r>
          </w:p>
        </w:tc>
        <w:tc>
          <w:tcPr>
            <w:tcW w:type="dxa" w:w="216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FTA: -7.65%</w:t>
            </w:r>
            <w:r>
              <w:br/>
            </w:r>
            <w:r>
              <w:rPr>
                <w:rFonts w:ascii="Times New Roman" w:hAnsi="Times New Roman" w:eastAsia="Times New Roman"/>
                <w:b w:val="0"/>
                <w:i w:val="0"/>
                <w:sz w:val="15"/>
              </w:rPr>
              <w:t>Depth: +2.43%</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FTA: 0.0187</w:t>
            </w:r>
            <w:r>
              <w:br/>
            </w:r>
            <w:r>
              <w:rPr>
                <w:rFonts w:ascii="Times New Roman" w:hAnsi="Times New Roman" w:eastAsia="Times New Roman"/>
                <w:b w:val="0"/>
                <w:i w:val="0"/>
                <w:sz w:val="15"/>
              </w:rPr>
              <w:t>Depth: 0.0621</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2,520,781</w:t>
            </w:r>
          </w:p>
        </w:tc>
      </w:tr>
      <w:tr>
        <w:trPr>
          <w:cantSplit/>
        </w:trPr>
        <w:tc>
          <w:tcPr>
            <w:tcW w:type="dxa" w:w="2952"/>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5"/>
              </w:rPr>
              <w:t>Log-average pair-country GPR</w:t>
            </w:r>
          </w:p>
        </w:tc>
        <w:tc>
          <w:tcPr>
            <w:tcW w:type="dxa" w:w="32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44-country restricted sample</w:t>
            </w:r>
          </w:p>
        </w:tc>
        <w:tc>
          <w:tcPr>
            <w:tcW w:type="dxa" w:w="360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FTA: -0.0843*** (0.0294)</w:t>
            </w:r>
            <w:r>
              <w:br/>
            </w:r>
            <w:r>
              <w:rPr>
                <w:rFonts w:ascii="Times New Roman" w:hAnsi="Times New Roman" w:eastAsia="Times New Roman"/>
                <w:b w:val="0"/>
                <w:i w:val="0"/>
                <w:sz w:val="15"/>
              </w:rPr>
              <w:t>Depth: 0.0277** (0.0111)</w:t>
            </w:r>
          </w:p>
        </w:tc>
        <w:tc>
          <w:tcPr>
            <w:tcW w:type="dxa" w:w="216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FTA: -8.09%</w:t>
            </w:r>
            <w:r>
              <w:br/>
            </w:r>
            <w:r>
              <w:rPr>
                <w:rFonts w:ascii="Times New Roman" w:hAnsi="Times New Roman" w:eastAsia="Times New Roman"/>
                <w:b w:val="0"/>
                <w:i w:val="0"/>
                <w:sz w:val="15"/>
              </w:rPr>
              <w:t>Depth: +2.81%</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FTA: 0.0042</w:t>
            </w:r>
            <w:r>
              <w:br/>
            </w:r>
            <w:r>
              <w:rPr>
                <w:rFonts w:ascii="Times New Roman" w:hAnsi="Times New Roman" w:eastAsia="Times New Roman"/>
                <w:b w:val="0"/>
                <w:i w:val="0"/>
                <w:sz w:val="15"/>
              </w:rPr>
              <w:t>Depth: 0.0123</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2,520,781</w:t>
            </w:r>
          </w:p>
        </w:tc>
      </w:tr>
    </w:tbl>
    <w:p>
      <w:pPr>
        <w:spacing w:before="80" w:after="20" w:line="240" w:lineRule="auto"/>
      </w:pPr>
      <w:r>
        <w:rPr>
          <w:rFonts w:ascii="Times New Roman" w:hAnsi="Times New Roman"/>
          <w:b/>
          <w:sz w:val="16"/>
        </w:rPr>
        <w:t xml:space="preserve">Notes: </w:t>
      </w:r>
      <w:r>
        <w:rPr>
          <w:rFonts w:ascii="Times New Roman" w:hAnsi="Times New Roman"/>
          <w:sz w:val="16"/>
        </w:rPr>
        <w:t>Panel A reports the GPR × DTA-depth coefficient from joint, size-adjusted link-survival LPMs. Panel B reports GPR × FTA and GPR × DTA-depth coefficients from joint PPML models. All specifications include pair–HS2, exporter–year, importer–year, and HS2–year fixed effects; standard errors are clustered by unordered pair and year. One depth unit equals ten legally enforceable policy areas.</w:t>
      </w:r>
    </w:p>
    <w:p>
      <w:pPr>
        <w:spacing w:before="0" w:after="160"/>
      </w:pPr>
      <w:r>
        <w:rPr>
          <w:rFonts w:ascii="Times New Roman" w:hAnsi="Times New Roman"/>
          <w:b/>
          <w:color w:val="646464"/>
          <w:sz w:val="15"/>
        </w:rPr>
        <w:t xml:space="preserve">Internal extraction source (remove before submission): </w:t>
      </w:r>
      <w:r>
        <w:rPr>
          <w:rFonts w:ascii="Times New Roman" w:hAnsi="Times New Roman"/>
          <w:color w:val="646464"/>
          <w:sz w:val="15"/>
        </w:rPr>
        <w:t>outputs/tables/step13c_survival_robustness_coefficients.csv; step15a_fta_only_depth_coefficients.csv; step15c_country_gpr_coefficients.csv</w:t>
      </w:r>
    </w:p>
    <w:p>
      <w:pPr>
        <w:sectPr>
          <w:pgSz w:w="16834" w:h="11909" w:orient="landscape"/>
          <w:pgMar w:top="648" w:right="648" w:bottom="648" w:left="648" w:header="720" w:footer="720" w:gutter="0"/>
          <w:cols w:space="720"/>
          <w:docGrid w:linePitch="360"/>
        </w:sectPr>
      </w:pPr>
    </w:p>
    <w:p>
      <w:pPr>
        <w:jc w:val="center"/>
      </w:pPr>
      <w:r>
        <w:rPr>
          <w:rFonts w:ascii="Times New Roman" w:hAnsi="Times New Roman"/>
          <w:b/>
          <w:sz w:val="28"/>
        </w:rPr>
        <w:t>APPENDIX TABLES</w:t>
      </w:r>
    </w:p>
    <w:p>
      <w:pPr>
        <w:sectPr>
          <w:pgSz w:w="11909" w:h="16834"/>
          <w:pgMar w:top="792" w:right="936" w:bottom="792" w:left="936" w:header="720" w:footer="720" w:gutter="0"/>
          <w:cols w:space="720"/>
          <w:docGrid w:linePitch="360"/>
        </w:sectPr>
      </w:pPr>
    </w:p>
    <w:p>
      <w:pPr>
        <w:spacing w:before="40" w:after="100"/>
        <w:jc w:val="left"/>
      </w:pPr>
      <w:r>
        <w:rPr>
          <w:rFonts w:ascii="Times New Roman" w:hAnsi="Times New Roman" w:eastAsia="Times New Roman"/>
          <w:b/>
          <w:sz w:val="20"/>
        </w:rPr>
        <w:t>Appendix Table A1. DTA Provision Bundles Conditional on FTA Membership</w:t>
      </w:r>
    </w:p>
    <w:tbl>
      <w:tblPr>
        <w:tblStyle w:val="TableGrid"/>
        <w:tblW w:type="auto" w:w="0"/>
        <w:jc w:val="center"/>
        <w:tblLayout w:type="fixed"/>
        <w:tblLook w:firstColumn="1" w:firstRow="1" w:lastColumn="0" w:lastRow="0" w:noHBand="0" w:noVBand="1" w:val="04A0"/>
      </w:tblPr>
      <w:tblGrid>
        <w:gridCol w:w="2590"/>
        <w:gridCol w:w="2590"/>
        <w:gridCol w:w="2590"/>
        <w:gridCol w:w="2590"/>
        <w:gridCol w:w="2590"/>
        <w:gridCol w:w="2590"/>
      </w:tblGrid>
      <w:tr>
        <w:trPr>
          <w:tblHeader w:val="true"/>
        </w:trPr>
        <w:tc>
          <w:tcPr>
            <w:tcW w:type="dxa" w:w="3888"/>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6"/>
              </w:rPr>
              <w:t>Provision bundle</w:t>
            </w:r>
          </w:p>
        </w:tc>
        <w:tc>
          <w:tcPr>
            <w:tcW w:type="dxa" w:w="2232"/>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6"/>
              </w:rPr>
              <w:t>Coefficient (SE)</w:t>
            </w:r>
          </w:p>
        </w:tc>
        <w:tc>
          <w:tcPr>
            <w:tcW w:type="dxa" w:w="1728"/>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6"/>
              </w:rPr>
              <w:t>Exact effect</w:t>
            </w:r>
          </w:p>
        </w:tc>
        <w:tc>
          <w:tcPr>
            <w:tcW w:type="dxa" w:w="1440"/>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6"/>
              </w:rPr>
              <w:t>Raw p</w:t>
            </w:r>
          </w:p>
        </w:tc>
        <w:tc>
          <w:tcPr>
            <w:tcW w:type="dxa" w:w="1512"/>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6"/>
              </w:rPr>
              <w:t>BH-FDR p</w:t>
            </w:r>
          </w:p>
        </w:tc>
        <w:tc>
          <w:tcPr>
            <w:tcW w:type="dxa" w:w="1584"/>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6"/>
              </w:rPr>
              <w:t>Observations</w:t>
            </w:r>
          </w:p>
        </w:tc>
      </w:tr>
      <w:tr>
        <w:trPr>
          <w:cantSplit/>
        </w:trPr>
        <w:tc>
          <w:tcPr>
            <w:tcW w:type="dxa" w:w="3888"/>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6"/>
              </w:rPr>
              <w:t>Border coordination</w:t>
            </w:r>
          </w:p>
        </w:tc>
        <w:tc>
          <w:tcPr>
            <w:tcW w:type="dxa" w:w="223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0.0178</w:t>
            </w:r>
            <w:r>
              <w:br/>
            </w:r>
            <w:r>
              <w:rPr>
                <w:rFonts w:ascii="Times New Roman" w:hAnsi="Times New Roman" w:eastAsia="Times New Roman"/>
                <w:b w:val="0"/>
                <w:i w:val="0"/>
                <w:sz w:val="16"/>
              </w:rPr>
              <w:t>(0.0213)</w:t>
            </w:r>
          </w:p>
        </w:tc>
        <w:tc>
          <w:tcPr>
            <w:tcW w:type="dxa" w:w="1728"/>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+1.80%</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0.4035</w:t>
            </w:r>
          </w:p>
        </w:tc>
        <w:tc>
          <w:tcPr>
            <w:tcW w:type="dxa" w:w="151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0.6726</w:t>
            </w:r>
          </w:p>
        </w:tc>
        <w:tc>
          <w:tcPr>
            <w:tcW w:type="dxa" w:w="1584"/>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16,752,356</w:t>
            </w:r>
          </w:p>
        </w:tc>
      </w:tr>
      <w:tr>
        <w:trPr>
          <w:cantSplit/>
        </w:trPr>
        <w:tc>
          <w:tcPr>
            <w:tcW w:type="dxa" w:w="3888"/>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6"/>
              </w:rPr>
              <w:t>Investment and production</w:t>
            </w:r>
          </w:p>
        </w:tc>
        <w:tc>
          <w:tcPr>
            <w:tcW w:type="dxa" w:w="223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0.0072</w:t>
            </w:r>
            <w:r>
              <w:br/>
            </w:r>
            <w:r>
              <w:rPr>
                <w:rFonts w:ascii="Times New Roman" w:hAnsi="Times New Roman" w:eastAsia="Times New Roman"/>
                <w:b w:val="0"/>
                <w:i w:val="0"/>
                <w:sz w:val="16"/>
              </w:rPr>
              <w:t>(0.0180)</w:t>
            </w:r>
          </w:p>
        </w:tc>
        <w:tc>
          <w:tcPr>
            <w:tcW w:type="dxa" w:w="1728"/>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+0.72%</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0.6905</w:t>
            </w:r>
          </w:p>
        </w:tc>
        <w:tc>
          <w:tcPr>
            <w:tcW w:type="dxa" w:w="151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0.7533</w:t>
            </w:r>
          </w:p>
        </w:tc>
        <w:tc>
          <w:tcPr>
            <w:tcW w:type="dxa" w:w="1584"/>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16,752,356</w:t>
            </w:r>
          </w:p>
        </w:tc>
      </w:tr>
      <w:tr>
        <w:trPr>
          <w:cantSplit/>
        </w:trPr>
        <w:tc>
          <w:tcPr>
            <w:tcW w:type="dxa" w:w="3888"/>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6"/>
              </w:rPr>
              <w:t>Digital and knowledge</w:t>
            </w:r>
          </w:p>
        </w:tc>
        <w:tc>
          <w:tcPr>
            <w:tcW w:type="dxa" w:w="223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0.0453</w:t>
            </w:r>
            <w:r>
              <w:br/>
            </w:r>
            <w:r>
              <w:rPr>
                <w:rFonts w:ascii="Times New Roman" w:hAnsi="Times New Roman" w:eastAsia="Times New Roman"/>
                <w:b w:val="0"/>
                <w:i w:val="0"/>
                <w:sz w:val="16"/>
              </w:rPr>
              <w:t>(0.0338)</w:t>
            </w:r>
          </w:p>
        </w:tc>
        <w:tc>
          <w:tcPr>
            <w:tcW w:type="dxa" w:w="1728"/>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+4.63%</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0.1802</w:t>
            </w:r>
          </w:p>
        </w:tc>
        <w:tc>
          <w:tcPr>
            <w:tcW w:type="dxa" w:w="151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0.4505</w:t>
            </w:r>
          </w:p>
        </w:tc>
        <w:tc>
          <w:tcPr>
            <w:tcW w:type="dxa" w:w="1584"/>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16,752,356</w:t>
            </w:r>
          </w:p>
        </w:tc>
      </w:tr>
      <w:tr>
        <w:trPr>
          <w:cantSplit/>
        </w:trPr>
        <w:tc>
          <w:tcPr>
            <w:tcW w:type="dxa" w:w="3888"/>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6"/>
              </w:rPr>
              <w:t>Services and procurement</w:t>
            </w:r>
          </w:p>
        </w:tc>
        <w:tc>
          <w:tcPr>
            <w:tcW w:type="dxa" w:w="223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0.0059</w:t>
            </w:r>
            <w:r>
              <w:br/>
            </w:r>
            <w:r>
              <w:rPr>
                <w:rFonts w:ascii="Times New Roman" w:hAnsi="Times New Roman" w:eastAsia="Times New Roman"/>
                <w:b w:val="0"/>
                <w:i w:val="0"/>
                <w:sz w:val="16"/>
              </w:rPr>
              <w:t>(0.0188)</w:t>
            </w:r>
          </w:p>
        </w:tc>
        <w:tc>
          <w:tcPr>
            <w:tcW w:type="dxa" w:w="1728"/>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+0.59%</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0.7533</w:t>
            </w:r>
          </w:p>
        </w:tc>
        <w:tc>
          <w:tcPr>
            <w:tcW w:type="dxa" w:w="151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0.7533</w:t>
            </w:r>
          </w:p>
        </w:tc>
        <w:tc>
          <w:tcPr>
            <w:tcW w:type="dxa" w:w="1584"/>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16,752,356</w:t>
            </w:r>
          </w:p>
        </w:tc>
      </w:tr>
      <w:tr>
        <w:trPr>
          <w:cantSplit/>
        </w:trPr>
        <w:tc>
          <w:tcPr>
            <w:tcW w:type="dxa" w:w="3888"/>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6"/>
              </w:rPr>
              <w:t>Environmental provisions</w:t>
            </w:r>
          </w:p>
        </w:tc>
        <w:tc>
          <w:tcPr>
            <w:tcW w:type="dxa" w:w="223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0.0384</w:t>
            </w:r>
            <w:r>
              <w:br/>
            </w:r>
            <w:r>
              <w:rPr>
                <w:rFonts w:ascii="Times New Roman" w:hAnsi="Times New Roman" w:eastAsia="Times New Roman"/>
                <w:b w:val="0"/>
                <w:i w:val="0"/>
                <w:sz w:val="16"/>
              </w:rPr>
              <w:t>(0.0195)</w:t>
            </w:r>
          </w:p>
        </w:tc>
        <w:tc>
          <w:tcPr>
            <w:tcW w:type="dxa" w:w="1728"/>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+3.91%</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0.0489</w:t>
            </w:r>
          </w:p>
        </w:tc>
        <w:tc>
          <w:tcPr>
            <w:tcW w:type="dxa" w:w="151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0.2444</w:t>
            </w:r>
          </w:p>
        </w:tc>
        <w:tc>
          <w:tcPr>
            <w:tcW w:type="dxa" w:w="1584"/>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16,752,356</w:t>
            </w:r>
          </w:p>
        </w:tc>
      </w:tr>
    </w:tbl>
    <w:p>
      <w:pPr>
        <w:spacing w:before="80" w:after="20" w:line="240" w:lineRule="auto"/>
      </w:pPr>
      <w:r>
        <w:rPr>
          <w:rFonts w:ascii="Times New Roman" w:hAnsi="Times New Roman"/>
          <w:b/>
          <w:sz w:val="16"/>
        </w:rPr>
        <w:t xml:space="preserve">Notes: </w:t>
      </w:r>
      <w:r>
        <w:rPr>
          <w:rFonts w:ascii="Times New Roman" w:hAnsi="Times New Roman"/>
          <w:sz w:val="16"/>
        </w:rPr>
        <w:t>Each bundle share ranges from zero to one. The exact effect corresponds to moving from no provision in the bundle to full bundle coverage. Models include FTA membership and the GPR × FTA interaction. No bundle survives BH-FDR adjustment at the 10% level.</w:t>
      </w:r>
    </w:p>
    <w:p>
      <w:pPr>
        <w:spacing w:before="0" w:after="160"/>
      </w:pPr>
      <w:r>
        <w:rPr>
          <w:rFonts w:ascii="Times New Roman" w:hAnsi="Times New Roman"/>
          <w:b/>
          <w:color w:val="646464"/>
          <w:sz w:val="15"/>
        </w:rPr>
        <w:t xml:space="preserve">Internal extraction source (remove before submission): </w:t>
      </w:r>
      <w:r>
        <w:rPr>
          <w:rFonts w:ascii="Times New Roman" w:hAnsi="Times New Roman"/>
          <w:color w:val="646464"/>
          <w:sz w:val="15"/>
        </w:rPr>
        <w:t>outputs/tables/step12b_mechanism_bundle_coefficients.csv</w:t>
      </w:r>
    </w:p>
    <w:p>
      <w:pPr>
        <w:sectPr>
          <w:pgSz w:w="16834" w:h="11909" w:orient="landscape"/>
          <w:pgMar w:top="648" w:right="648" w:bottom="648" w:left="648" w:header="720" w:footer="720" w:gutter="0"/>
          <w:cols w:space="720"/>
          <w:docGrid w:linePitch="360"/>
        </w:sectPr>
      </w:pPr>
    </w:p>
    <w:p>
      <w:pPr>
        <w:spacing w:before="40" w:after="100"/>
        <w:jc w:val="left"/>
      </w:pPr>
      <w:r>
        <w:rPr>
          <w:rFonts w:ascii="Times New Roman" w:hAnsi="Times New Roman" w:eastAsia="Times New Roman"/>
          <w:b/>
          <w:sz w:val="20"/>
        </w:rPr>
        <w:t>Appendix Table A2. Individual Legally Enforceable DTA Provisions</w:t>
      </w:r>
    </w:p>
    <w:tbl>
      <w:tblPr>
        <w:tblStyle w:val="TableGrid"/>
        <w:tblW w:type="auto" w:w="0"/>
        <w:jc w:val="center"/>
        <w:tblLayout w:type="fixed"/>
        <w:tblLook w:firstColumn="1" w:firstRow="1" w:lastColumn="0" w:lastRow="0" w:noHBand="0" w:noVBand="1" w:val="04A0"/>
      </w:tblPr>
      <w:tblGrid>
        <w:gridCol w:w="1769"/>
        <w:gridCol w:w="1769"/>
        <w:gridCol w:w="1769"/>
        <w:gridCol w:w="1769"/>
        <w:gridCol w:w="1769"/>
        <w:gridCol w:w="1769"/>
      </w:tblGrid>
      <w:tr>
        <w:trPr>
          <w:tblHeader w:val="true"/>
        </w:trPr>
        <w:tc>
          <w:tcPr>
            <w:tcW w:type="dxa" w:w="4320"/>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5"/>
              </w:rPr>
              <w:t>Provision</w:t>
            </w:r>
          </w:p>
        </w:tc>
        <w:tc>
          <w:tcPr>
            <w:tcW w:type="dxa" w:w="2088"/>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5"/>
              </w:rPr>
              <w:t>Coefficient (SE)</w:t>
            </w:r>
          </w:p>
        </w:tc>
        <w:tc>
          <w:tcPr>
            <w:tcW w:type="dxa" w:w="1656"/>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5"/>
              </w:rPr>
              <w:t>Exact effect</w:t>
            </w:r>
          </w:p>
        </w:tc>
        <w:tc>
          <w:tcPr>
            <w:tcW w:type="dxa" w:w="1296"/>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5"/>
              </w:rPr>
              <w:t>Raw p</w:t>
            </w:r>
          </w:p>
        </w:tc>
        <w:tc>
          <w:tcPr>
            <w:tcW w:type="dxa" w:w="1440"/>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5"/>
              </w:rPr>
              <w:t>BH-FDR p</w:t>
            </w:r>
          </w:p>
        </w:tc>
        <w:tc>
          <w:tcPr>
            <w:tcW w:type="dxa" w:w="1512"/>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5"/>
              </w:rPr>
              <w:t>Observations</w:t>
            </w:r>
          </w:p>
        </w:tc>
      </w:tr>
      <w:tr>
        <w:trPr>
          <w:cantSplit/>
        </w:trPr>
        <w:tc>
          <w:tcPr>
            <w:tcW w:type="dxa" w:w="4320"/>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5"/>
              </w:rPr>
              <w:t>Customs</w:t>
            </w:r>
          </w:p>
        </w:tc>
        <w:tc>
          <w:tcPr>
            <w:tcW w:type="dxa" w:w="2088"/>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-0.0024</w:t>
            </w:r>
            <w:r>
              <w:br/>
            </w:r>
            <w:r>
              <w:rPr>
                <w:rFonts w:ascii="Times New Roman" w:hAnsi="Times New Roman" w:eastAsia="Times New Roman"/>
                <w:b w:val="0"/>
                <w:i w:val="0"/>
                <w:sz w:val="15"/>
              </w:rPr>
              <w:t>(0.0154)</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-0.24%</w:t>
            </w:r>
          </w:p>
        </w:tc>
        <w:tc>
          <w:tcPr>
            <w:tcW w:type="dxa" w:w="12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0.8773</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0.9448</w:t>
            </w:r>
          </w:p>
        </w:tc>
        <w:tc>
          <w:tcPr>
            <w:tcW w:type="dxa" w:w="151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16,752,356</w:t>
            </w:r>
          </w:p>
        </w:tc>
      </w:tr>
      <w:tr>
        <w:trPr>
          <w:cantSplit/>
        </w:trPr>
        <w:tc>
          <w:tcPr>
            <w:tcW w:type="dxa" w:w="4320"/>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5"/>
              </w:rPr>
              <w:t>Sanitary and phytosanitary measures</w:t>
            </w:r>
          </w:p>
        </w:tc>
        <w:tc>
          <w:tcPr>
            <w:tcW w:type="dxa" w:w="2088"/>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0.0150</w:t>
            </w:r>
            <w:r>
              <w:br/>
            </w:r>
            <w:r>
              <w:rPr>
                <w:rFonts w:ascii="Times New Roman" w:hAnsi="Times New Roman" w:eastAsia="Times New Roman"/>
                <w:b w:val="0"/>
                <w:i w:val="0"/>
                <w:sz w:val="15"/>
              </w:rPr>
              <w:t>(0.0162)</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+1.51%</w:t>
            </w:r>
          </w:p>
        </w:tc>
        <w:tc>
          <w:tcPr>
            <w:tcW w:type="dxa" w:w="12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0.3551</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0.4972</w:t>
            </w:r>
          </w:p>
        </w:tc>
        <w:tc>
          <w:tcPr>
            <w:tcW w:type="dxa" w:w="151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16,752,356</w:t>
            </w:r>
          </w:p>
        </w:tc>
      </w:tr>
      <w:tr>
        <w:trPr>
          <w:cantSplit/>
        </w:trPr>
        <w:tc>
          <w:tcPr>
            <w:tcW w:type="dxa" w:w="4320"/>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5"/>
              </w:rPr>
              <w:t>Technical barriers to trade</w:t>
            </w:r>
          </w:p>
        </w:tc>
        <w:tc>
          <w:tcPr>
            <w:tcW w:type="dxa" w:w="2088"/>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0.0205</w:t>
            </w:r>
            <w:r>
              <w:br/>
            </w:r>
            <w:r>
              <w:rPr>
                <w:rFonts w:ascii="Times New Roman" w:hAnsi="Times New Roman" w:eastAsia="Times New Roman"/>
                <w:b w:val="0"/>
                <w:i w:val="0"/>
                <w:sz w:val="15"/>
              </w:rPr>
              <w:t>(0.0173)</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+2.07%</w:t>
            </w:r>
          </w:p>
        </w:tc>
        <w:tc>
          <w:tcPr>
            <w:tcW w:type="dxa" w:w="12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0.2345</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0.4116</w:t>
            </w:r>
          </w:p>
        </w:tc>
        <w:tc>
          <w:tcPr>
            <w:tcW w:type="dxa" w:w="151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16,752,356</w:t>
            </w:r>
          </w:p>
        </w:tc>
      </w:tr>
      <w:tr>
        <w:trPr>
          <w:cantSplit/>
        </w:trPr>
        <w:tc>
          <w:tcPr>
            <w:tcW w:type="dxa" w:w="4320"/>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5"/>
              </w:rPr>
              <w:t>Public procurement</w:t>
            </w:r>
          </w:p>
        </w:tc>
        <w:tc>
          <w:tcPr>
            <w:tcW w:type="dxa" w:w="2088"/>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0.0330</w:t>
            </w:r>
            <w:r>
              <w:br/>
            </w:r>
            <w:r>
              <w:rPr>
                <w:rFonts w:ascii="Times New Roman" w:hAnsi="Times New Roman" w:eastAsia="Times New Roman"/>
                <w:b w:val="0"/>
                <w:i w:val="0"/>
                <w:sz w:val="15"/>
              </w:rPr>
              <w:t>(0.0208)</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+3.36%</w:t>
            </w:r>
          </w:p>
        </w:tc>
        <w:tc>
          <w:tcPr>
            <w:tcW w:type="dxa" w:w="12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0.1118</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0.3132</w:t>
            </w:r>
          </w:p>
        </w:tc>
        <w:tc>
          <w:tcPr>
            <w:tcW w:type="dxa" w:w="151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16,752,356</w:t>
            </w:r>
          </w:p>
        </w:tc>
      </w:tr>
      <w:tr>
        <w:trPr>
          <w:cantSplit/>
        </w:trPr>
        <w:tc>
          <w:tcPr>
            <w:tcW w:type="dxa" w:w="4320"/>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5"/>
              </w:rPr>
              <w:t>Trade-related investment measures</w:t>
            </w:r>
          </w:p>
        </w:tc>
        <w:tc>
          <w:tcPr>
            <w:tcW w:type="dxa" w:w="2088"/>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0.0004</w:t>
            </w:r>
            <w:r>
              <w:br/>
            </w:r>
            <w:r>
              <w:rPr>
                <w:rFonts w:ascii="Times New Roman" w:hAnsi="Times New Roman" w:eastAsia="Times New Roman"/>
                <w:b w:val="0"/>
                <w:i w:val="0"/>
                <w:sz w:val="15"/>
              </w:rPr>
              <w:t>(0.0100)</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+0.04%</w:t>
            </w:r>
          </w:p>
        </w:tc>
        <w:tc>
          <w:tcPr>
            <w:tcW w:type="dxa" w:w="12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0.9692</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0.9692</w:t>
            </w:r>
          </w:p>
        </w:tc>
        <w:tc>
          <w:tcPr>
            <w:tcW w:type="dxa" w:w="151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16,752,356</w:t>
            </w:r>
          </w:p>
        </w:tc>
      </w:tr>
      <w:tr>
        <w:trPr>
          <w:cantSplit/>
        </w:trPr>
        <w:tc>
          <w:tcPr>
            <w:tcW w:type="dxa" w:w="4320"/>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5"/>
              </w:rPr>
              <w:t>Trade in services</w:t>
            </w:r>
          </w:p>
        </w:tc>
        <w:tc>
          <w:tcPr>
            <w:tcW w:type="dxa" w:w="2088"/>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-0.0207</w:t>
            </w:r>
            <w:r>
              <w:br/>
            </w:r>
            <w:r>
              <w:rPr>
                <w:rFonts w:ascii="Times New Roman" w:hAnsi="Times New Roman" w:eastAsia="Times New Roman"/>
                <w:b w:val="0"/>
                <w:i w:val="0"/>
                <w:sz w:val="15"/>
              </w:rPr>
              <w:t>(0.0168)</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-2.05%</w:t>
            </w:r>
          </w:p>
        </w:tc>
        <w:tc>
          <w:tcPr>
            <w:tcW w:type="dxa" w:w="12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0.2159</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0.4116</w:t>
            </w:r>
          </w:p>
        </w:tc>
        <w:tc>
          <w:tcPr>
            <w:tcW w:type="dxa" w:w="151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16,752,356</w:t>
            </w:r>
          </w:p>
        </w:tc>
      </w:tr>
      <w:tr>
        <w:trPr>
          <w:cantSplit/>
        </w:trPr>
        <w:tc>
          <w:tcPr>
            <w:tcW w:type="dxa" w:w="4320"/>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5"/>
              </w:rPr>
              <w:t>Trade-related intellectual property</w:t>
            </w:r>
          </w:p>
        </w:tc>
        <w:tc>
          <w:tcPr>
            <w:tcW w:type="dxa" w:w="2088"/>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0.0160</w:t>
            </w:r>
            <w:r>
              <w:br/>
            </w:r>
            <w:r>
              <w:rPr>
                <w:rFonts w:ascii="Times New Roman" w:hAnsi="Times New Roman" w:eastAsia="Times New Roman"/>
                <w:b w:val="0"/>
                <w:i w:val="0"/>
                <w:sz w:val="15"/>
              </w:rPr>
              <w:t>(0.0141)</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+1.61%</w:t>
            </w:r>
          </w:p>
        </w:tc>
        <w:tc>
          <w:tcPr>
            <w:tcW w:type="dxa" w:w="12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0.2553</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0.4116</w:t>
            </w:r>
          </w:p>
        </w:tc>
        <w:tc>
          <w:tcPr>
            <w:tcW w:type="dxa" w:w="151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16,752,356</w:t>
            </w:r>
          </w:p>
        </w:tc>
      </w:tr>
      <w:tr>
        <w:trPr>
          <w:cantSplit/>
        </w:trPr>
        <w:tc>
          <w:tcPr>
            <w:tcW w:type="dxa" w:w="4320"/>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5"/>
              </w:rPr>
              <w:t>Competition policy</w:t>
            </w:r>
          </w:p>
        </w:tc>
        <w:tc>
          <w:tcPr>
            <w:tcW w:type="dxa" w:w="2088"/>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0.0353</w:t>
            </w:r>
            <w:r>
              <w:br/>
            </w:r>
            <w:r>
              <w:rPr>
                <w:rFonts w:ascii="Times New Roman" w:hAnsi="Times New Roman" w:eastAsia="Times New Roman"/>
                <w:b w:val="0"/>
                <w:i w:val="0"/>
                <w:sz w:val="15"/>
              </w:rPr>
              <w:t>(0.0169)</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+3.60%</w:t>
            </w:r>
          </w:p>
        </w:tc>
        <w:tc>
          <w:tcPr>
            <w:tcW w:type="dxa" w:w="12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0.0365</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0.2281</w:t>
            </w:r>
          </w:p>
        </w:tc>
        <w:tc>
          <w:tcPr>
            <w:tcW w:type="dxa" w:w="151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16,752,356</w:t>
            </w:r>
          </w:p>
        </w:tc>
      </w:tr>
      <w:tr>
        <w:trPr>
          <w:cantSplit/>
        </w:trPr>
        <w:tc>
          <w:tcPr>
            <w:tcW w:type="dxa" w:w="4320"/>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5"/>
              </w:rPr>
              <w:t>Environmental laws</w:t>
            </w:r>
          </w:p>
        </w:tc>
        <w:tc>
          <w:tcPr>
            <w:tcW w:type="dxa" w:w="2088"/>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0.0384</w:t>
            </w:r>
            <w:r>
              <w:br/>
            </w:r>
            <w:r>
              <w:rPr>
                <w:rFonts w:ascii="Times New Roman" w:hAnsi="Times New Roman" w:eastAsia="Times New Roman"/>
                <w:b w:val="0"/>
                <w:i w:val="0"/>
                <w:sz w:val="15"/>
              </w:rPr>
              <w:t>(0.0195)</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+3.91%</w:t>
            </w:r>
          </w:p>
        </w:tc>
        <w:tc>
          <w:tcPr>
            <w:tcW w:type="dxa" w:w="12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0.0489</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0.2281</w:t>
            </w:r>
          </w:p>
        </w:tc>
        <w:tc>
          <w:tcPr>
            <w:tcW w:type="dxa" w:w="151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16,752,356</w:t>
            </w:r>
          </w:p>
        </w:tc>
      </w:tr>
      <w:tr>
        <w:trPr>
          <w:cantSplit/>
        </w:trPr>
        <w:tc>
          <w:tcPr>
            <w:tcW w:type="dxa" w:w="4320"/>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5"/>
              </w:rPr>
              <w:t>Intellectual property rights</w:t>
            </w:r>
          </w:p>
        </w:tc>
        <w:tc>
          <w:tcPr>
            <w:tcW w:type="dxa" w:w="2088"/>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0.0160</w:t>
            </w:r>
            <w:r>
              <w:br/>
            </w:r>
            <w:r>
              <w:rPr>
                <w:rFonts w:ascii="Times New Roman" w:hAnsi="Times New Roman" w:eastAsia="Times New Roman"/>
                <w:b w:val="0"/>
                <w:i w:val="0"/>
                <w:sz w:val="15"/>
              </w:rPr>
              <w:t>(0.0188)</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+1.61%</w:t>
            </w:r>
          </w:p>
        </w:tc>
        <w:tc>
          <w:tcPr>
            <w:tcW w:type="dxa" w:w="12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0.3954</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0.5033</w:t>
            </w:r>
          </w:p>
        </w:tc>
        <w:tc>
          <w:tcPr>
            <w:tcW w:type="dxa" w:w="151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16,752,356</w:t>
            </w:r>
          </w:p>
        </w:tc>
      </w:tr>
      <w:tr>
        <w:trPr>
          <w:cantSplit/>
        </w:trPr>
        <w:tc>
          <w:tcPr>
            <w:tcW w:type="dxa" w:w="4320"/>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5"/>
              </w:rPr>
              <w:t>Investment</w:t>
            </w:r>
          </w:p>
        </w:tc>
        <w:tc>
          <w:tcPr>
            <w:tcW w:type="dxa" w:w="2088"/>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-0.0119</w:t>
            </w:r>
            <w:r>
              <w:br/>
            </w:r>
            <w:r>
              <w:rPr>
                <w:rFonts w:ascii="Times New Roman" w:hAnsi="Times New Roman" w:eastAsia="Times New Roman"/>
                <w:b w:val="0"/>
                <w:i w:val="0"/>
                <w:sz w:val="15"/>
              </w:rPr>
              <w:t>(0.0152)</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-1.18%</w:t>
            </w:r>
          </w:p>
        </w:tc>
        <w:tc>
          <w:tcPr>
            <w:tcW w:type="dxa" w:w="12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0.4365</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0.5092</w:t>
            </w:r>
          </w:p>
        </w:tc>
        <w:tc>
          <w:tcPr>
            <w:tcW w:type="dxa" w:w="151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16,752,356</w:t>
            </w:r>
          </w:p>
        </w:tc>
      </w:tr>
      <w:tr>
        <w:trPr>
          <w:cantSplit/>
        </w:trPr>
        <w:tc>
          <w:tcPr>
            <w:tcW w:type="dxa" w:w="4320"/>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5"/>
              </w:rPr>
              <w:t>Data protection</w:t>
            </w:r>
          </w:p>
        </w:tc>
        <w:tc>
          <w:tcPr>
            <w:tcW w:type="dxa" w:w="2088"/>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0.0146</w:t>
            </w:r>
            <w:r>
              <w:br/>
            </w:r>
            <w:r>
              <w:rPr>
                <w:rFonts w:ascii="Times New Roman" w:hAnsi="Times New Roman" w:eastAsia="Times New Roman"/>
                <w:b w:val="0"/>
                <w:i w:val="0"/>
                <w:sz w:val="15"/>
              </w:rPr>
              <w:t>(0.0131)</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+1.47%</w:t>
            </w:r>
          </w:p>
        </w:tc>
        <w:tc>
          <w:tcPr>
            <w:tcW w:type="dxa" w:w="12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0.2646</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0.4116</w:t>
            </w:r>
          </w:p>
        </w:tc>
        <w:tc>
          <w:tcPr>
            <w:tcW w:type="dxa" w:w="151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16,752,356</w:t>
            </w:r>
          </w:p>
        </w:tc>
      </w:tr>
      <w:tr>
        <w:trPr>
          <w:cantSplit/>
        </w:trPr>
        <w:tc>
          <w:tcPr>
            <w:tcW w:type="dxa" w:w="4320"/>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5"/>
              </w:rPr>
              <w:t>Research and technology</w:t>
            </w:r>
          </w:p>
        </w:tc>
        <w:tc>
          <w:tcPr>
            <w:tcW w:type="dxa" w:w="2088"/>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0.0343</w:t>
            </w:r>
            <w:r>
              <w:br/>
            </w:r>
            <w:r>
              <w:rPr>
                <w:rFonts w:ascii="Times New Roman" w:hAnsi="Times New Roman" w:eastAsia="Times New Roman"/>
                <w:b w:val="0"/>
                <w:i w:val="0"/>
                <w:sz w:val="15"/>
              </w:rPr>
              <w:t>(0.0168)</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+3.49%</w:t>
            </w:r>
          </w:p>
        </w:tc>
        <w:tc>
          <w:tcPr>
            <w:tcW w:type="dxa" w:w="12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0.0414</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0.2281</w:t>
            </w:r>
          </w:p>
        </w:tc>
        <w:tc>
          <w:tcPr>
            <w:tcW w:type="dxa" w:w="151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16,752,356</w:t>
            </w:r>
          </w:p>
        </w:tc>
      </w:tr>
      <w:tr>
        <w:trPr>
          <w:cantSplit/>
        </w:trPr>
        <w:tc>
          <w:tcPr>
            <w:tcW w:type="dxa" w:w="4320"/>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5"/>
              </w:rPr>
              <w:t>Movement of capital</w:t>
            </w:r>
          </w:p>
        </w:tc>
        <w:tc>
          <w:tcPr>
            <w:tcW w:type="dxa" w:w="2088"/>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0.0215</w:t>
            </w:r>
            <w:r>
              <w:br/>
            </w:r>
            <w:r>
              <w:rPr>
                <w:rFonts w:ascii="Times New Roman" w:hAnsi="Times New Roman" w:eastAsia="Times New Roman"/>
                <w:b w:val="0"/>
                <w:i w:val="0"/>
                <w:sz w:val="15"/>
              </w:rPr>
              <w:t>(0.0123)</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+2.17%</w:t>
            </w:r>
          </w:p>
        </w:tc>
        <w:tc>
          <w:tcPr>
            <w:tcW w:type="dxa" w:w="12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0.0808</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0.2827</w:t>
            </w:r>
          </w:p>
        </w:tc>
        <w:tc>
          <w:tcPr>
            <w:tcW w:type="dxa" w:w="151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5"/>
              </w:rPr>
              <w:t>16,752,356</w:t>
            </w:r>
          </w:p>
        </w:tc>
      </w:tr>
    </w:tbl>
    <w:p>
      <w:pPr>
        <w:spacing w:before="80" w:after="20" w:line="240" w:lineRule="auto"/>
      </w:pPr>
      <w:r>
        <w:rPr>
          <w:rFonts w:ascii="Times New Roman" w:hAnsi="Times New Roman"/>
          <w:b/>
          <w:sz w:val="16"/>
        </w:rPr>
        <w:t xml:space="preserve">Notes: </w:t>
      </w:r>
      <w:r>
        <w:rPr>
          <w:rFonts w:ascii="Times New Roman" w:hAnsi="Times New Roman"/>
          <w:sz w:val="16"/>
        </w:rPr>
        <w:t>Each provision is tested separately in a model conditional on FTA membership and GPR × FTA. Standard errors are clustered by unordered pair and year. Information Society and Innovation Policies are excluded because they do not meet the pre-specified bilateral-support threshold. None of the 14 tested provisions survives BH-FDR adjustment at the 10% level.</w:t>
      </w:r>
    </w:p>
    <w:p>
      <w:pPr>
        <w:spacing w:before="0" w:after="160"/>
      </w:pPr>
      <w:r>
        <w:rPr>
          <w:rFonts w:ascii="Times New Roman" w:hAnsi="Times New Roman"/>
          <w:b/>
          <w:color w:val="646464"/>
          <w:sz w:val="15"/>
        </w:rPr>
        <w:t xml:space="preserve">Internal extraction source (remove before submission): </w:t>
      </w:r>
      <w:r>
        <w:rPr>
          <w:rFonts w:ascii="Times New Roman" w:hAnsi="Times New Roman"/>
          <w:color w:val="646464"/>
          <w:sz w:val="15"/>
        </w:rPr>
        <w:t>outputs/tables/step12c_individual_provision_coefficients.csv</w:t>
      </w:r>
    </w:p>
    <w:p>
      <w:pPr>
        <w:sectPr>
          <w:pgSz w:w="11909" w:h="16834" w:orient="landscape"/>
          <w:pgMar w:top="648" w:right="648" w:bottom="648" w:left="648" w:header="720" w:footer="720" w:gutter="0"/>
          <w:cols w:space="720"/>
          <w:docGrid w:linePitch="360"/>
        </w:sectPr>
      </w:pPr>
    </w:p>
    <w:p>
      <w:pPr>
        <w:spacing w:before="40" w:after="100"/>
        <w:jc w:val="left"/>
      </w:pPr>
      <w:r>
        <w:rPr>
          <w:rFonts w:ascii="Times New Roman" w:hAnsi="Times New Roman" w:eastAsia="Times New Roman"/>
          <w:b/>
          <w:sz w:val="20"/>
        </w:rPr>
        <w:t>Appendix Table A3. Post-Exit Re-entry and Full-Recovery Outcomes</w:t>
      </w:r>
    </w:p>
    <w:tbl>
      <w:tblPr>
        <w:tblStyle w:val="TableGrid"/>
        <w:tblW w:type="auto" w:w="0"/>
        <w:jc w:val="center"/>
        <w:tblLayout w:type="fixed"/>
        <w:tblLook w:firstColumn="1" w:firstRow="1" w:lastColumn="0" w:lastRow="0" w:noHBand="0" w:noVBand="1" w:val="04A0"/>
      </w:tblPr>
      <w:tblGrid>
        <w:gridCol w:w="2590"/>
        <w:gridCol w:w="2590"/>
        <w:gridCol w:w="2590"/>
        <w:gridCol w:w="2590"/>
        <w:gridCol w:w="2590"/>
        <w:gridCol w:w="2590"/>
      </w:tblGrid>
      <w:tr>
        <w:trPr>
          <w:tblHeader w:val="true"/>
        </w:trPr>
        <w:tc>
          <w:tcPr>
            <w:tcW w:type="dxa" w:w="3168"/>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6"/>
              </w:rPr>
              <w:t>Outcome</w:t>
            </w:r>
          </w:p>
        </w:tc>
        <w:tc>
          <w:tcPr>
            <w:tcW w:type="dxa" w:w="2592"/>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6"/>
              </w:rPr>
              <w:t>Fixed-effect specification</w:t>
            </w:r>
          </w:p>
        </w:tc>
        <w:tc>
          <w:tcPr>
            <w:tcW w:type="dxa" w:w="2880"/>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6"/>
              </w:rPr>
              <w:t>GPR × DTA depth</w:t>
            </w:r>
            <w:r>
              <w:br/>
            </w:r>
            <w:r>
              <w:rPr>
                <w:rFonts w:ascii="Times New Roman" w:hAnsi="Times New Roman" w:eastAsia="Times New Roman"/>
                <w:b/>
                <w:i w:val="0"/>
                <w:sz w:val="16"/>
              </w:rPr>
              <w:t>Coefficient (SE)</w:t>
            </w:r>
          </w:p>
        </w:tc>
        <w:tc>
          <w:tcPr>
            <w:tcW w:type="dxa" w:w="1440"/>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6"/>
              </w:rPr>
              <w:t>Effect (pp)</w:t>
            </w:r>
          </w:p>
        </w:tc>
        <w:tc>
          <w:tcPr>
            <w:tcW w:type="dxa" w:w="1440"/>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6"/>
              </w:rPr>
              <w:t>p-value</w:t>
            </w:r>
          </w:p>
        </w:tc>
        <w:tc>
          <w:tcPr>
            <w:tcW w:type="dxa" w:w="1656"/>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6"/>
              </w:rPr>
              <w:t>Observations</w:t>
            </w:r>
          </w:p>
        </w:tc>
      </w:tr>
      <w:tr>
        <w:trPr>
          <w:cantSplit/>
        </w:trPr>
        <w:tc>
          <w:tcPr>
            <w:tcW w:type="dxa" w:w="3168"/>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6"/>
              </w:rPr>
              <w:t>Re-entry within one year</w:t>
            </w:r>
          </w:p>
        </w:tc>
        <w:tc>
          <w:tcPr>
            <w:tcW w:type="dxa" w:w="259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Directed-pair FE</w:t>
            </w:r>
          </w:p>
        </w:tc>
        <w:tc>
          <w:tcPr>
            <w:tcW w:type="dxa" w:w="288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-0.0035**</w:t>
            </w:r>
            <w:r>
              <w:br/>
            </w:r>
            <w:r>
              <w:rPr>
                <w:rFonts w:ascii="Times New Roman" w:hAnsi="Times New Roman" w:eastAsia="Times New Roman"/>
                <w:b w:val="0"/>
                <w:i w:val="0"/>
                <w:sz w:val="16"/>
              </w:rPr>
              <w:t>(0.0016)</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-0.354</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0.0438</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1,151,310</w:t>
            </w:r>
          </w:p>
        </w:tc>
      </w:tr>
      <w:tr>
        <w:trPr>
          <w:cantSplit/>
        </w:trPr>
        <w:tc>
          <w:tcPr>
            <w:tcW w:type="dxa" w:w="3168"/>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6"/>
              </w:rPr>
              <w:t>Re-entry within one year</w:t>
            </w:r>
          </w:p>
        </w:tc>
        <w:tc>
          <w:tcPr>
            <w:tcW w:type="dxa" w:w="259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Pair–HS2 FE</w:t>
            </w:r>
          </w:p>
        </w:tc>
        <w:tc>
          <w:tcPr>
            <w:tcW w:type="dxa" w:w="288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-0.0001</w:t>
            </w:r>
            <w:r>
              <w:br/>
            </w:r>
            <w:r>
              <w:rPr>
                <w:rFonts w:ascii="Times New Roman" w:hAnsi="Times New Roman" w:eastAsia="Times New Roman"/>
                <w:b w:val="0"/>
                <w:i w:val="0"/>
                <w:sz w:val="16"/>
              </w:rPr>
              <w:t>(0.0021)</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-0.013</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0.9513</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839,585</w:t>
            </w:r>
          </w:p>
        </w:tc>
      </w:tr>
      <w:tr>
        <w:trPr>
          <w:cantSplit/>
        </w:trPr>
        <w:tc>
          <w:tcPr>
            <w:tcW w:type="dxa" w:w="3168"/>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6"/>
              </w:rPr>
              <w:t>Re-entry within two years</w:t>
            </w:r>
          </w:p>
        </w:tc>
        <w:tc>
          <w:tcPr>
            <w:tcW w:type="dxa" w:w="259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Directed-pair FE</w:t>
            </w:r>
          </w:p>
        </w:tc>
        <w:tc>
          <w:tcPr>
            <w:tcW w:type="dxa" w:w="288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0.0001</w:t>
            </w:r>
            <w:r>
              <w:br/>
            </w:r>
            <w:r>
              <w:rPr>
                <w:rFonts w:ascii="Times New Roman" w:hAnsi="Times New Roman" w:eastAsia="Times New Roman"/>
                <w:b w:val="0"/>
                <w:i w:val="0"/>
                <w:sz w:val="16"/>
              </w:rPr>
              <w:t>(0.0035)</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+0.010</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0.9783</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1,064,542</w:t>
            </w:r>
          </w:p>
        </w:tc>
      </w:tr>
      <w:tr>
        <w:trPr>
          <w:cantSplit/>
        </w:trPr>
        <w:tc>
          <w:tcPr>
            <w:tcW w:type="dxa" w:w="3168"/>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6"/>
              </w:rPr>
              <w:t>Re-entry within two years</w:t>
            </w:r>
          </w:p>
        </w:tc>
        <w:tc>
          <w:tcPr>
            <w:tcW w:type="dxa" w:w="259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Pair–HS2 FE</w:t>
            </w:r>
          </w:p>
        </w:tc>
        <w:tc>
          <w:tcPr>
            <w:tcW w:type="dxa" w:w="288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0.0013</w:t>
            </w:r>
            <w:r>
              <w:br/>
            </w:r>
            <w:r>
              <w:rPr>
                <w:rFonts w:ascii="Times New Roman" w:hAnsi="Times New Roman" w:eastAsia="Times New Roman"/>
                <w:b w:val="0"/>
                <w:i w:val="0"/>
                <w:sz w:val="16"/>
              </w:rPr>
              <w:t>(0.0056)</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+0.126</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0.8262</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752,846</w:t>
            </w:r>
          </w:p>
        </w:tc>
      </w:tr>
      <w:tr>
        <w:trPr>
          <w:cantSplit/>
        </w:trPr>
        <w:tc>
          <w:tcPr>
            <w:tcW w:type="dxa" w:w="3168"/>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6"/>
              </w:rPr>
              <w:t>Full recovery within one year</w:t>
            </w:r>
          </w:p>
        </w:tc>
        <w:tc>
          <w:tcPr>
            <w:tcW w:type="dxa" w:w="259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Directed-pair FE</w:t>
            </w:r>
          </w:p>
        </w:tc>
        <w:tc>
          <w:tcPr>
            <w:tcW w:type="dxa" w:w="288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-0.0009</w:t>
            </w:r>
            <w:r>
              <w:br/>
            </w:r>
            <w:r>
              <w:rPr>
                <w:rFonts w:ascii="Times New Roman" w:hAnsi="Times New Roman" w:eastAsia="Times New Roman"/>
                <w:b w:val="0"/>
                <w:i w:val="0"/>
                <w:sz w:val="16"/>
              </w:rPr>
              <w:t>(0.0011)</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-0.087</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0.4350</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1,151,310</w:t>
            </w:r>
          </w:p>
        </w:tc>
      </w:tr>
      <w:tr>
        <w:trPr>
          <w:cantSplit/>
        </w:trPr>
        <w:tc>
          <w:tcPr>
            <w:tcW w:type="dxa" w:w="3168"/>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6"/>
              </w:rPr>
              <w:t>Full recovery within one year</w:t>
            </w:r>
          </w:p>
        </w:tc>
        <w:tc>
          <w:tcPr>
            <w:tcW w:type="dxa" w:w="259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Pair–HS2 FE</w:t>
            </w:r>
          </w:p>
        </w:tc>
        <w:tc>
          <w:tcPr>
            <w:tcW w:type="dxa" w:w="288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0.0005</w:t>
            </w:r>
            <w:r>
              <w:br/>
            </w:r>
            <w:r>
              <w:rPr>
                <w:rFonts w:ascii="Times New Roman" w:hAnsi="Times New Roman" w:eastAsia="Times New Roman"/>
                <w:b w:val="0"/>
                <w:i w:val="0"/>
                <w:sz w:val="16"/>
              </w:rPr>
              <w:t>(0.0016)</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+0.048</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0.7767</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839,585</w:t>
            </w:r>
          </w:p>
        </w:tc>
      </w:tr>
      <w:tr>
        <w:trPr>
          <w:cantSplit/>
        </w:trPr>
        <w:tc>
          <w:tcPr>
            <w:tcW w:type="dxa" w:w="3168"/>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6"/>
              </w:rPr>
              <w:t>Full recovery within two years</w:t>
            </w:r>
          </w:p>
        </w:tc>
        <w:tc>
          <w:tcPr>
            <w:tcW w:type="dxa" w:w="259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Directed-pair FE</w:t>
            </w:r>
          </w:p>
        </w:tc>
        <w:tc>
          <w:tcPr>
            <w:tcW w:type="dxa" w:w="288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-0.0002</w:t>
            </w:r>
            <w:r>
              <w:br/>
            </w:r>
            <w:r>
              <w:rPr>
                <w:rFonts w:ascii="Times New Roman" w:hAnsi="Times New Roman" w:eastAsia="Times New Roman"/>
                <w:b w:val="0"/>
                <w:i w:val="0"/>
                <w:sz w:val="16"/>
              </w:rPr>
              <w:t>(0.0036)</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-0.022</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0.9514</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1,064,542</w:t>
            </w:r>
          </w:p>
        </w:tc>
      </w:tr>
      <w:tr>
        <w:trPr>
          <w:cantSplit/>
        </w:trPr>
        <w:tc>
          <w:tcPr>
            <w:tcW w:type="dxa" w:w="3168"/>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6"/>
              </w:rPr>
              <w:t>Full recovery within two years</w:t>
            </w:r>
          </w:p>
        </w:tc>
        <w:tc>
          <w:tcPr>
            <w:tcW w:type="dxa" w:w="259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Pair–HS2 FE</w:t>
            </w:r>
          </w:p>
        </w:tc>
        <w:tc>
          <w:tcPr>
            <w:tcW w:type="dxa" w:w="288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0.0041</w:t>
            </w:r>
            <w:r>
              <w:br/>
            </w:r>
            <w:r>
              <w:rPr>
                <w:rFonts w:ascii="Times New Roman" w:hAnsi="Times New Roman" w:eastAsia="Times New Roman"/>
                <w:b w:val="0"/>
                <w:i w:val="0"/>
                <w:sz w:val="16"/>
              </w:rPr>
              <w:t>(0.0059)</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+0.408</w:t>
            </w:r>
          </w:p>
        </w:tc>
        <w:tc>
          <w:tcPr>
            <w:tcW w:type="dxa" w:w="144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0.5015</w:t>
            </w:r>
          </w:p>
        </w:tc>
        <w:tc>
          <w:tcPr>
            <w:tcW w:type="dxa" w:w="165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6"/>
              </w:rPr>
              <w:t>752,846</w:t>
            </w:r>
          </w:p>
        </w:tc>
      </w:tr>
    </w:tbl>
    <w:p>
      <w:pPr>
        <w:spacing w:before="80" w:after="20" w:line="240" w:lineRule="auto"/>
      </w:pPr>
      <w:r>
        <w:rPr>
          <w:rFonts w:ascii="Times New Roman" w:hAnsi="Times New Roman"/>
          <w:b/>
          <w:sz w:val="16"/>
        </w:rPr>
        <w:t xml:space="preserve">Notes: </w:t>
      </w:r>
      <w:r>
        <w:rPr>
          <w:rFonts w:ascii="Times New Roman" w:hAnsi="Times New Roman"/>
          <w:sz w:val="16"/>
        </w:rPr>
        <w:t>Dependent variables are binary. All models control for pre-exit link size, FTA membership, DTA depth, GPR × FTA, exporter–exit-year, importer–exit-year, and HS2–exit-year fixed effects. Standard errors are clustered by unordered pair and exit year. The negative one-year re-entry coefficient in the directed-pair specification does not survive the stringent pair–HS2 fixed-effect specification.</w:t>
      </w:r>
    </w:p>
    <w:p>
      <w:pPr>
        <w:spacing w:before="0" w:after="160"/>
      </w:pPr>
      <w:r>
        <w:rPr>
          <w:rFonts w:ascii="Times New Roman" w:hAnsi="Times New Roman"/>
          <w:b/>
          <w:color w:val="646464"/>
          <w:sz w:val="15"/>
        </w:rPr>
        <w:t xml:space="preserve">Internal extraction source (remove before submission): </w:t>
      </w:r>
      <w:r>
        <w:rPr>
          <w:rFonts w:ascii="Times New Roman" w:hAnsi="Times New Roman"/>
          <w:color w:val="646464"/>
          <w:sz w:val="15"/>
        </w:rPr>
        <w:t>outputs/tables/step14b_recovery_interactions.csv</w:t>
      </w:r>
    </w:p>
    <w:p>
      <w:pPr>
        <w:sectPr>
          <w:pgSz w:w="16834" w:h="11909" w:orient="landscape"/>
          <w:pgMar w:top="648" w:right="648" w:bottom="648" w:left="648" w:header="720" w:footer="720" w:gutter="0"/>
          <w:cols w:space="720"/>
          <w:docGrid w:linePitch="360"/>
        </w:sectPr>
      </w:pPr>
    </w:p>
    <w:p>
      <w:pPr>
        <w:spacing w:before="40" w:after="100"/>
        <w:jc w:val="left"/>
      </w:pPr>
      <w:r>
        <w:rPr>
          <w:rFonts w:ascii="Times New Roman" w:hAnsi="Times New Roman" w:eastAsia="Times New Roman"/>
          <w:b/>
          <w:sz w:val="20"/>
        </w:rPr>
        <w:t>Appendix Table A4. Leave-One-Year-Out Stability of the Joint Link-Survival Model</w:t>
      </w:r>
    </w:p>
    <w:tbl>
      <w:tblPr>
        <w:tblStyle w:val="TableGrid"/>
        <w:tblW w:type="auto" w:w="0"/>
        <w:jc w:val="center"/>
        <w:tblLayout w:type="fixed"/>
        <w:tblLook w:firstColumn="1" w:firstRow="1" w:lastColumn="0" w:lastRow="0" w:noHBand="0" w:noVBand="1" w:val="04A0"/>
      </w:tblPr>
      <w:tblGrid>
        <w:gridCol w:w="1434"/>
        <w:gridCol w:w="1434"/>
        <w:gridCol w:w="1434"/>
        <w:gridCol w:w="1434"/>
        <w:gridCol w:w="1434"/>
        <w:gridCol w:w="1434"/>
        <w:gridCol w:w="1434"/>
      </w:tblGrid>
      <w:tr>
        <w:trPr>
          <w:tblHeader w:val="true"/>
        </w:trPr>
        <w:tc>
          <w:tcPr>
            <w:tcW w:type="dxa" w:w="2592"/>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7"/>
              </w:rPr>
              <w:t>Inference</w:t>
            </w:r>
          </w:p>
        </w:tc>
        <w:tc>
          <w:tcPr>
            <w:tcW w:type="dxa" w:w="2232"/>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7"/>
              </w:rPr>
              <w:t>Interaction</w:t>
            </w:r>
          </w:p>
        </w:tc>
        <w:tc>
          <w:tcPr>
            <w:tcW w:type="dxa" w:w="2160"/>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7"/>
              </w:rPr>
              <w:t>Coefficient range</w:t>
            </w:r>
          </w:p>
        </w:tc>
        <w:tc>
          <w:tcPr>
            <w:tcW w:type="dxa" w:w="1080"/>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7"/>
              </w:rPr>
              <w:t>Positive</w:t>
            </w:r>
          </w:p>
        </w:tc>
        <w:tc>
          <w:tcPr>
            <w:tcW w:type="dxa" w:w="1080"/>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7"/>
              </w:rPr>
              <w:t>Negative</w:t>
            </w:r>
          </w:p>
        </w:tc>
        <w:tc>
          <w:tcPr>
            <w:tcW w:type="dxa" w:w="1296"/>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7"/>
              </w:rPr>
              <w:t>p &lt; 0.05</w:t>
            </w:r>
          </w:p>
        </w:tc>
        <w:tc>
          <w:tcPr>
            <w:tcW w:type="dxa" w:w="1296"/>
            <w:vAlign w:val="center"/>
            <w:tcMar>
              <w:top w:w="60" w:type="dxa"/>
              <w:start w:w="70" w:type="dxa"/>
              <w:bottom w:w="60" w:type="dxa"/>
              <w:end w:w="70" w:type="dxa"/>
            </w:tcMar>
            <w:shd w:fill="D9E2F3"/>
          </w:tcPr>
          <w:p>
            <w:pPr>
              <w:spacing w:after="0" w:before="0" w:line="240" w:lineRule="auto"/>
              <w:jc w:val="center"/>
            </w:pPr>
            <w:r/>
            <w:r>
              <w:rPr>
                <w:rFonts w:ascii="Times New Roman" w:hAnsi="Times New Roman" w:eastAsia="Times New Roman"/>
                <w:b/>
                <w:i w:val="0"/>
                <w:sz w:val="17"/>
              </w:rPr>
              <w:t>p &lt; 0.10</w:t>
            </w:r>
          </w:p>
        </w:tc>
      </w:tr>
      <w:tr>
        <w:trPr>
          <w:cantSplit/>
        </w:trPr>
        <w:tc>
          <w:tcPr>
            <w:tcW w:type="dxa" w:w="2592"/>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7"/>
              </w:rPr>
              <w:t>Unordered pair</w:t>
            </w:r>
          </w:p>
        </w:tc>
        <w:tc>
          <w:tcPr>
            <w:tcW w:type="dxa" w:w="223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GPR × FTA</w:t>
            </w:r>
          </w:p>
        </w:tc>
        <w:tc>
          <w:tcPr>
            <w:tcW w:type="dxa" w:w="216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0.0011 to 0.0034</w:t>
            </w:r>
          </w:p>
        </w:tc>
        <w:tc>
          <w:tcPr>
            <w:tcW w:type="dxa" w:w="108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16</w:t>
            </w:r>
          </w:p>
        </w:tc>
        <w:tc>
          <w:tcPr>
            <w:tcW w:type="dxa" w:w="108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0</w:t>
            </w:r>
          </w:p>
        </w:tc>
        <w:tc>
          <w:tcPr>
            <w:tcW w:type="dxa" w:w="12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14/16</w:t>
            </w:r>
          </w:p>
        </w:tc>
        <w:tc>
          <w:tcPr>
            <w:tcW w:type="dxa" w:w="12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14/16</w:t>
            </w:r>
          </w:p>
        </w:tc>
      </w:tr>
      <w:tr>
        <w:trPr>
          <w:cantSplit/>
        </w:trPr>
        <w:tc>
          <w:tcPr>
            <w:tcW w:type="dxa" w:w="2592"/>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7"/>
              </w:rPr>
              <w:t>Unordered pair</w:t>
            </w:r>
          </w:p>
        </w:tc>
        <w:tc>
          <w:tcPr>
            <w:tcW w:type="dxa" w:w="223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GPR × DTA depth</w:t>
            </w:r>
          </w:p>
        </w:tc>
        <w:tc>
          <w:tcPr>
            <w:tcW w:type="dxa" w:w="216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-0.0068 to -0.0040</w:t>
            </w:r>
          </w:p>
        </w:tc>
        <w:tc>
          <w:tcPr>
            <w:tcW w:type="dxa" w:w="108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0</w:t>
            </w:r>
          </w:p>
        </w:tc>
        <w:tc>
          <w:tcPr>
            <w:tcW w:type="dxa" w:w="108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16</w:t>
            </w:r>
          </w:p>
        </w:tc>
        <w:tc>
          <w:tcPr>
            <w:tcW w:type="dxa" w:w="12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16/16</w:t>
            </w:r>
          </w:p>
        </w:tc>
        <w:tc>
          <w:tcPr>
            <w:tcW w:type="dxa" w:w="12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16/16</w:t>
            </w:r>
          </w:p>
        </w:tc>
      </w:tr>
      <w:tr>
        <w:trPr>
          <w:cantSplit/>
        </w:trPr>
        <w:tc>
          <w:tcPr>
            <w:tcW w:type="dxa" w:w="2592"/>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7"/>
              </w:rPr>
              <w:t>Unordered pair + year</w:t>
            </w:r>
          </w:p>
        </w:tc>
        <w:tc>
          <w:tcPr>
            <w:tcW w:type="dxa" w:w="223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GPR × FTA</w:t>
            </w:r>
          </w:p>
        </w:tc>
        <w:tc>
          <w:tcPr>
            <w:tcW w:type="dxa" w:w="216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0.0011 to 0.0034</w:t>
            </w:r>
          </w:p>
        </w:tc>
        <w:tc>
          <w:tcPr>
            <w:tcW w:type="dxa" w:w="108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16</w:t>
            </w:r>
          </w:p>
        </w:tc>
        <w:tc>
          <w:tcPr>
            <w:tcW w:type="dxa" w:w="108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0</w:t>
            </w:r>
          </w:p>
        </w:tc>
        <w:tc>
          <w:tcPr>
            <w:tcW w:type="dxa" w:w="12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2/16</w:t>
            </w:r>
          </w:p>
        </w:tc>
        <w:tc>
          <w:tcPr>
            <w:tcW w:type="dxa" w:w="12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9/16</w:t>
            </w:r>
          </w:p>
        </w:tc>
      </w:tr>
      <w:tr>
        <w:trPr>
          <w:cantSplit/>
        </w:trPr>
        <w:tc>
          <w:tcPr>
            <w:tcW w:type="dxa" w:w="2592"/>
            <w:vAlign w:val="center"/>
            <w:tcMar>
              <w:top w:w="60" w:type="dxa"/>
              <w:start w:w="70" w:type="dxa"/>
              <w:bottom w:w="60" w:type="dxa"/>
              <w:end w:w="70" w:type="dxa"/>
            </w:tcMar>
          </w:tcPr>
          <w:p>
            <w:pPr>
              <w:spacing w:after="0" w:before="0" w:line="240" w:lineRule="auto"/>
              <w:jc w:val="left"/>
            </w:pPr>
            <w:r/>
            <w:r>
              <w:rPr>
                <w:rFonts w:ascii="Times New Roman" w:hAnsi="Times New Roman" w:eastAsia="Times New Roman"/>
                <w:b w:val="0"/>
                <w:i w:val="0"/>
                <w:sz w:val="17"/>
              </w:rPr>
              <w:t>Unordered pair + year</w:t>
            </w:r>
          </w:p>
        </w:tc>
        <w:tc>
          <w:tcPr>
            <w:tcW w:type="dxa" w:w="2232"/>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GPR × DTA depth</w:t>
            </w:r>
          </w:p>
        </w:tc>
        <w:tc>
          <w:tcPr>
            <w:tcW w:type="dxa" w:w="216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-0.0068 to -0.0040</w:t>
            </w:r>
          </w:p>
        </w:tc>
        <w:tc>
          <w:tcPr>
            <w:tcW w:type="dxa" w:w="108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0</w:t>
            </w:r>
          </w:p>
        </w:tc>
        <w:tc>
          <w:tcPr>
            <w:tcW w:type="dxa" w:w="1080"/>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16</w:t>
            </w:r>
          </w:p>
        </w:tc>
        <w:tc>
          <w:tcPr>
            <w:tcW w:type="dxa" w:w="12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15/16</w:t>
            </w:r>
          </w:p>
        </w:tc>
        <w:tc>
          <w:tcPr>
            <w:tcW w:type="dxa" w:w="1296"/>
            <w:vAlign w:val="center"/>
            <w:tcMar>
              <w:top w:w="60" w:type="dxa"/>
              <w:start w:w="70" w:type="dxa"/>
              <w:bottom w:w="60" w:type="dxa"/>
              <w:end w:w="70" w:type="dxa"/>
            </w:tcMar>
          </w:tcPr>
          <w:p>
            <w:pPr>
              <w:spacing w:after="0" w:before="0" w:line="240" w:lineRule="auto"/>
              <w:jc w:val="center"/>
            </w:pPr>
            <w:r/>
            <w:r>
              <w:rPr>
                <w:rFonts w:ascii="Times New Roman" w:hAnsi="Times New Roman" w:eastAsia="Times New Roman"/>
                <w:b w:val="0"/>
                <w:i w:val="0"/>
                <w:sz w:val="17"/>
              </w:rPr>
              <w:t>16/16</w:t>
            </w:r>
          </w:p>
        </w:tc>
      </w:tr>
    </w:tbl>
    <w:p>
      <w:pPr>
        <w:spacing w:before="80" w:after="20" w:line="240" w:lineRule="auto"/>
      </w:pPr>
      <w:r>
        <w:rPr>
          <w:rFonts w:ascii="Times New Roman" w:hAnsi="Times New Roman"/>
          <w:b/>
          <w:sz w:val="16"/>
        </w:rPr>
        <w:t xml:space="preserve">Notes: </w:t>
      </w:r>
      <w:r>
        <w:rPr>
          <w:rFonts w:ascii="Times New Roman" w:hAnsi="Times New Roman"/>
          <w:sz w:val="16"/>
        </w:rPr>
        <w:t>Each model excludes one year from 2008 through 2023. The GPR × DTA-depth coefficient is negative in all 16 exercises and statistically significant at the 5% level in 15 of 16 specifications under unordered-pair and year clustering.</w:t>
      </w:r>
    </w:p>
    <w:p>
      <w:pPr>
        <w:spacing w:before="0" w:after="160"/>
      </w:pPr>
      <w:r>
        <w:rPr>
          <w:rFonts w:ascii="Times New Roman" w:hAnsi="Times New Roman"/>
          <w:b/>
          <w:color w:val="646464"/>
          <w:sz w:val="15"/>
        </w:rPr>
        <w:t xml:space="preserve">Internal extraction source (remove before submission): </w:t>
      </w:r>
      <w:r>
        <w:rPr>
          <w:rFonts w:ascii="Times New Roman" w:hAnsi="Times New Roman"/>
          <w:color w:val="646464"/>
          <w:sz w:val="15"/>
        </w:rPr>
        <w:t>outputs/tables/step13c_survival_leave_one_year_out.csv</w:t>
      </w:r>
    </w:p>
    <w:p>
      <w:pPr>
        <w:spacing w:before="160"/>
      </w:pPr>
      <w:r>
        <w:rPr>
          <w:rFonts w:ascii="Times New Roman" w:hAnsi="Times New Roman"/>
          <w:b/>
          <w:sz w:val="17"/>
        </w:rPr>
        <w:t xml:space="preserve">Final usage note: </w:t>
      </w:r>
      <w:r>
        <w:rPr>
          <w:rFonts w:ascii="Times New Roman" w:hAnsi="Times New Roman"/>
          <w:sz w:val="17"/>
        </w:rPr>
        <w:t>The internal extraction-source lines are included only to help verify the numbers. Remove those lines before submitting the manuscript. Table numbering may be updated after figures and appendices are finalized.</w:t>
      </w:r>
    </w:p>
    <w:sectPr w:rsidR="00FC693F" w:rsidRPr="0006063C" w:rsidSect="00034616">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rPr>
      <w:rFonts w:ascii="Times New Roman" w:hAnsi="Times New Roman"/>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