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Times New Roman" w:hAnsi="Times New Roman"/>
          <w:b/>
          <w:color w:val="000000"/>
          <w:sz w:val="28"/>
        </w:rPr>
        <w:t>REFERENCES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Anderson, J. E., &amp; van Wincoop, E. (2003). Gravity with gravitas: A solution to the border puzzle. </w:t>
      </w:r>
      <w:r>
        <w:rPr>
          <w:rFonts w:ascii="Times New Roman" w:hAnsi="Times New Roman"/>
          <w:b w:val="0"/>
          <w:i/>
          <w:color w:val="000000"/>
          <w:sz w:val="24"/>
        </w:rPr>
        <w:t>American Economic Review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93</w:t>
      </w:r>
      <w:r>
        <w:rPr>
          <w:rFonts w:ascii="Times New Roman" w:hAnsi="Times New Roman"/>
          <w:b w:val="0"/>
          <w:i w:val="0"/>
          <w:color w:val="000000"/>
          <w:sz w:val="24"/>
        </w:rPr>
        <w:t>(1), 170–192. doi:10.1257/000282803321455214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Anson, J., Cadot, O., Estevadeordal, A., de Melo, J., Suwa-Eisenmann, A., &amp; Tumurchudur, B. (2005). Rules of origin in North America: Proving maker's marks. </w:t>
      </w:r>
      <w:r>
        <w:rPr>
          <w:rFonts w:ascii="Times New Roman" w:hAnsi="Times New Roman"/>
          <w:b w:val="0"/>
          <w:i/>
          <w:color w:val="000000"/>
          <w:sz w:val="24"/>
        </w:rPr>
        <w:t>Oxford Economic Papers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57</w:t>
      </w:r>
      <w:r>
        <w:rPr>
          <w:rFonts w:ascii="Times New Roman" w:hAnsi="Times New Roman"/>
          <w:b w:val="0"/>
          <w:i w:val="0"/>
          <w:color w:val="000000"/>
          <w:sz w:val="24"/>
        </w:rPr>
        <w:t>(3), 433–460. doi:10.1093/oep/gpi027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Antràs, P. (2003). Firms, contracts, and trade structure. </w:t>
      </w:r>
      <w:r>
        <w:rPr>
          <w:rFonts w:ascii="Times New Roman" w:hAnsi="Times New Roman"/>
          <w:b w:val="0"/>
          <w:i/>
          <w:color w:val="000000"/>
          <w:sz w:val="24"/>
        </w:rPr>
        <w:t>Quarterly Journal of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118</w:t>
      </w:r>
      <w:r>
        <w:rPr>
          <w:rFonts w:ascii="Times New Roman" w:hAnsi="Times New Roman"/>
          <w:b w:val="0"/>
          <w:i w:val="0"/>
          <w:color w:val="000000"/>
          <w:sz w:val="24"/>
        </w:rPr>
        <w:t>(4), 1375–1418. doi:10.1162/003355303322552829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Antràs, P., &amp; Helpman, E. (2004). Global sourcing. </w:t>
      </w:r>
      <w:r>
        <w:rPr>
          <w:rFonts w:ascii="Times New Roman" w:hAnsi="Times New Roman"/>
          <w:b w:val="0"/>
          <w:i/>
          <w:color w:val="000000"/>
          <w:sz w:val="24"/>
        </w:rPr>
        <w:t>Journal of Political Economy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112</w:t>
      </w:r>
      <w:r>
        <w:rPr>
          <w:rFonts w:ascii="Times New Roman" w:hAnsi="Times New Roman"/>
          <w:b w:val="0"/>
          <w:i w:val="0"/>
          <w:color w:val="000000"/>
          <w:sz w:val="24"/>
        </w:rPr>
        <w:t>(3), 552–580. doi:10.1086/383099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Baier, S. L., &amp; Bergstrand, J. H. (2007). Do free trade agreements actually increase members' international trade? </w:t>
      </w:r>
      <w:r>
        <w:rPr>
          <w:rFonts w:ascii="Times New Roman" w:hAnsi="Times New Roman"/>
          <w:b w:val="0"/>
          <w:i/>
          <w:color w:val="000000"/>
          <w:sz w:val="24"/>
        </w:rPr>
        <w:t>Journal of International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71</w:t>
      </w:r>
      <w:r>
        <w:rPr>
          <w:rFonts w:ascii="Times New Roman" w:hAnsi="Times New Roman"/>
          <w:b w:val="0"/>
          <w:i w:val="0"/>
          <w:color w:val="000000"/>
          <w:sz w:val="24"/>
        </w:rPr>
        <w:t>(1), 72–95. doi:10.1016/j.jinteco.2006.02.005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Baker, S. R., Bloom, N., &amp; Davis, S. J. (2016). Measuring economic policy uncertainty. </w:t>
      </w:r>
      <w:r>
        <w:rPr>
          <w:rFonts w:ascii="Times New Roman" w:hAnsi="Times New Roman"/>
          <w:b w:val="0"/>
          <w:i/>
          <w:color w:val="000000"/>
          <w:sz w:val="24"/>
        </w:rPr>
        <w:t>Quarterly Journal of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131</w:t>
      </w:r>
      <w:r>
        <w:rPr>
          <w:rFonts w:ascii="Times New Roman" w:hAnsi="Times New Roman"/>
          <w:b w:val="0"/>
          <w:i w:val="0"/>
          <w:color w:val="000000"/>
          <w:sz w:val="24"/>
        </w:rPr>
        <w:t>(4), 1593–1636. doi:10.1093/qje/qjw024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Baldwin, R., &amp; Krugman, P. (1989). Persistent trade effects of large exchange rate shocks. </w:t>
      </w:r>
      <w:r>
        <w:rPr>
          <w:rFonts w:ascii="Times New Roman" w:hAnsi="Times New Roman"/>
          <w:b w:val="0"/>
          <w:i/>
          <w:color w:val="000000"/>
          <w:sz w:val="24"/>
        </w:rPr>
        <w:t>Quarterly Journal of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104</w:t>
      </w:r>
      <w:r>
        <w:rPr>
          <w:rFonts w:ascii="Times New Roman" w:hAnsi="Times New Roman"/>
          <w:b w:val="0"/>
          <w:i w:val="0"/>
          <w:color w:val="000000"/>
          <w:sz w:val="24"/>
        </w:rPr>
        <w:t>(4), 635–654. doi:10.2307/2937860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Barrot, J.-N., &amp; Sauvagnat, J. (2016). Input specificity and the propagation of idiosyncratic shocks in production networks. </w:t>
      </w:r>
      <w:r>
        <w:rPr>
          <w:rFonts w:ascii="Times New Roman" w:hAnsi="Times New Roman"/>
          <w:b w:val="0"/>
          <w:i/>
          <w:color w:val="000000"/>
          <w:sz w:val="24"/>
        </w:rPr>
        <w:t>Quarterly Journal of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131</w:t>
      </w:r>
      <w:r>
        <w:rPr>
          <w:rFonts w:ascii="Times New Roman" w:hAnsi="Times New Roman"/>
          <w:b w:val="0"/>
          <w:i w:val="0"/>
          <w:color w:val="000000"/>
          <w:sz w:val="24"/>
        </w:rPr>
        <w:t>(3), 1543–1592. doi:10.1093/qje/qjw018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Benguria, F. (2022). Do US exporters take advantage of free trade agreements? Evidence from the US–Colombia free trade agreement. </w:t>
      </w:r>
      <w:r>
        <w:rPr>
          <w:rFonts w:ascii="Times New Roman" w:hAnsi="Times New Roman"/>
          <w:b w:val="0"/>
          <w:i/>
          <w:color w:val="000000"/>
          <w:sz w:val="24"/>
        </w:rPr>
        <w:t>Review of International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30</w:t>
      </w:r>
      <w:r>
        <w:rPr>
          <w:rFonts w:ascii="Times New Roman" w:hAnsi="Times New Roman"/>
          <w:b w:val="0"/>
          <w:i w:val="0"/>
          <w:color w:val="000000"/>
          <w:sz w:val="24"/>
        </w:rPr>
        <w:t>(5), 1435–1464. doi:10.1111/roie.12613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Benjamini, Y., &amp; Hochberg, Y. (1995). Controlling the false discovery rate: A practical and powerful approach to multiple testing. </w:t>
      </w:r>
      <w:r>
        <w:rPr>
          <w:rFonts w:ascii="Times New Roman" w:hAnsi="Times New Roman"/>
          <w:b w:val="0"/>
          <w:i/>
          <w:color w:val="000000"/>
          <w:sz w:val="24"/>
        </w:rPr>
        <w:t>Journal of the Royal Statistical Society: Series B (Methodological)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57</w:t>
      </w:r>
      <w:r>
        <w:rPr>
          <w:rFonts w:ascii="Times New Roman" w:hAnsi="Times New Roman"/>
          <w:b w:val="0"/>
          <w:i w:val="0"/>
          <w:color w:val="000000"/>
          <w:sz w:val="24"/>
        </w:rPr>
        <w:t>(1), 289–300. doi:10.1111/j.2517-6161.1995.tb02031.x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Besedeš, T., &amp; Prusa, T. J. (2006a). Ins, outs, and the duration of trade. </w:t>
      </w:r>
      <w:r>
        <w:rPr>
          <w:rFonts w:ascii="Times New Roman" w:hAnsi="Times New Roman"/>
          <w:b w:val="0"/>
          <w:i/>
          <w:color w:val="000000"/>
          <w:sz w:val="24"/>
        </w:rPr>
        <w:t>Canadian Journal of Economics/Revue canadienne d'économique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39</w:t>
      </w:r>
      <w:r>
        <w:rPr>
          <w:rFonts w:ascii="Times New Roman" w:hAnsi="Times New Roman"/>
          <w:b w:val="0"/>
          <w:i w:val="0"/>
          <w:color w:val="000000"/>
          <w:sz w:val="24"/>
        </w:rPr>
        <w:t>(1), 266–295. doi:10.1111/j.0008-4085.2006.00347.x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Besedeš, T., &amp; Prusa, T. J. (2006b). Product differentiation and duration of US import trade. </w:t>
      </w:r>
      <w:r>
        <w:rPr>
          <w:rFonts w:ascii="Times New Roman" w:hAnsi="Times New Roman"/>
          <w:b w:val="0"/>
          <w:i/>
          <w:color w:val="000000"/>
          <w:sz w:val="24"/>
        </w:rPr>
        <w:t>Journal of International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70</w:t>
      </w:r>
      <w:r>
        <w:rPr>
          <w:rFonts w:ascii="Times New Roman" w:hAnsi="Times New Roman"/>
          <w:b w:val="0"/>
          <w:i w:val="0"/>
          <w:color w:val="000000"/>
          <w:sz w:val="24"/>
        </w:rPr>
        <w:t>(2), 339–358. doi:10.1016/j.jinteco.2005.12.005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Besedeš, T., &amp; Prusa, T. J. (2017). The death of trade: Antidumping and the duration of trade. </w:t>
      </w:r>
      <w:r>
        <w:rPr>
          <w:rFonts w:ascii="Times New Roman" w:hAnsi="Times New Roman"/>
          <w:b w:val="0"/>
          <w:i/>
          <w:color w:val="000000"/>
          <w:sz w:val="24"/>
        </w:rPr>
        <w:t>Economic Inquiry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55</w:t>
      </w:r>
      <w:r>
        <w:rPr>
          <w:rFonts w:ascii="Times New Roman" w:hAnsi="Times New Roman"/>
          <w:b w:val="0"/>
          <w:i w:val="0"/>
          <w:color w:val="000000"/>
          <w:sz w:val="24"/>
        </w:rPr>
        <w:t>(4), 1629–1650. doi:10.1111/ecin.12463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Bloom, N. (2009). The impact of uncertainty shocks. </w:t>
      </w:r>
      <w:r>
        <w:rPr>
          <w:rFonts w:ascii="Times New Roman" w:hAnsi="Times New Roman"/>
          <w:b w:val="0"/>
          <w:i/>
          <w:color w:val="000000"/>
          <w:sz w:val="24"/>
        </w:rPr>
        <w:t>Econometrica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77</w:t>
      </w:r>
      <w:r>
        <w:rPr>
          <w:rFonts w:ascii="Times New Roman" w:hAnsi="Times New Roman"/>
          <w:b w:val="0"/>
          <w:i w:val="0"/>
          <w:color w:val="000000"/>
          <w:sz w:val="24"/>
        </w:rPr>
        <w:t>(3), 623–685. doi:10.3982/ECTA6248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Boehm, C. E., Flaaen, A., &amp; Pandalai-Nayar, N. (2019). Input linkages and the transmission of shocks: Firm-level evidence from the 2011 Tōhoku earthquake. </w:t>
      </w:r>
      <w:r>
        <w:rPr>
          <w:rFonts w:ascii="Times New Roman" w:hAnsi="Times New Roman"/>
          <w:b w:val="0"/>
          <w:i/>
          <w:color w:val="000000"/>
          <w:sz w:val="24"/>
        </w:rPr>
        <w:t>Review of Economics and Statistics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101</w:t>
      </w:r>
      <w:r>
        <w:rPr>
          <w:rFonts w:ascii="Times New Roman" w:hAnsi="Times New Roman"/>
          <w:b w:val="0"/>
          <w:i w:val="0"/>
          <w:color w:val="000000"/>
          <w:sz w:val="24"/>
        </w:rPr>
        <w:t>(1), 60–75. doi:10.1162/rest_a_00779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Bombarda, P., &amp; Gamberoni, E. (2013). Firm heterogeneity, rules of origin and cumulation. </w:t>
      </w:r>
      <w:r>
        <w:rPr>
          <w:rFonts w:ascii="Times New Roman" w:hAnsi="Times New Roman"/>
          <w:b w:val="0"/>
          <w:i/>
          <w:color w:val="000000"/>
          <w:sz w:val="24"/>
        </w:rPr>
        <w:t>Economic Inquiry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51</w:t>
      </w:r>
      <w:r>
        <w:rPr>
          <w:rFonts w:ascii="Times New Roman" w:hAnsi="Times New Roman"/>
          <w:b w:val="0"/>
          <w:i w:val="0"/>
          <w:color w:val="000000"/>
          <w:sz w:val="24"/>
        </w:rPr>
        <w:t>(4), 2113–2128. doi:10.1111/ecin.12005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Brenton, P., Saborowski, C., &amp; von Uexkull, E. (2010). What explains the low survival rate of developing country export flows? </w:t>
      </w:r>
      <w:r>
        <w:rPr>
          <w:rFonts w:ascii="Times New Roman" w:hAnsi="Times New Roman"/>
          <w:b w:val="0"/>
          <w:i/>
          <w:color w:val="000000"/>
          <w:sz w:val="24"/>
        </w:rPr>
        <w:t>The World Bank Economic Review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24</w:t>
      </w:r>
      <w:r>
        <w:rPr>
          <w:rFonts w:ascii="Times New Roman" w:hAnsi="Times New Roman"/>
          <w:b w:val="0"/>
          <w:i w:val="0"/>
          <w:color w:val="000000"/>
          <w:sz w:val="24"/>
        </w:rPr>
        <w:t>(3), 474–499. doi:10.1093/wber/lhq014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Caldara, D., &amp; Iacoviello, M. (2022). Measuring geopolitical risk. </w:t>
      </w:r>
      <w:r>
        <w:rPr>
          <w:rFonts w:ascii="Times New Roman" w:hAnsi="Times New Roman"/>
          <w:b w:val="0"/>
          <w:i/>
          <w:color w:val="000000"/>
          <w:sz w:val="24"/>
        </w:rPr>
        <w:t>American Economic Review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112</w:t>
      </w:r>
      <w:r>
        <w:rPr>
          <w:rFonts w:ascii="Times New Roman" w:hAnsi="Times New Roman"/>
          <w:b w:val="0"/>
          <w:i w:val="0"/>
          <w:color w:val="000000"/>
          <w:sz w:val="24"/>
        </w:rPr>
        <w:t>(4), 1194–1225. doi:10.1257/aer.20191823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Cameron, A. C., Gelbach, J. B., &amp; Miller, D. L. (2011). Robust inference with multiway clustering. </w:t>
      </w:r>
      <w:r>
        <w:rPr>
          <w:rFonts w:ascii="Times New Roman" w:hAnsi="Times New Roman"/>
          <w:b w:val="0"/>
          <w:i/>
          <w:color w:val="000000"/>
          <w:sz w:val="24"/>
        </w:rPr>
        <w:t>Journal of Business &amp; Economic Statistics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29</w:t>
      </w:r>
      <w:r>
        <w:rPr>
          <w:rFonts w:ascii="Times New Roman" w:hAnsi="Times New Roman"/>
          <w:b w:val="0"/>
          <w:i w:val="0"/>
          <w:color w:val="000000"/>
          <w:sz w:val="24"/>
        </w:rPr>
        <w:t>(2), 238–249. doi:10.1198/jbes.2010.07136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Campos, R. G., Estefania-Flores, J., Furceri, D., &amp; Timini, J. (2023). Geopolitical fragmentation and trade. </w:t>
      </w:r>
      <w:r>
        <w:rPr>
          <w:rFonts w:ascii="Times New Roman" w:hAnsi="Times New Roman"/>
          <w:b w:val="0"/>
          <w:i/>
          <w:color w:val="000000"/>
          <w:sz w:val="24"/>
        </w:rPr>
        <w:t>Journal of Comparative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51</w:t>
      </w:r>
      <w:r>
        <w:rPr>
          <w:rFonts w:ascii="Times New Roman" w:hAnsi="Times New Roman"/>
          <w:b w:val="0"/>
          <w:i w:val="0"/>
          <w:color w:val="000000"/>
          <w:sz w:val="24"/>
        </w:rPr>
        <w:t>(4), 1289–1315. doi:10.1016/j.jce.2023.06.007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Caselli, F., Koren, M., Lisicky, M., &amp; Tenreyro, S. (2020). Diversification through trade. </w:t>
      </w:r>
      <w:r>
        <w:rPr>
          <w:rFonts w:ascii="Times New Roman" w:hAnsi="Times New Roman"/>
          <w:b w:val="0"/>
          <w:i/>
          <w:color w:val="000000"/>
          <w:sz w:val="24"/>
        </w:rPr>
        <w:t>Quarterly Journal of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135</w:t>
      </w:r>
      <w:r>
        <w:rPr>
          <w:rFonts w:ascii="Times New Roman" w:hAnsi="Times New Roman"/>
          <w:b w:val="0"/>
          <w:i w:val="0"/>
          <w:color w:val="000000"/>
          <w:sz w:val="24"/>
        </w:rPr>
        <w:t>(1), 449–502. doi:10.1093/qje/qjz038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Conconi, P., García-Santana, M., Puccio, R., &amp; Venturini, R. (2018). From final goods to inputs: The protectionist effect of rules of origin. </w:t>
      </w:r>
      <w:r>
        <w:rPr>
          <w:rFonts w:ascii="Times New Roman" w:hAnsi="Times New Roman"/>
          <w:b w:val="0"/>
          <w:i/>
          <w:color w:val="000000"/>
          <w:sz w:val="24"/>
        </w:rPr>
        <w:t>American Economic Review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108</w:t>
      </w:r>
      <w:r>
        <w:rPr>
          <w:rFonts w:ascii="Times New Roman" w:hAnsi="Times New Roman"/>
          <w:b w:val="0"/>
          <w:i w:val="0"/>
          <w:color w:val="000000"/>
          <w:sz w:val="24"/>
        </w:rPr>
        <w:t>(8), 2335–2365. doi:10.1257/aer.20161151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Correia, S., Guimarães, P., &amp; Zylkin, T. (2020). Fast Poisson estimation with high-dimensional fixed effects. </w:t>
      </w:r>
      <w:r>
        <w:rPr>
          <w:rFonts w:ascii="Times New Roman" w:hAnsi="Times New Roman"/>
          <w:b w:val="0"/>
          <w:i/>
          <w:color w:val="000000"/>
          <w:sz w:val="24"/>
        </w:rPr>
        <w:t>The Stata Journal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20</w:t>
      </w:r>
      <w:r>
        <w:rPr>
          <w:rFonts w:ascii="Times New Roman" w:hAnsi="Times New Roman"/>
          <w:b w:val="0"/>
          <w:i w:val="0"/>
          <w:color w:val="000000"/>
          <w:sz w:val="24"/>
        </w:rPr>
        <w:t>(1), 95–115. doi:10.1177/1536867X20909691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Crozet, M., &amp; Hinz, J. (2020). Friendly fire: The trade impact of the Russia sanctions and counter-sanctions. </w:t>
      </w:r>
      <w:r>
        <w:rPr>
          <w:rFonts w:ascii="Times New Roman" w:hAnsi="Times New Roman"/>
          <w:b w:val="0"/>
          <w:i/>
          <w:color w:val="000000"/>
          <w:sz w:val="24"/>
        </w:rPr>
        <w:t>Economic Policy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35</w:t>
      </w:r>
      <w:r>
        <w:rPr>
          <w:rFonts w:ascii="Times New Roman" w:hAnsi="Times New Roman"/>
          <w:b w:val="0"/>
          <w:i w:val="0"/>
          <w:color w:val="000000"/>
          <w:sz w:val="24"/>
        </w:rPr>
        <w:t>(101), 97–146. doi:10.1093/epolic/eiaa006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Das, M., Roberts, M. J., &amp; Tybout, J. R. (2007). Market entry costs, producer heterogeneity, and export dynamics. </w:t>
      </w:r>
      <w:r>
        <w:rPr>
          <w:rFonts w:ascii="Times New Roman" w:hAnsi="Times New Roman"/>
          <w:b w:val="0"/>
          <w:i/>
          <w:color w:val="000000"/>
          <w:sz w:val="24"/>
        </w:rPr>
        <w:t>Econometrica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75</w:t>
      </w:r>
      <w:r>
        <w:rPr>
          <w:rFonts w:ascii="Times New Roman" w:hAnsi="Times New Roman"/>
          <w:b w:val="0"/>
          <w:i w:val="0"/>
          <w:color w:val="000000"/>
          <w:sz w:val="24"/>
        </w:rPr>
        <w:t>(3), 837–872. doi:10.1111/j.1468-0262.2007.00768.x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Dixit, A. (1989). Entry and exit decisions under uncertainty. </w:t>
      </w:r>
      <w:r>
        <w:rPr>
          <w:rFonts w:ascii="Times New Roman" w:hAnsi="Times New Roman"/>
          <w:b w:val="0"/>
          <w:i/>
          <w:color w:val="000000"/>
          <w:sz w:val="24"/>
        </w:rPr>
        <w:t>Journal of Political Economy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97</w:t>
      </w:r>
      <w:r>
        <w:rPr>
          <w:rFonts w:ascii="Times New Roman" w:hAnsi="Times New Roman"/>
          <w:b w:val="0"/>
          <w:i w:val="0"/>
          <w:color w:val="000000"/>
          <w:sz w:val="24"/>
        </w:rPr>
        <w:t>(3), 620–638. doi:10.1086/261619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Dür, A., Baccini, L., &amp; Elsig, M. (2014). The design of international trade agreements: Introducing a new dataset. </w:t>
      </w:r>
      <w:r>
        <w:rPr>
          <w:rFonts w:ascii="Times New Roman" w:hAnsi="Times New Roman"/>
          <w:b w:val="0"/>
          <w:i/>
          <w:color w:val="000000"/>
          <w:sz w:val="24"/>
        </w:rPr>
        <w:t>The Review of International Organizations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9</w:t>
      </w:r>
      <w:r>
        <w:rPr>
          <w:rFonts w:ascii="Times New Roman" w:hAnsi="Times New Roman"/>
          <w:b w:val="0"/>
          <w:i w:val="0"/>
          <w:color w:val="000000"/>
          <w:sz w:val="24"/>
        </w:rPr>
        <w:t>(3), 353–375. doi:10.1007/s11558-013-9179-8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Elliott, M., Golub, B., &amp; Leduc, M. V. (2022). Supply network formation and fragility. </w:t>
      </w:r>
      <w:r>
        <w:rPr>
          <w:rFonts w:ascii="Times New Roman" w:hAnsi="Times New Roman"/>
          <w:b w:val="0"/>
          <w:i/>
          <w:color w:val="000000"/>
          <w:sz w:val="24"/>
        </w:rPr>
        <w:t>American Economic Review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112</w:t>
      </w:r>
      <w:r>
        <w:rPr>
          <w:rFonts w:ascii="Times New Roman" w:hAnsi="Times New Roman"/>
          <w:b w:val="0"/>
          <w:i w:val="0"/>
          <w:color w:val="000000"/>
          <w:sz w:val="24"/>
        </w:rPr>
        <w:t>(8), 2701–2747. doi:10.1257/aer.20201886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Gaulier, G., &amp; Zignago, S. (2010). </w:t>
      </w:r>
      <w:r>
        <w:rPr>
          <w:rFonts w:ascii="Times New Roman" w:hAnsi="Times New Roman"/>
          <w:b w:val="0"/>
          <w:i/>
          <w:color w:val="000000"/>
          <w:sz w:val="24"/>
        </w:rPr>
        <w:t>BACI: International trade database at the HS-6 digit level (1995–2007 version)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(CEPII Working Paper No. 2010-23). Paris, France: Centre d'Études Prospectives et d'Informations Internationales.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Gopinath, G., Gourinchas, P.-O., Presbitero, A. F., &amp; Topalova, P. (2025). Changing global linkages: A new Cold War? </w:t>
      </w:r>
      <w:r>
        <w:rPr>
          <w:rFonts w:ascii="Times New Roman" w:hAnsi="Times New Roman"/>
          <w:b w:val="0"/>
          <w:i/>
          <w:color w:val="000000"/>
          <w:sz w:val="24"/>
        </w:rPr>
        <w:t>Journal of International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153</w:t>
      </w:r>
      <w:r>
        <w:rPr>
          <w:rFonts w:ascii="Times New Roman" w:hAnsi="Times New Roman"/>
          <w:b w:val="0"/>
          <w:i w:val="0"/>
          <w:color w:val="000000"/>
          <w:sz w:val="24"/>
        </w:rPr>
        <w:t>, 103998. doi:10.1016/j.jinteco.2024.103998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Grossman, G. M., Helpman, E., &amp; Lhuillier, H. (2023). Supply chain resilience: Should policy promote diversification or reshoring? </w:t>
      </w:r>
      <w:r>
        <w:rPr>
          <w:rFonts w:ascii="Times New Roman" w:hAnsi="Times New Roman"/>
          <w:b w:val="0"/>
          <w:i/>
          <w:color w:val="000000"/>
          <w:sz w:val="24"/>
        </w:rPr>
        <w:t>Journal of International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145</w:t>
      </w:r>
      <w:r>
        <w:rPr>
          <w:rFonts w:ascii="Times New Roman" w:hAnsi="Times New Roman"/>
          <w:b w:val="0"/>
          <w:i w:val="0"/>
          <w:color w:val="000000"/>
          <w:sz w:val="24"/>
        </w:rPr>
        <w:t>, 103827. doi:10.1016/j.jinteco.2023.103827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Hakobyan, S. (2015). Accounting for underutilization of trade preferences: The case of the GSP. </w:t>
      </w:r>
      <w:r>
        <w:rPr>
          <w:rFonts w:ascii="Times New Roman" w:hAnsi="Times New Roman"/>
          <w:b w:val="0"/>
          <w:i/>
          <w:color w:val="000000"/>
          <w:sz w:val="24"/>
        </w:rPr>
        <w:t>The World Bank Economic Review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29</w:t>
      </w:r>
      <w:r>
        <w:rPr>
          <w:rFonts w:ascii="Times New Roman" w:hAnsi="Times New Roman"/>
          <w:b w:val="0"/>
          <w:i w:val="0"/>
          <w:color w:val="000000"/>
          <w:sz w:val="24"/>
        </w:rPr>
        <w:t>(1), 1–28. doi:10.1093/wber/lht040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Handley, K., &amp; Limão, N. (2017). Policy uncertainty, trade, and welfare: Theory and evidence for China and the United States. </w:t>
      </w:r>
      <w:r>
        <w:rPr>
          <w:rFonts w:ascii="Times New Roman" w:hAnsi="Times New Roman"/>
          <w:b w:val="0"/>
          <w:i/>
          <w:color w:val="000000"/>
          <w:sz w:val="24"/>
        </w:rPr>
        <w:t>American Economic Review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107</w:t>
      </w:r>
      <w:r>
        <w:rPr>
          <w:rFonts w:ascii="Times New Roman" w:hAnsi="Times New Roman"/>
          <w:b w:val="0"/>
          <w:i w:val="0"/>
          <w:color w:val="000000"/>
          <w:sz w:val="24"/>
        </w:rPr>
        <w:t>(9), 2731–2783. doi:10.1257/aer.20141467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Hayakawa, K. (2023). Multiple preference regimes and rules of origin. </w:t>
      </w:r>
      <w:r>
        <w:rPr>
          <w:rFonts w:ascii="Times New Roman" w:hAnsi="Times New Roman"/>
          <w:b w:val="0"/>
          <w:i/>
          <w:color w:val="000000"/>
          <w:sz w:val="24"/>
        </w:rPr>
        <w:t>Review of World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159</w:t>
      </w:r>
      <w:r>
        <w:rPr>
          <w:rFonts w:ascii="Times New Roman" w:hAnsi="Times New Roman"/>
          <w:b w:val="0"/>
          <w:i w:val="0"/>
          <w:color w:val="000000"/>
          <w:sz w:val="24"/>
        </w:rPr>
        <w:t>(3), 597–625. doi:10.1007/s10290-022-00479-w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Head, K., &amp; Mayer, T. (2014). Gravity equations: Workhorse, toolkit, and cookbook. In G. Gopinath, E. Helpman, &amp; K. Rogoff (Eds.), </w:t>
      </w:r>
      <w:r>
        <w:rPr>
          <w:rFonts w:ascii="Times New Roman" w:hAnsi="Times New Roman"/>
          <w:b w:val="0"/>
          <w:i/>
          <w:color w:val="000000"/>
          <w:sz w:val="24"/>
        </w:rPr>
        <w:t>Handbook of international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(Vol. 4, pp. 131–195). Amsterdam, Netherlands: Elsevier. doi:10.1016/B978-0-444-54314-1.00003-3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Head, K., Mayer, T., &amp; Melitz, M. J. (2024). The Laffer curve for rules of origin. </w:t>
      </w:r>
      <w:r>
        <w:rPr>
          <w:rFonts w:ascii="Times New Roman" w:hAnsi="Times New Roman"/>
          <w:b w:val="0"/>
          <w:i/>
          <w:color w:val="000000"/>
          <w:sz w:val="24"/>
        </w:rPr>
        <w:t>Journal of International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150</w:t>
      </w:r>
      <w:r>
        <w:rPr>
          <w:rFonts w:ascii="Times New Roman" w:hAnsi="Times New Roman"/>
          <w:b w:val="0"/>
          <w:i w:val="0"/>
          <w:color w:val="000000"/>
          <w:sz w:val="24"/>
        </w:rPr>
        <w:t>, 103911. doi:10.1016/j.jinteco.2024.103911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Hess, W., &amp; Persson, M. (2012). The duration of trade of developing countries: An analysis with discrete-time hazard models. </w:t>
      </w:r>
      <w:r>
        <w:rPr>
          <w:rFonts w:ascii="Times New Roman" w:hAnsi="Times New Roman"/>
          <w:b w:val="0"/>
          <w:i/>
          <w:color w:val="000000"/>
          <w:sz w:val="24"/>
        </w:rPr>
        <w:t>World Development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40</w:t>
      </w:r>
      <w:r>
        <w:rPr>
          <w:rFonts w:ascii="Times New Roman" w:hAnsi="Times New Roman"/>
          <w:b w:val="0"/>
          <w:i w:val="0"/>
          <w:color w:val="000000"/>
          <w:sz w:val="24"/>
        </w:rPr>
        <w:t>(6), 1146–1162. doi:10.1016/j.worlddev.2011.11.002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Hofmann, C., Osnago, A., &amp; Ruta, M. (2019). The content of preferential trade agreements. </w:t>
      </w:r>
      <w:r>
        <w:rPr>
          <w:rFonts w:ascii="Times New Roman" w:hAnsi="Times New Roman"/>
          <w:b w:val="0"/>
          <w:i/>
          <w:color w:val="000000"/>
          <w:sz w:val="24"/>
        </w:rPr>
        <w:t>The World Bank Economic Review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33</w:t>
      </w:r>
      <w:r>
        <w:rPr>
          <w:rFonts w:ascii="Times New Roman" w:hAnsi="Times New Roman"/>
          <w:b w:val="0"/>
          <w:i w:val="0"/>
          <w:color w:val="000000"/>
          <w:sz w:val="24"/>
        </w:rPr>
        <w:t>(3), 772–799. doi:10.1093/wber/lhx019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Horn, H., Maggi, G., &amp; Staiger, R. W. (2010). Trade agreements as endogenously incomplete contracts. </w:t>
      </w:r>
      <w:r>
        <w:rPr>
          <w:rFonts w:ascii="Times New Roman" w:hAnsi="Times New Roman"/>
          <w:b w:val="0"/>
          <w:i/>
          <w:color w:val="000000"/>
          <w:sz w:val="24"/>
        </w:rPr>
        <w:t>American Economic Review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100</w:t>
      </w:r>
      <w:r>
        <w:rPr>
          <w:rFonts w:ascii="Times New Roman" w:hAnsi="Times New Roman"/>
          <w:b w:val="0"/>
          <w:i w:val="0"/>
          <w:color w:val="000000"/>
          <w:sz w:val="24"/>
        </w:rPr>
        <w:t>(1), 394–419. doi:10.1257/aer.100.1.394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Javorcik, B., Kitzmüller, L., Schweiger, H., &amp; Yildirim, M. A. (2024). </w:t>
      </w:r>
      <w:r>
        <w:rPr>
          <w:rFonts w:ascii="Times New Roman" w:hAnsi="Times New Roman"/>
          <w:b w:val="0"/>
          <w:i/>
          <w:color w:val="000000"/>
          <w:sz w:val="24"/>
        </w:rPr>
        <w:t>Economic costs of friend-shoring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(CEPR Discussion Paper No. DP18735). London, United Kingdom: Centre for Economic Policy Research.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Kramarz, F., Martin, J., &amp; Mejean, I. (2020). Volatility in the small and in the large: The international transmission of shocks. </w:t>
      </w:r>
      <w:r>
        <w:rPr>
          <w:rFonts w:ascii="Times New Roman" w:hAnsi="Times New Roman"/>
          <w:b w:val="0"/>
          <w:i/>
          <w:color w:val="000000"/>
          <w:sz w:val="24"/>
        </w:rPr>
        <w:t>Journal of International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124</w:t>
      </w:r>
      <w:r>
        <w:rPr>
          <w:rFonts w:ascii="Times New Roman" w:hAnsi="Times New Roman"/>
          <w:b w:val="0"/>
          <w:i w:val="0"/>
          <w:color w:val="000000"/>
          <w:sz w:val="24"/>
        </w:rPr>
        <w:t>, 103322. doi:10.1016/j.jinteco.2020.103322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Laget, E., Osnago, A., Rocha, N., &amp; Ruta, M. (2020). Deep trade agreements and global value chains. </w:t>
      </w:r>
      <w:r>
        <w:rPr>
          <w:rFonts w:ascii="Times New Roman" w:hAnsi="Times New Roman"/>
          <w:b w:val="0"/>
          <w:i/>
          <w:color w:val="000000"/>
          <w:sz w:val="24"/>
        </w:rPr>
        <w:t>Review of Industrial Organization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57</w:t>
      </w:r>
      <w:r>
        <w:rPr>
          <w:rFonts w:ascii="Times New Roman" w:hAnsi="Times New Roman"/>
          <w:b w:val="0"/>
          <w:i w:val="0"/>
          <w:color w:val="000000"/>
          <w:sz w:val="24"/>
        </w:rPr>
        <w:t>(2), 379–410. doi:10.1007/s11151-020-09756-1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Mattoo, A., Mulabdic, A., &amp; Ruta, M. (2022). Trade creation and trade diversion in deep agreements. </w:t>
      </w:r>
      <w:r>
        <w:rPr>
          <w:rFonts w:ascii="Times New Roman" w:hAnsi="Times New Roman"/>
          <w:b w:val="0"/>
          <w:i/>
          <w:color w:val="000000"/>
          <w:sz w:val="24"/>
        </w:rPr>
        <w:t>The World Bank Economic Review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36</w:t>
      </w:r>
      <w:r>
        <w:rPr>
          <w:rFonts w:ascii="Times New Roman" w:hAnsi="Times New Roman"/>
          <w:b w:val="0"/>
          <w:i w:val="0"/>
          <w:color w:val="000000"/>
          <w:sz w:val="24"/>
        </w:rPr>
        <w:t>(2), 487–507. doi:10.1093/wber/lhab025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Mattoo, A., Rocha, N., &amp; Ruta, M. (Eds.). (2020). </w:t>
      </w:r>
      <w:r>
        <w:rPr>
          <w:rFonts w:ascii="Times New Roman" w:hAnsi="Times New Roman"/>
          <w:b w:val="0"/>
          <w:i/>
          <w:color w:val="000000"/>
          <w:sz w:val="24"/>
        </w:rPr>
        <w:t>Handbook of deep trade agreements</w:t>
      </w:r>
      <w:r>
        <w:rPr>
          <w:rFonts w:ascii="Times New Roman" w:hAnsi="Times New Roman"/>
          <w:b w:val="0"/>
          <w:i w:val="0"/>
          <w:color w:val="000000"/>
          <w:sz w:val="24"/>
        </w:rPr>
        <w:t>. Washington, DC: World Bank. doi:10.1596/978-1-4648-1539-3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Melitz, M. J. (2003). The impact of trade on intra-industry reallocations and aggregate industry productivity. </w:t>
      </w:r>
      <w:r>
        <w:rPr>
          <w:rFonts w:ascii="Times New Roman" w:hAnsi="Times New Roman"/>
          <w:b w:val="0"/>
          <w:i/>
          <w:color w:val="000000"/>
          <w:sz w:val="24"/>
        </w:rPr>
        <w:t>Econometrica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71</w:t>
      </w:r>
      <w:r>
        <w:rPr>
          <w:rFonts w:ascii="Times New Roman" w:hAnsi="Times New Roman"/>
          <w:b w:val="0"/>
          <w:i w:val="0"/>
          <w:color w:val="000000"/>
          <w:sz w:val="24"/>
        </w:rPr>
        <w:t>(6), 1695–1725. doi:10.1111/1468-0262.00467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Nitsch, V. (2009). Die another day: Duration in German import trade. </w:t>
      </w:r>
      <w:r>
        <w:rPr>
          <w:rFonts w:ascii="Times New Roman" w:hAnsi="Times New Roman"/>
          <w:b w:val="0"/>
          <w:i/>
          <w:color w:val="000000"/>
          <w:sz w:val="24"/>
        </w:rPr>
        <w:t>Review of World Economics/Weltwirtschaftliches Archiv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145</w:t>
      </w:r>
      <w:r>
        <w:rPr>
          <w:rFonts w:ascii="Times New Roman" w:hAnsi="Times New Roman"/>
          <w:b w:val="0"/>
          <w:i w:val="0"/>
          <w:color w:val="000000"/>
          <w:sz w:val="24"/>
        </w:rPr>
        <w:t>(1), 133–154. doi:10.1007/s10290-009-0008-3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Novy, D., &amp; Taylor, A. M. (2020). Trade and uncertainty. </w:t>
      </w:r>
      <w:r>
        <w:rPr>
          <w:rFonts w:ascii="Times New Roman" w:hAnsi="Times New Roman"/>
          <w:b w:val="0"/>
          <w:i/>
          <w:color w:val="000000"/>
          <w:sz w:val="24"/>
        </w:rPr>
        <w:t>Review of Economics and Statistics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102</w:t>
      </w:r>
      <w:r>
        <w:rPr>
          <w:rFonts w:ascii="Times New Roman" w:hAnsi="Times New Roman"/>
          <w:b w:val="0"/>
          <w:i w:val="0"/>
          <w:color w:val="000000"/>
          <w:sz w:val="24"/>
        </w:rPr>
        <w:t>(4), 749–765. doi:10.1162/rest_a_00885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Nunn, N. (2007). Relationship-specificity, incomplete contracts, and the pattern of trade. </w:t>
      </w:r>
      <w:r>
        <w:rPr>
          <w:rFonts w:ascii="Times New Roman" w:hAnsi="Times New Roman"/>
          <w:b w:val="0"/>
          <w:i/>
          <w:color w:val="000000"/>
          <w:sz w:val="24"/>
        </w:rPr>
        <w:t>Quarterly Journal of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122</w:t>
      </w:r>
      <w:r>
        <w:rPr>
          <w:rFonts w:ascii="Times New Roman" w:hAnsi="Times New Roman"/>
          <w:b w:val="0"/>
          <w:i w:val="0"/>
          <w:color w:val="000000"/>
          <w:sz w:val="24"/>
        </w:rPr>
        <w:t>(2), 569–600. doi:10.1162/qjec.122.2.569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Obashi, A. (2010). Stability of production networks in East Asia: Duration of the trade in parts and components. </w:t>
      </w:r>
      <w:r>
        <w:rPr>
          <w:rFonts w:ascii="Times New Roman" w:hAnsi="Times New Roman"/>
          <w:b w:val="0"/>
          <w:i/>
          <w:color w:val="000000"/>
          <w:sz w:val="24"/>
        </w:rPr>
        <w:t>The World Economy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33</w:t>
      </w:r>
      <w:r>
        <w:rPr>
          <w:rFonts w:ascii="Times New Roman" w:hAnsi="Times New Roman"/>
          <w:b w:val="0"/>
          <w:i w:val="0"/>
          <w:color w:val="000000"/>
          <w:sz w:val="24"/>
        </w:rPr>
        <w:t>(5), 684–703. doi:10.1111/j.1467-9701.2010.01258.x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Orefice, G., &amp; Rocha, N. (2014). Deep integration and production networks: An empirical analysis. </w:t>
      </w:r>
      <w:r>
        <w:rPr>
          <w:rFonts w:ascii="Times New Roman" w:hAnsi="Times New Roman"/>
          <w:b w:val="0"/>
          <w:i/>
          <w:color w:val="000000"/>
          <w:sz w:val="24"/>
        </w:rPr>
        <w:t>The World Economy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37</w:t>
      </w:r>
      <w:r>
        <w:rPr>
          <w:rFonts w:ascii="Times New Roman" w:hAnsi="Times New Roman"/>
          <w:b w:val="0"/>
          <w:i w:val="0"/>
          <w:color w:val="000000"/>
          <w:sz w:val="24"/>
        </w:rPr>
        <w:t>(1), 106–136. doi:10.1111/twec.12076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Osnago, A., Rocha, N., &amp; Ruta, M. (2019). Deep trade agreements and vertical FDI: The devil is in the details. </w:t>
      </w:r>
      <w:r>
        <w:rPr>
          <w:rFonts w:ascii="Times New Roman" w:hAnsi="Times New Roman"/>
          <w:b w:val="0"/>
          <w:i/>
          <w:color w:val="000000"/>
          <w:sz w:val="24"/>
        </w:rPr>
        <w:t>Canadian Journal of Economics/Revue canadienne d'économique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52</w:t>
      </w:r>
      <w:r>
        <w:rPr>
          <w:rFonts w:ascii="Times New Roman" w:hAnsi="Times New Roman"/>
          <w:b w:val="0"/>
          <w:i w:val="0"/>
          <w:color w:val="000000"/>
          <w:sz w:val="24"/>
        </w:rPr>
        <w:t>(4), 1558–1599. doi:10.1111/caje.12411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Rauch, J. E. (1999). Networks versus markets in international trade. </w:t>
      </w:r>
      <w:r>
        <w:rPr>
          <w:rFonts w:ascii="Times New Roman" w:hAnsi="Times New Roman"/>
          <w:b w:val="0"/>
          <w:i/>
          <w:color w:val="000000"/>
          <w:sz w:val="24"/>
        </w:rPr>
        <w:t>Journal of International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48</w:t>
      </w:r>
      <w:r>
        <w:rPr>
          <w:rFonts w:ascii="Times New Roman" w:hAnsi="Times New Roman"/>
          <w:b w:val="0"/>
          <w:i w:val="0"/>
          <w:color w:val="000000"/>
          <w:sz w:val="24"/>
        </w:rPr>
        <w:t>(1), 7–35. doi:10.1016/S0022-1996(98)00009-9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Santos Silva, J. M. C., &amp; Tenreyro, S. (2006). The log of gravity. </w:t>
      </w:r>
      <w:r>
        <w:rPr>
          <w:rFonts w:ascii="Times New Roman" w:hAnsi="Times New Roman"/>
          <w:b w:val="0"/>
          <w:i/>
          <w:color w:val="000000"/>
          <w:sz w:val="24"/>
        </w:rPr>
        <w:t>Review of Economics and Statistics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88</w:t>
      </w:r>
      <w:r>
        <w:rPr>
          <w:rFonts w:ascii="Times New Roman" w:hAnsi="Times New Roman"/>
          <w:b w:val="0"/>
          <w:i w:val="0"/>
          <w:color w:val="000000"/>
          <w:sz w:val="24"/>
        </w:rPr>
        <w:t>(4), 641–658. doi:10.1162/rest.88.4.641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Weidner, M., &amp; Zylkin, T. (2021). Bias and consistency in three-way gravity models. </w:t>
      </w:r>
      <w:r>
        <w:rPr>
          <w:rFonts w:ascii="Times New Roman" w:hAnsi="Times New Roman"/>
          <w:b w:val="0"/>
          <w:i/>
          <w:color w:val="000000"/>
          <w:sz w:val="24"/>
        </w:rPr>
        <w:t>Journal of International Economics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/>
          <w:b w:val="0"/>
          <w:i/>
          <w:color w:val="000000"/>
          <w:sz w:val="24"/>
        </w:rPr>
        <w:t>132</w:t>
      </w:r>
      <w:r>
        <w:rPr>
          <w:rFonts w:ascii="Times New Roman" w:hAnsi="Times New Roman"/>
          <w:b w:val="0"/>
          <w:i w:val="0"/>
          <w:color w:val="000000"/>
          <w:sz w:val="24"/>
        </w:rPr>
        <w:t>, 103513. doi:10.1016/j.jinteco.2021.103513</w:t>
      </w:r>
    </w:p>
    <w:p>
      <w:pPr>
        <w:spacing w:line="360" w:lineRule="auto" w:before="0" w:after="120"/>
        <w:ind w:left="720" w:hanging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Yotov, Y. V., Piermartini, R., Monteiro, J.-A., &amp; Larch, M. (2016). </w:t>
      </w:r>
      <w:r>
        <w:rPr>
          <w:rFonts w:ascii="Times New Roman" w:hAnsi="Times New Roman"/>
          <w:b w:val="0"/>
          <w:i/>
          <w:color w:val="000000"/>
          <w:sz w:val="24"/>
        </w:rPr>
        <w:t>An advanced guide to trade policy analysis: The structural gravity model</w:t>
      </w:r>
      <w:r>
        <w:rPr>
          <w:rFonts w:ascii="Times New Roman" w:hAnsi="Times New Roman"/>
          <w:b w:val="0"/>
          <w:i w:val="0"/>
          <w:color w:val="000000"/>
          <w:sz w:val="24"/>
        </w:rPr>
        <w:t>. Geneva, Switzerland: World Trade Organization.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