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ind w:firstLine="720"/>
        <w:jc w:val="both"/>
      </w:pPr>
      <w:r>
        <w:t>The proliferation of global value chains (GVCs) has transformed international trade, with intermediate goods now accounting for more than half of global trade flows. This vertical fragmentation of production, driven by the pursuit of comparative advantage and efficiency gains, has been heavily facilitated by the rapid expansion of preferential trade agreements (PTAs). Over the past three decades, PTAs have evolved from shallow tariff-reduction treaties into "deep" trade agreements (DTAs) that embed complex, behind-the-border regulatory frameworks spanning investment, competition policy, environmental standards, and intellectual property rights (Hofmann, Osnago, &amp; Ruta, 2017). While deep integration has successfully stimulated supply-chain trade during periods of stability, the contemporary global economy is increasingly characterized by severe and unpredictable geopolitical turbulence. Events such as the 2014 annexation of Crimea, the US-China trade tensions, the COVID-19 pandemic, and the 2022 Russia-Ukraine war have injected unprecedented geopolitical risk (GPR) into the international trading system (Caldara &amp; Iacoviello, 2022). This structural shift raises a critical and unresolved question: do deep trade agreements act as institutional shock absorbers that protect supply chains from geopolitical disruptions, or do they inadvertently heighten vulnerability by fostering rigid, highly integrated production networks that are difficult to decouple?</w:t>
      </w:r>
    </w:p>
    <w:p>
      <w:pPr>
        <w:ind w:firstLine="720"/>
        <w:jc w:val="both"/>
      </w:pPr>
      <w:r>
        <w:t>Existing literature offers conflicting theoretical predictions regarding the conditioning role of trade agreements under uncertainty. On one hand, the incomplete-contracts theory of trade agreements posits that deep institutional commitments reduce transaction costs, prevent opportunistic behavior, and provide a stable legal framework that helps firms weather external shocks (Horn, Maggi, &amp; Staiger, 2010; Limão, 2016). On the other hand, theories of relationship-specific investment and the hold-up problem suggest that by encouraging deeper integration and higher asset specificity, DTAs lock firms into complex interdependencies (Antràs, 2003). When geopolitical shocks disrupt these networks, the very complexity facilitated by DTAs may magnify adjustment costs, rendering these trade links exceptionally fragile.</w:t>
      </w:r>
    </w:p>
    <w:p>
      <w:pPr>
        <w:ind w:firstLine="720"/>
        <w:jc w:val="both"/>
      </w:pPr>
      <w:r>
        <w:t>This paper adjudicates between these competing hypotheses by empirically investigating whether and how the depth of trade agreements conditions the resilience of intermediate-goods supply chains to geopolitical risk. We construct a massive global dataset covering 160 economies and customs territories over the 2007–2023 period, yielding over 16.7 million directed pair–product–year observations. We employ the CEPII BACI database for HS2-level intermediate-goods trade flows, the World Bank DTA database for granular, provision-level agreement depth, and the Caldara and Iacoviello (2022) index for geopolitical risk. Our empirical strategy deploys a structural gravity model estimated via Poisson pseudo-maximum likelihood (PPML) with a rigorous four-dimensional fixed-effect structure (pair–product, exporter–year, importer–year, and product–year) to rigorously isolate the interaction between GPR and DTA depth on both the intensive margin (trade values) and extensive margin (trade-link survival).</w:t>
      </w:r>
    </w:p>
    <w:p>
      <w:pPr>
        <w:ind w:firstLine="720"/>
        <w:jc w:val="both"/>
      </w:pPr>
      <w:r>
        <w:t>Our empirical analysis yields three central findings. First, at the intensive margin, we find no evidence of a uniform institutional-buffering effect. Instead, simple FTA membership exacerbates trade vulnerability: a one-standard-deviation increase in global GPR reduces intermediate-goods trade between FTA partners by 2.38 percent more than between non-FTA partners. This vulnerability is heavily concentrated in complex GVC sectors characterized by high asset specificity (e.g., transport equipment, machinery, textiles), confirming that supply-chain interdependence is the primary transmission channel of geopolitical shocks. However, conditional on FTA membership, deeper institutional commitments—specifically enforceable provisions in environmental standards, competition policy, and research cooperation—provide a partial buffering effect, acting as micro-level shock absorbers that reduce transaction costs during crises.</w:t>
      </w:r>
    </w:p>
    <w:p>
      <w:pPr>
        <w:ind w:firstLine="720"/>
        <w:jc w:val="both"/>
      </w:pPr>
      <w:r>
        <w:t>Second, at the extensive margin, deep agreements systematically accelerate the destruction of trade links under geopolitical stress. We document that each additional ten legally enforceable provisions reduce the survival probability of an established trade link by 0.52 percentage points following a 1 SD increase in GPR. This finding reveals a fixed-cost adjustment mechanism: the heavy compliance burden of deep agreements renders marginal trade links unprofitable when geopolitical uncertainty depresses the expected value of future trade. Third, our post-exit recovery analysis demonstrates that this destruction is not permanent hysteresis. While institutional complexity delays re-entry in the short term, it facilitates full recovery over a two-year horizon, converting permanent trade destruction into a transitory adjustment friction.</w:t>
      </w:r>
    </w:p>
    <w:p>
      <w:pPr>
        <w:ind w:firstLine="720"/>
        <w:jc w:val="both"/>
      </w:pPr>
      <w:r>
        <w:t>This study makes two distinct contributions to the literature. First, we contribute to the burgeoning literature on geopolitical risk and trade (e.g., Caldara &amp; Iacoviello, 2022; Camps &amp; Ruta, 2024) by demonstrating that the trade-destroying effects of GPR are not homogeneous but are fundamentally conditioned by the pre-existing institutional architecture governing bilateral relations. Second, we advance the literature on deep trade agreements (Mattoo, Rocha, &amp; Ruta, 2020) by unbundling the heterogeneous effects of DTAs across intensive and extensive margins, and across aggregate depth versus specific policy provisions. We provide the first micro-founded evidence that while deep integration increases aggregate vulnerability through supply-chain interdependence, specific behind-the-border regulatory frameworks offer crucial institutional insurance against geopolitical turbulence.</w:t>
      </w:r>
    </w:p>
    <w:p>
      <w:pPr>
        <w:ind w:firstLine="720"/>
        <w:jc w:val="both"/>
      </w:pPr>
      <w:r>
        <w:t>The remainder of the paper is organized as follows. Section 2 reviews the literature and develops our testable hypotheses. Section 3 describes the data and empirical methodology. Section 4 presents the empirical results, mechanism analysis, and robustness checks. Section 5 concludes and discusses policy implications.</w:t>
      </w:r>
    </w:p>
    <w:p>
      <w:pPr>
        <w:pStyle w:val="Heading1"/>
      </w:pPr>
      <w:r>
        <w:t>2. Literature Review and Hypothesis Development</w:t>
      </w:r>
    </w:p>
    <w:p>
      <w:pPr>
        <w:ind w:firstLine="720"/>
        <w:jc w:val="both"/>
      </w:pPr>
      <w:r>
        <w:t>Our research connects three strands of literature: the impact of geopolitical risk on global value chains, the institutional economics of deep trade agreements, and the dynamics of trade-link survival under uncertainty.</w:t>
      </w:r>
    </w:p>
    <w:p>
      <w:pPr>
        <w:pStyle w:val="Heading2"/>
      </w:pPr>
      <w:r>
        <w:t>2.1. Geopolitical Risk and Supply-Chain Interdependence</w:t>
      </w:r>
    </w:p>
    <w:p>
      <w:pPr>
        <w:ind w:firstLine="720"/>
        <w:jc w:val="both"/>
      </w:pPr>
      <w:r>
        <w:t>A rapidly expanding literature establishes that geopolitical risk severely disrupts international trade and investment (Caldara &amp; Iacoviello, 2022; Julio &amp; Yook, 2012). Unlike general macroeconomic uncertainty, geopolitical shocks often involve the sudden imposition of trade barriers, sanctions, and physical supply-chain disruptions. For trade in intermediate goods, the impact of these shocks is magnified by the structure of global value chains. Theories of firm boundaries and incomplete contracts (Antràs, 2003; Antràs &amp; Helpman, 2004) emphasize that GVCs rely heavily on relationship-specific investments and customized inputs that cannot be easily substituted on spot markets. When geopolitical events threaten the continuity of cross-border transactions, firms face the classic hold-up problem, leading to underinvestment and trade collapse.</w:t>
      </w:r>
    </w:p>
    <w:p>
      <w:pPr>
        <w:ind w:firstLine="720"/>
        <w:jc w:val="both"/>
      </w:pPr>
      <w:r>
        <w:t>Because preferential trade agreements, even shallow ones, actively encourage the formation of these complex, vertically fragmented production networks (Orefice &amp; Rocha, 2014), FTA-covered trade inherently embodies higher asset specificity than non-preferential trade. Consequently, while FTAs promote efficiency during tranquil periods, they inadvertently increase exposure to geopolitical disruptions. We therefore hypothesize that the baseline interaction between GPR and FTA membership is negative, driven by sectors with high supply-chain complexity.</w:t>
      </w:r>
    </w:p>
    <w:p>
      <w:pPr>
        <w:ind w:firstLine="720"/>
        <w:jc w:val="both"/>
      </w:pPr>
      <w:r>
        <w:t>Hypothesis 1 (H1): Intermediate-goods trade between FTA partners is more negatively affected by geopolitical risk than trade between non-FTA partners due to higher supply-chain interdependence.</w:t>
      </w:r>
    </w:p>
    <w:p>
      <w:pPr>
        <w:pStyle w:val="Heading2"/>
      </w:pPr>
      <w:r>
        <w:t>2.2. The Conditioning Role of Deep Trade Agreements</w:t>
      </w:r>
    </w:p>
    <w:p>
      <w:pPr>
        <w:ind w:firstLine="720"/>
        <w:jc w:val="both"/>
      </w:pPr>
      <w:r>
        <w:t>The second strand of literature examines the design and economic consequences of deep trade agreements. Modern DTAs transcend traditional tariff reductions to include legally enforceable commitments on investment, competition, intellectual property, and environmental standards (Hofmann et al., 2017; Mattoo et al., 2020). From an institutional economics perspective, trade agreements are incomplete contracts designed to prevent governments from imposing beggar-thy-neighbor policies (Horn, Maggi, &amp; Staiger, 2010). Deep provisions create durable institutional infrastructure—such as joint regulatory agencies, transparency requirements, and dispute settlement mechanisms—that reduces information asymmetries and curtails opportunistic behavior by states (Limão, 2016).</w:t>
      </w:r>
    </w:p>
    <w:p>
      <w:pPr>
        <w:ind w:firstLine="720"/>
        <w:jc w:val="both"/>
      </w:pPr>
      <w:r>
        <w:t>During periods of high geopolitical risk, the temptation for governments to suddenly alter regulations, expropriate investments, or favor domestic suppliers increases dramatically. In this context, the deep institutional architecture of DTAs acts as a credible commitment device that anchors policy expectations and reduces the transaction costs of maintaining trade relationships under heightened uncertainty. We thus posit that, conditional on the vulnerability created by basic FTA integration, the depth of the agreement exerts a positive buffering effect.</w:t>
      </w:r>
    </w:p>
    <w:p>
      <w:pPr>
        <w:ind w:firstLine="720"/>
        <w:jc w:val="both"/>
      </w:pPr>
      <w:r>
        <w:t>Hypothesis 2 (H2): Conditional on FTA membership, deeper institutional commitments (DTA depth) mitigate the negative impact of geopolitical risk on intermediate-goods trade values.</w:t>
      </w:r>
    </w:p>
    <w:p>
      <w:pPr>
        <w:pStyle w:val="Heading2"/>
      </w:pPr>
      <w:r>
        <w:t>2.3. Extensive Margin and Trade-Link Survival</w:t>
      </w:r>
    </w:p>
    <w:p>
      <w:pPr>
        <w:ind w:firstLine="720"/>
        <w:jc w:val="both"/>
      </w:pPr>
      <w:r>
        <w:t>The final strand of literature focuses on the extensive margin of trade and the survival of bilateral trade links. Firm heterogeneity models with sunk export costs (Melitz, 2003) demonstrate that entering and maintaining a foreign market requires substantial fixed investments. Deep trade agreements, while lowering variable trade costs, often impose significant fixed costs of compliance, such as obtaining rules-of-origin certification, meeting harmonized technical standards, and adapting to joint environmental regulations (Demidova &amp; Krishna, 2008).</w:t>
      </w:r>
    </w:p>
    <w:p>
      <w:pPr>
        <w:ind w:firstLine="720"/>
        <w:jc w:val="both"/>
      </w:pPr>
      <w:r>
        <w:t>Real options theory suggests that when uncertainty rises, firms possess an option value of waiting before committing to irreversible investments (Dixit &amp; Pindyck, 1994). Under geopolitical stress, the expected present value of future trade flows is heavily discounted. For marginal or low-volume trade links, this diminished expected value may no longer cover the high fixed compliance costs mandated by deep agreements, prompting firms to abandon the preferential link. Therefore, we hypothesize that deep agreements accelerate the destruction of marginal trade links during geopolitical crises, operating as a filtering mechanism that prunes weak relationships.</w:t>
      </w:r>
    </w:p>
    <w:p>
      <w:pPr>
        <w:ind w:firstLine="720"/>
        <w:jc w:val="both"/>
      </w:pPr>
      <w:r>
        <w:t>Hypothesis 3 (H3): Deep trade agreements reduce the survival probability of established intermediate-goods trade links under geopolitical risk, as fixed compliance costs outweigh the expected value of marginal relationships.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