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Data and Empirical Strategy</w:t>
      </w:r>
    </w:p>
    <w:p>
      <w:pPr>
        <w:pStyle w:val="Heading2"/>
      </w:pPr>
      <w:r>
        <w:t>3.1. Data and sample construction</w:t>
      </w:r>
    </w:p>
    <w:p>
      <w:pPr>
        <w:ind w:firstLine="720"/>
        <w:jc w:val="both"/>
      </w:pPr>
      <w:r>
        <w:t>This study constructs a comprehensive directed pair–product–year panel spanning the period from 2007 to 2023. We source bilateral intermediate-goods trade flows at the 2-digit Harmonized System (HS2) level from the CEPII BACI database (Gaulier &amp; Zignago, 2010). To isolate trade embedded in global supply chains, we utilize the UN Broad Economic Categories (BEC) classification, restricting our sample exclusively to intermediate inputs. The resulting trade matrix encompasses 160 economies and customs territories, yielding over 16.7 million observations and forming the backbone of our global value chain analysis.</w:t>
      </w:r>
    </w:p>
    <w:p>
      <w:pPr>
        <w:pStyle w:val="Heading2"/>
      </w:pPr>
      <w:r>
        <w:t>3.2. Variable measurement</w:t>
      </w:r>
    </w:p>
    <w:p>
      <w:pPr>
        <w:ind w:firstLine="720"/>
        <w:jc w:val="both"/>
      </w:pPr>
      <w:r>
        <w:t>The primary shock variable, Geopolitical Risk (GPR), is drawn from the Caldara and Iacoviello (2022) index. This text-based metric captures the frequency of newspaper articles discussing geopolitical tensions, military conflicts, and terrorist threats. To facilitate economic interpretation, we use the annual mean of the global GPR index, standardized against its historical 1985–2019 baseline (mean zero, unit variance) so that coefficients represent the effect of a one-standard-deviation shock.</w:t>
      </w:r>
    </w:p>
    <w:p>
      <w:pPr>
        <w:ind w:firstLine="720"/>
        <w:jc w:val="both"/>
      </w:pPr>
      <w:r>
        <w:t>To measure the institutional environment governing bilateral trade, we utilize the World Bank Deep Trade Agreements (DTA) database (Hofmann et al., 2017). Unlike traditional binary FTA indicators, this database catalogs the presence and legal enforceability of up to 52 specific policy areas. Following the literature, we define DTA Depth as the number of legally enforceable provisions within a bilateral agreement, scaled by ten for coefficient readability. This continuous metric captures the intensity of behind-the-border regulatory integration.</w:t>
      </w:r>
    </w:p>
    <w:p>
      <w:pPr>
        <w:pStyle w:val="Heading2"/>
      </w:pPr>
      <w:r>
        <w:t>3.3. Empirical strategy</w:t>
      </w:r>
    </w:p>
    <w:p>
      <w:pPr>
        <w:pStyle w:val="Heading3"/>
      </w:pPr>
      <w:r>
        <w:t>3.3.1. Baseline specification: The intensive margin</w:t>
      </w:r>
    </w:p>
    <w:p>
      <w:pPr>
        <w:ind w:firstLine="720"/>
        <w:jc w:val="both"/>
      </w:pPr>
      <w:r>
        <w:t>To examine how GPR and DTA depth interact to shape the intensive margin of trade, we estimate a structural gravity model using the Poisson pseudo-maximum likelihood (PPML) estimator (Silva &amp; Tenreyro, 2006). PPML naturally accommodates zero trade flows and corrects for heteroskedasticity inherent in trade data. Our baseline specification takes the following form:</w:t>
      </w:r>
    </w:p>
    <w:p>
      <w:pPr>
        <w:ind w:firstLine="720"/>
        <w:jc w:val="both"/>
      </w:pPr>
      <w:r>
        <w:t>Trade_{ijt} = exp[ β_1 (GPR_t × FTA_{ijt}) + β_2 (GPR_t × Depth_{ijt}) + γ_{ij} + α_{it} + θ_{jt} ] × ε_{ijt}</w:t>
      </w:r>
    </w:p>
    <w:p>
      <w:pPr>
        <w:ind w:firstLine="720"/>
        <w:jc w:val="both"/>
      </w:pPr>
      <w:r>
        <w:t>where Trade_{ijt} is the value of intermediate-goods exports from country i to country j in product category k at year t. The coefficients of interest, β_1 and β_2, capture the differential impact of geopolitical shocks on trade pairs governed by FTAs and varying levels of DTA depth. To rigorously identify these interaction effects and mitigate endogeneity, we saturate the model with a four-dimensional fixed-effect structure. Pair–product fixed effects (γ_{ijk}) absorb all time-invariant bilateral frictions (e.g., geographic distance). Crucially, exporter–year (α_{it}) and importer–year (θ_{jt}) fixed effects absorb all domestic macroeconomic shocks and control for time-varying multilateral resistance terms, perfectly aligning the estimation with structural gravity theory (Anderson &amp; van Wincoop, 2003). Standard errors are clustered at the country-pair level.</w:t>
      </w:r>
    </w:p>
    <w:p>
      <w:pPr>
        <w:pStyle w:val="Heading3"/>
      </w:pPr>
      <w:r>
        <w:t>3.3.2. The extensive margin: Trade-link survival</w:t>
      </w:r>
    </w:p>
    <w:p>
      <w:pPr>
        <w:ind w:firstLine="720"/>
        <w:jc w:val="both"/>
      </w:pPr>
      <w:r>
        <w:t>To analyze the extensive margin—specifically the survival of established trade links under geopolitical stress—we extend our empirical framework using a Linear Probability Model (LPM). The dependent variable, Survival_{ijt}, is a binary indicator equal to one if a pair–product link with positive trade in year t−1 remains active (positive trade) in year t, and zero otherwise. This survival model employs the identical four-dimensional fixed-effect structure as the PPML specification, but additionally controls for the lagged natural log of the trade link’s value to account for size-dependent survival probabilities (i.e., larger trade links are inherently less likely to sever). We adapt this LPM framework to model post-exit recovery, examining whether a severed link is re-established within a two-year horizon.</w:t>
      </w:r>
    </w:p>
    <w:p>
      <w:pPr>
        <w:pStyle w:val="Heading3"/>
      </w:pPr>
      <w:r>
        <w:t>3.3.3. Mechanism identification and robustness checks</w:t>
      </w:r>
    </w:p>
    <w:p>
      <w:pPr>
        <w:ind w:firstLine="720"/>
        <w:jc w:val="both"/>
      </w:pPr>
      <w:r>
        <w:t>We employ two primary strategies to identify the underlying transmission mechanisms. First, to isolate the role of supply-chain interdependence, we split the sample by sector based on varying degrees of global value chain complexity and asset specificity. Second, to identify the precise institutional channels that buffer geopolitical shocks, we decompose the aggregate DTA depth index into specific, individual legally enforceable provisions (e.g., environmental standards, competition policy) and evaluate their independent moderating effects.</w:t>
      </w:r>
    </w:p>
    <w:p>
      <w:pPr>
        <w:ind w:firstLine="720"/>
        <w:jc w:val="both"/>
      </w:pPr>
      <w:r>
        <w:t>Finally, we subject our baseline estimates to a battery of robustness checks. To ensure our findings are not driven by specific years or overarching global macroeconomic trends, we estimate a leave-one-year-out jackknife procedure. To verify that our results capture localized exposure to geopolitical risk rather than merely global sentiment, we replace the global GPR index with country-specific GPR indices, constructing bilateral exposure measures that account for the asymmetric impact of geopolitical events on different trading partners.</w:t>
      </w:r>
    </w:p>
    <w:p>
      <w:pPr>
        <w:pStyle w:val="Heading1"/>
      </w:pPr>
      <w:r>
        <w:t>5. Conclusion and Policy Implications</w:t>
      </w:r>
    </w:p>
    <w:p>
      <w:pPr>
        <w:pStyle w:val="Heading2"/>
      </w:pPr>
      <w:r>
        <w:t>5.1. Concluding Remarks</w:t>
      </w:r>
    </w:p>
    <w:p>
      <w:pPr>
        <w:ind w:firstLine="720"/>
        <w:jc w:val="both"/>
      </w:pPr>
      <w:r>
        <w:t>This paper investigates the complex and often counterintuitive role of deep trade agreements in shaping the resilience of intermediate-goods supply chains under geopolitical risk. Using a global panel of 160 economies and a structural gravity framework, we uncover a nuanced tripartite mechanism. First, at the aggregate intensive margin, simple FTA membership does not insulate trade from geopolitical shocks; rather, it exacerbates vulnerability by fostering complex, relationship-specific supply chains that are highly susceptible to hold-up problems. Second, conditional on this vulnerability, deeper institutional commitments—particularly enforceable provisions in environmental standards, competition policy, and research cooperation—serve as micro-level shock absorbers that lower transaction costs and preserve trade values. Finally, at the extensive margin, the heavy fixed compliance costs embedded in deep agreements accelerate the destruction of marginal trade links during crises, though this institutional infrastructure simultaneously facilitates rapid re-entry once the initial shock subsides.</w:t>
      </w:r>
    </w:p>
    <w:p>
      <w:pPr>
        <w:pStyle w:val="Heading2"/>
      </w:pPr>
      <w:r>
        <w:t>5.2. Policy Implications</w:t>
      </w:r>
    </w:p>
    <w:p>
      <w:pPr>
        <w:ind w:firstLine="720"/>
        <w:jc w:val="both"/>
      </w:pPr>
      <w:r>
        <w:t>These findings yield significant policy implications for both governments and corporate strategists navigating an increasingly fragmented global economy.</w:t>
      </w:r>
    </w:p>
    <w:p>
      <w:pPr>
        <w:ind w:firstLine="720"/>
        <w:jc w:val="both"/>
      </w:pPr>
      <w:r>
        <w:t>For policymakers, our results suggest a paradigm shift in trade negotiation strategies. Traditional "shallow" agreements that focus exclusively on tariff reductions actively encourage supply-chain integration without providing the institutional safety nets required to manage geopolitical disruptions. Governments seeking to secure critical supply chains must therefore prioritize "deep" behind-the-border integration. Specifically, negotiating enforceable disciplines on competition policy, technical standards, and institutional cooperation creates the regulatory transparency and dispute-resolution capacity necessary to anchor trade relationships during periods of elevated uncertainty.</w:t>
      </w:r>
    </w:p>
    <w:p>
      <w:pPr>
        <w:ind w:firstLine="720"/>
        <w:jc w:val="both"/>
      </w:pPr>
      <w:r>
        <w:t>For corporate managers, the findings underscore the limitations of relying solely on preferential trade status as a proxy for supply-chain security. While PTAs lower variable trade costs, they inadvertently increase exposure to geopolitical risk by inducing higher asset specificity. Firms must actively diversify their supplier networks or selectively concentrate operations within jurisdictions governed by deep, comprehensive institutional frameworks. The accelerated destruction of marginal trade links within deep agreements also warns managers that during geopolitical crises, the fixed costs of maintaining compliance across multiple preferential regimes may quickly outstrip the expected value of smaller trade corridors.</w:t>
      </w:r>
    </w:p>
    <w:p>
      <w:pPr>
        <w:pStyle w:val="Heading2"/>
      </w:pPr>
      <w:r>
        <w:t>5.3. Limitations and Future Research</w:t>
      </w:r>
    </w:p>
    <w:p>
      <w:pPr>
        <w:ind w:firstLine="720"/>
        <w:jc w:val="both"/>
      </w:pPr>
      <w:r>
        <w:t>Our study is not without limitations, which open promising avenues for future research. First, by utilizing HS2-level product data, our analysis inherently aggregates firm-level heterogeneity. Future research employing transaction-level customs data could more precisely identify how firm size and productivity interact with DTA compliance costs under geopolitical stress. Second, while the Caldara and Iacoviello (2022) index provides a robust aggregate measure of geopolitical risk, distinguishing between specific types of shocks—such as military conflicts versus trade sanctions—could yield more granular insights into the institutional buffering mechanisms of deep trade agreements.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