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(Section 4.1), followed by sectoral heterogeneity analysis that reveals the economic mechanism of global value chain complexity (Section 4.2). We then investigate the specific DTA policy provisions that serve as transmission channels (Section 4.3), before examining the extensive margin through trade-link survival dynamics (Section 4.4) and post-exit recovery patterns (Section 4.5). Finally, we confirm robustness using country-specific geopolitical risk measures (Section 4.6).</w:t>
      </w:r>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jc w:val="center"/>
      </w:pPr>
      <w:r>
        <w:rPr>
          <w:b/>
          <w:i/>
        </w:rPr>
        <w:t>[Insert Table 3 about here]</w:t>
      </w:r>
    </w:p>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3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jc w:val="center"/>
      </w:pPr>
      <w:r>
        <w:rPr>
          <w:b/>
          <w:i/>
        </w:rPr>
        <w:t>[Insert Table 4 and Figure 3 about here]</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Section 4.1, and responds to the recommendation that the paper "better understand the mechanism of the observation."</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jc w:val="center"/>
      </w:pPr>
      <w:r>
        <w:rPr>
          <w:b/>
          <w:i/>
        </w:rPr>
        <w:t>[Insert Appendix Tables A2 and A3 about here]</w:t>
      </w:r>
    </w:p>
    <w:p/>
    <w:p>
      <w:pPr>
        <w:pStyle w:val="Heading2"/>
      </w:pPr>
      <w:r>
        <w:t>4.4. Extensive Margin: Trade-Link Survival Under Geopolitical Stress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
      <w:pPr>
        <w:jc w:val="center"/>
      </w:pPr>
      <w:r>
        <w:rPr>
          <w:b/>
          <w:i/>
        </w:rPr>
        <w:t>[Insert Table 5 about here]</w:t>
      </w:r>
    </w:p>
    <w:p/>
    <w:p>
      <w:pPr>
        <w:pStyle w:val="Heading3"/>
      </w:pPr>
      <w:r>
        <w:t>4.4.1.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jc w:val="center"/>
      </w:pPr>
      <w:r>
        <w:rPr>
          <w:b/>
          <w:i/>
        </w:rPr>
        <w:t>[Insert Table 6 and Figure 4 about here]</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jc w:val="center"/>
      </w:pPr>
      <w:r>
        <w:rPr>
          <w:b/>
          <w:i/>
        </w:rPr>
        <w:t>[Insert Table 7 and Appendix Table A4 about here]</w:t>
      </w:r>
    </w:p>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four shock measures (average: −0.17 pp, p &lt; 0.001; log-average: −0.15 pp, p = 0.002; maximum: −0.20 pp, p &lt; 0.001; restricted global: −0.38 pp, p = 0.001). This robustness across both global and bilateral risk measures confirms that the survival-destroying effect of deep agreements under geopolitical stress is not an artifact of the global GPR index construction.</w:t>
      </w:r>
    </w:p>
    <w:p/>
    <w:p>
      <w:pPr>
        <w:jc w:val="center"/>
      </w:pPr>
      <w:r>
        <w:rPr>
          <w:b/>
          <w:i/>
        </w:rPr>
        <w:t>[Insert Table 8 and Appendix Figure A2 about here]</w:t>
      </w:r>
    </w:p>
    <w:p/>
    <w:p>
      <w:pPr>
        <w:pStyle w:val="Heading2"/>
      </w:pPr>
      <w:r>
        <w:t>4.7. Discussion: Mechanism Synthesis and Policy Implications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 and derive their policy implications.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(Section 4.2)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(Section 4.3)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in Sections 4.4 and 4.5.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(Section 4.4). Critically, the post-exit recovery analysis (Section 4.5) shows that this destruction is not permanent: the institutional infrastructure of deep agreements facilitates re-entry over a two-year horizon, converting what would otherwise be permanent trade destruction into a transitory adjustment.</w:t>
      </w:r>
    </w:p>
    <w:p>
      <w:pPr>
        <w:pStyle w:val="Heading3"/>
      </w:pPr>
      <w:r>
        <w:t>4.7.4. Policy implications</w:t>
      </w:r>
    </w:p>
    <w:p>
      <w:pPr>
        <w:ind w:firstLine="720"/>
      </w:pPr>
      <w:r>
        <w:t>These findings carry three implications for trade policy design in an era of heightened geopolitical uncertainty. First, policymakers should recognize that deeper economic integration through FTAs creates an inherent tension between efficiency and resilience. The traditional trade-creation benefits of preferential agreements must be weighed against the amplified vulnerability to geopolitical disruptions, particularly in complex manufacturing sectors.</w:t>
      </w:r>
    </w:p>
    <w:p>
      <w:pPr>
        <w:ind w:firstLine="720"/>
      </w:pPr>
      <w:r>
        <w:t>Second, the composition of agreement provisions matters more than the sheer number of covered policy areas. Our results suggest that "smart depth"—targeted inclusion of competition policy, environmental standards, and technology cooperation—provides more geopolitical resilience than comprehensive but shallow coverage across many policy domains. Trade negotiators should prioritize enforceable commitments in precisely those areas where opportunistic behavior is most tempting during crises.</w:t>
      </w:r>
    </w:p>
    <w:p>
      <w:pPr>
        <w:ind w:firstLine="720"/>
      </w:pPr>
      <w:r>
        <w:t>Third, the temporal dynamics of post-exit recovery suggest that deep agreements function as "slow stabilizers" rather than immediate shock absorbers. Policymakers should complement deep agreement provisions with faster-acting crisis response mechanisms—such as expedited customs procedures, temporary mutual recognition of certifications, and emergency supplier coordination protocols—to reduce the short-term adjustment friction without sacrificing the long-term institutional benefits of deep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