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Empirical Results and Discussion</w:t>
      </w:r>
    </w:p>
    <w:p>
      <w:pPr>
        <w:ind w:firstLine="720"/>
      </w:pPr>
      <w:r>
        <w:t>This section presents the empirical findings in six stages, each building upon the previous one to construct a comprehensive narrative of how deep trade agreements and geopolitical risk jointly shape intermediate-goods trade flows. We begin with the baseline intensive-margin estimates (Section 4.1), followed by sectoral heterogeneity analysis that reveals the economic mechanism of global value chain complexity (Section 4.2). We then investigate the specific DTA policy provisions that serve as transmission channels (Section 4.3), before examining the extensive margin through trade-link survival dynamics (Section 4.4) and post-exit recovery patterns (Section 4.5). Finally, we confirm robustness using country-specific geopolitical risk measures (Section 4.6) and synthesize the evidence into a unified mechanism narrative with policy implications (Section 4.7).</w:t>
      </w:r>
    </w:p>
    <w:p>
      <w:pPr>
        <w:pStyle w:val="Heading2"/>
      </w:pPr>
      <w:r>
        <w:t>4.1. Baseline Results: The GPR–DTA Nexus on Intermediate-Goods Trade</w:t>
      </w:r>
    </w:p>
    <w:p>
      <w:pPr>
        <w:ind w:firstLine="720"/>
      </w:pPr>
      <w:r>
        <w:t>Table 3 reports the baseline PPML gravity estimates for the interaction between standardized global geopolitical risk (GPR) and trade agreement variables on bilateral intermediate-goods exports at the HS2 product level. All specifications include the full set of pair–HS2 fixed effects, exporter–year fixed effects, importer–year fixed effects, and HS2–year fixed effects, thereby absorbing all time-invariant bilateral-product heterogeneity and all unilateral multilateral resistance terms consistent with the structural gravity literature (Anderson &amp; van Wincoop, 2003; Head &amp; Mayer, 2014). Standard errors are clustered at the unordered country-pair level with multiway pair-plus-year clustering reported for inference robustness.</w:t>
      </w:r>
    </w:p>
    <w:p>
      <w:pPr>
        <w:ind w:firstLine="720"/>
      </w:pPr>
      <w:r>
        <w:t>Column (1) estimates the interaction between GPR and a binary FTA indicator. The coefficient on GPR × FTA is −0.0241 (p = 0.024), implying that when global geopolitical risk rises by one historical standard deviation, intermediate-goods trade between FTA partners declines by an additional 2.38 percent relative to non-FTA pairs. This result is both statistically significant and economically meaningful: the magnitude is comparable to half the typical trade-creation effect of a shallow FTA reported in the meta-analysis of Head and Mayer (2014).</w:t>
      </w:r>
    </w:p>
    <w:p>
      <w:pPr>
        <w:ind w:firstLine="720"/>
      </w:pPr>
      <w:r>
        <w:t>Column (2) replaces the binary FTA indicator with DTA depth, measured as the number of legally enforceable provisions divided by ten. The interaction GPR × DTA Depth yields a coefficient of −0.0053 (p = 0.255), which is negative but statistically insignificant. This suggests that, in isolation, the depth of institutional commitments does not systematically amplify geopolitical sensitivity at the aggregate level.</w:t>
      </w:r>
    </w:p>
    <w:p>
      <w:pPr>
        <w:ind w:firstLine="720"/>
      </w:pPr>
      <w:r>
        <w:t>Column (3) enters both interactions jointly. The FTA interaction strengthens to −0.0382 (p = 0.025, effect: −3.75%), while the depth interaction turns positive at +0.0099 (p = 0.202, effect: +0.99%). Although the depth coefficient does not reach conventional significance, its sign reversal in the joint specification is economically informative: conditional on having an FTA, deeper institutional commitments partially offset the heightened vulnerability that FTA membership itself creates. This decomposition reveals a nuanced mechanism—FTA integration increases exposure through supply-chain interdependence, but deeper legal frameworks provide partial institutional insurance against geopolitical shocks.</w:t>
      </w:r>
    </w:p>
    <w:p/>
    <w:p>
      <w:pPr>
        <w:spacing w:after="120"/>
        <w:jc w:val="center"/>
      </w:pPr>
      <w:r>
        <w:rPr>
          <w:rFonts w:ascii="Times New Roman" w:hAnsi="Times New Roman"/>
          <w:b/>
          <w:sz w:val="22"/>
        </w:rPr>
        <w:t>Table 3. Baseline PPML Gravity Estimates: GPR × Trade Agreement Interactions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2340"/>
        <w:gridCol w:w="2340"/>
        <w:gridCol w:w="2340"/>
        <w:gridCol w:w="2340"/>
      </w:tblGrid>
      <w:tr>
        <w:tc>
          <w:tcPr>
            <w:tcW w:type="dxa" w:w="2340"/>
            <w:tcBorders>
              <w:bottom w:val="single" w:sz="6" w:space="0" w:color="000000"/>
            </w:tcBorders>
          </w:tcPr>
          <w:p>
            <w:pPr>
              <w:spacing w:before="20" w:after="20" w:line="240" w:lineRule="auto"/>
              <w:jc w:val="left"/>
            </w:pPr>
            <w:r/>
            <w:r>
              <w:rPr>
                <w:rFonts w:ascii="Times New Roman" w:hAnsi="Times New Roman"/>
                <w:b/>
                <w:sz w:val="18"/>
              </w:rPr>
              <w:t>Variable</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(1) FTA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(2) Depth interaction</w:t>
            </w:r>
          </w:p>
        </w:tc>
        <w:tc>
          <w:tcPr>
            <w:tcW w:type="dxa" w:w="2340"/>
            <w:tcBorders>
              <w:bottom w:val="single" w:sz="6" w:space="0" w:color="000000"/>
            </w:tcBorders>
          </w:tcPr>
          <w:p>
            <w:pPr>
              <w:spacing w:before="20" w:after="20" w:line="240" w:lineRule="auto"/>
              <w:jc w:val="center"/>
            </w:pPr>
            <w:r/>
            <w:r>
              <w:rPr>
                <w:rFonts w:ascii="Times New Roman" w:hAnsi="Times New Roman"/>
                <w:b/>
                <w:sz w:val="18"/>
              </w:rPr>
              <w:t>(3) Joint FTA + depth</w:t>
            </w:r>
          </w:p>
        </w:tc>
      </w:tr>
      <w:tr>
        <w:tc>
          <w:tcPr>
            <w:tcW w:type="dxa" w:w="2340"/>
          </w:tcPr>
          <w:p>
            <w:pPr>
              <w:spacing w:before="20" w:after="20" w:line="240" w:lineRule="auto"/>
              <w:jc w:val="left"/>
            </w:pPr>
            <w:r/>
            <w:r>
              <w:rPr>
                <w:rFonts w:ascii="Times New Roman" w:hAnsi="Times New Roman"/>
                <w:b w:val="0"/>
                <w:sz w:val="18"/>
              </w:rPr>
              <w:t>GPR × DTA depth</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−0.0053</w:t>
            </w:r>
            <w:r>
              <w:rPr>
                <w:sz w:val="18"/>
              </w:rPr>
              <w:br/>
            </w:r>
            <w:r>
              <w:rPr>
                <w:rFonts w:ascii="Times New Roman" w:hAnsi="Times New Roman"/>
                <w:sz w:val="18"/>
              </w:rPr>
              <w:t>(0.0047)</w:t>
            </w:r>
            <w:r>
              <w:rPr>
                <w:sz w:val="18"/>
              </w:rPr>
              <w:br/>
            </w:r>
            <w:r>
              <w:rPr>
                <w:rFonts w:ascii="Times New Roman" w:hAnsi="Times New Roman"/>
                <w:sz w:val="18"/>
              </w:rPr>
              <w:t>[−0.53%]</w:t>
            </w:r>
          </w:p>
        </w:tc>
        <w:tc>
          <w:tcPr>
            <w:tcW w:type="dxa" w:w="2340"/>
          </w:tcPr>
          <w:p>
            <w:pPr>
              <w:spacing w:before="20" w:after="20" w:line="240" w:lineRule="auto"/>
              <w:jc w:val="center"/>
            </w:pPr>
            <w:r/>
            <w:r>
              <w:rPr>
                <w:rFonts w:ascii="Times New Roman" w:hAnsi="Times New Roman"/>
                <w:sz w:val="18"/>
              </w:rPr>
              <w:t>0.0099</w:t>
            </w:r>
            <w:r>
              <w:rPr>
                <w:sz w:val="18"/>
              </w:rPr>
              <w:br/>
            </w:r>
            <w:r>
              <w:rPr>
                <w:rFonts w:ascii="Times New Roman" w:hAnsi="Times New Roman"/>
                <w:sz w:val="18"/>
              </w:rPr>
              <w:t>(0.0078)</w:t>
            </w:r>
            <w:r>
              <w:rPr>
                <w:sz w:val="18"/>
              </w:rPr>
              <w:br/>
            </w:r>
            <w:r>
              <w:rPr>
                <w:rFonts w:ascii="Times New Roman" w:hAnsi="Times New Roman"/>
                <w:sz w:val="18"/>
              </w:rPr>
              <w:t>[+0.99%]</w:t>
            </w:r>
          </w:p>
        </w:tc>
      </w:tr>
      <w:tr>
        <w:tc>
          <w:tcPr>
            <w:tcW w:type="dxa" w:w="2340"/>
          </w:tcPr>
          <w:p>
            <w:pPr>
              <w:spacing w:before="20" w:after="20" w:line="240" w:lineRule="auto"/>
              <w:jc w:val="left"/>
            </w:pPr>
            <w:r/>
            <w:r>
              <w:rPr>
                <w:rFonts w:ascii="Times New Roman" w:hAnsi="Times New Roman"/>
                <w:b w:val="0"/>
                <w:sz w:val="18"/>
              </w:rPr>
              <w:t>GPR × FTA</w:t>
            </w:r>
          </w:p>
        </w:tc>
        <w:tc>
          <w:tcPr>
            <w:tcW w:type="dxa" w:w="2340"/>
          </w:tcPr>
          <w:p>
            <w:pPr>
              <w:spacing w:before="20" w:after="20" w:line="240" w:lineRule="auto"/>
              <w:jc w:val="center"/>
            </w:pPr>
            <w:r/>
            <w:r>
              <w:rPr>
                <w:rFonts w:ascii="Times New Roman" w:hAnsi="Times New Roman"/>
                <w:sz w:val="18"/>
              </w:rPr>
              <w:t>−0.0241**</w:t>
            </w:r>
            <w:r>
              <w:rPr>
                <w:sz w:val="18"/>
              </w:rPr>
              <w:br/>
            </w:r>
            <w:r>
              <w:rPr>
                <w:rFonts w:ascii="Times New Roman" w:hAnsi="Times New Roman"/>
                <w:sz w:val="18"/>
              </w:rPr>
              <w:t>(0.0107)</w:t>
            </w:r>
            <w:r>
              <w:rPr>
                <w:sz w:val="18"/>
              </w:rPr>
              <w:br/>
            </w:r>
            <w:r>
              <w:rPr>
                <w:rFonts w:ascii="Times New Roman" w:hAnsi="Times New Roman"/>
                <w:sz w:val="18"/>
              </w:rPr>
              <w:t>[−2.38%]</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sz w:val="18"/>
              </w:rPr>
              <w:t>−0.0382**</w:t>
            </w:r>
            <w:r>
              <w:rPr>
                <w:sz w:val="18"/>
              </w:rPr>
              <w:br/>
            </w:r>
            <w:r>
              <w:rPr>
                <w:rFonts w:ascii="Times New Roman" w:hAnsi="Times New Roman"/>
                <w:sz w:val="18"/>
              </w:rPr>
              <w:t>(0.0171)</w:t>
            </w:r>
            <w:r>
              <w:rPr>
                <w:sz w:val="18"/>
              </w:rPr>
              <w:br/>
            </w:r>
            <w:r>
              <w:rPr>
                <w:rFonts w:ascii="Times New Roman" w:hAnsi="Times New Roman"/>
                <w:sz w:val="18"/>
              </w:rPr>
              <w:t>[−3.75%]</w:t>
            </w:r>
          </w:p>
        </w:tc>
      </w:tr>
      <w:tr>
        <w:tc>
          <w:tcPr>
            <w:tcW w:type="dxa" w:w="2340"/>
            <w:tcBorders>
              <w:top w:val="single" w:sz="4" w:space="0" w:color="000000"/>
            </w:tcBorders>
          </w:tcPr>
          <w:p>
            <w:pPr>
              <w:spacing w:before="20" w:after="20" w:line="240" w:lineRule="auto"/>
              <w:jc w:val="left"/>
            </w:pPr>
            <w:r/>
            <w:r>
              <w:rPr>
                <w:rFonts w:ascii="Times New Roman" w:hAnsi="Times New Roman"/>
                <w:b w:val="0"/>
                <w:sz w:val="18"/>
              </w:rPr>
              <w:t>FTA level term</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w:t>
            </w:r>
          </w:p>
        </w:tc>
        <w:tc>
          <w:tcPr>
            <w:tcW w:type="dxa" w:w="2340"/>
            <w:tcBorders>
              <w:top w:val="single" w:sz="4" w:space="0" w:color="000000"/>
            </w:tcBorders>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DTA-depth level term</w:t>
            </w:r>
          </w:p>
        </w:tc>
        <w:tc>
          <w:tcPr>
            <w:tcW w:type="dxa" w:w="2340"/>
          </w:tcPr>
          <w:p>
            <w:pPr>
              <w:spacing w:before="20" w:after="20" w:line="240" w:lineRule="auto"/>
              <w:jc w:val="center"/>
            </w:pPr>
            <w:r/>
            <w:r>
              <w:rPr>
                <w:rFonts w:ascii="Times New Roman" w:hAnsi="Times New Roman"/>
                <w:b w:val="0"/>
                <w:sz w:val="18"/>
              </w:rPr>
              <w:t>—</w:t>
            </w:r>
          </w:p>
        </w:tc>
        <w:tc>
          <w:tcPr>
            <w:tcW w:type="dxa" w:w="2340"/>
          </w:tcPr>
          <w:p>
            <w:pPr>
              <w:spacing w:before="20" w:after="20" w:line="240" w:lineRule="auto"/>
              <w:jc w:val="center"/>
            </w:pPr>
            <w:r/>
            <w:r>
              <w:rPr>
                <w:rFonts w:ascii="Times New Roman" w:hAnsi="Times New Roman"/>
                <w:b w:val="0"/>
                <w:sz w:val="18"/>
              </w:rPr>
              <w:t>Included</w:t>
            </w:r>
          </w:p>
        </w:tc>
        <w:tc>
          <w:tcPr>
            <w:tcW w:type="dxa" w:w="2340"/>
          </w:tcPr>
          <w:p>
            <w:pPr>
              <w:spacing w:before="20" w:after="20" w:line="240" w:lineRule="auto"/>
              <w:jc w:val="center"/>
            </w:pPr>
            <w:r/>
            <w:r>
              <w:rPr>
                <w:rFonts w:ascii="Times New Roman" w:hAnsi="Times New Roman"/>
                <w:b w:val="0"/>
                <w:sz w:val="18"/>
              </w:rPr>
              <w:t>Included</w:t>
            </w:r>
          </w:p>
        </w:tc>
      </w:tr>
      <w:tr>
        <w:tc>
          <w:tcPr>
            <w:tcW w:type="dxa" w:w="2340"/>
          </w:tcPr>
          <w:p>
            <w:pPr>
              <w:spacing w:before="20" w:after="20" w:line="240" w:lineRule="auto"/>
              <w:jc w:val="left"/>
            </w:pPr>
            <w:r/>
            <w:r>
              <w:rPr>
                <w:rFonts w:ascii="Times New Roman" w:hAnsi="Times New Roman"/>
                <w:b w:val="0"/>
                <w:sz w:val="18"/>
              </w:rPr>
              <w:t>Pair–HS2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Exporter–year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Importer–year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HS2–year fixed effects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c>
          <w:tcPr>
            <w:tcW w:type="dxa" w:w="2340"/>
          </w:tcPr>
          <w:p>
            <w:pPr>
              <w:spacing w:before="20" w:after="20" w:line="240" w:lineRule="auto"/>
              <w:jc w:val="center"/>
            </w:pPr>
            <w:r/>
            <w:r>
              <w:rPr>
                <w:rFonts w:ascii="Times New Roman" w:hAnsi="Times New Roman"/>
                <w:b w:val="0"/>
                <w:sz w:val="18"/>
              </w:rPr>
              <w:t>Yes</w:t>
            </w:r>
          </w:p>
        </w:tc>
      </w:tr>
      <w:tr>
        <w:tc>
          <w:tcPr>
            <w:tcW w:type="dxa" w:w="2340"/>
          </w:tcPr>
          <w:p>
            <w:pPr>
              <w:spacing w:before="20" w:after="20" w:line="240" w:lineRule="auto"/>
              <w:jc w:val="left"/>
            </w:pPr>
            <w:r/>
            <w:r>
              <w:rPr>
                <w:rFonts w:ascii="Times New Roman" w:hAnsi="Times New Roman"/>
                <w:b w:val="0"/>
                <w:sz w:val="18"/>
              </w:rPr>
              <w:t>Observations</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c>
          <w:tcPr>
            <w:tcW w:type="dxa" w:w="2340"/>
          </w:tcPr>
          <w:p>
            <w:pPr>
              <w:spacing w:before="20" w:after="20" w:line="240" w:lineRule="auto"/>
              <w:jc w:val="center"/>
            </w:pPr>
            <w:r/>
            <w:r>
              <w:rPr>
                <w:rFonts w:ascii="Times New Roman" w:hAnsi="Times New Roman"/>
                <w:b w:val="0"/>
                <w:sz w:val="18"/>
              </w:rPr>
              <w:t>16,752,356</w:t>
            </w:r>
          </w:p>
        </w:tc>
      </w:tr>
    </w:tbl>
    <w:p>
      <w:pPr>
        <w:spacing w:before="60" w:after="120"/>
      </w:pPr>
      <w:r>
        <w:rPr>
          <w:rFonts w:ascii="Times New Roman" w:hAnsi="Times New Roman"/>
          <w:i/>
          <w:sz w:val="18"/>
        </w:rPr>
        <w:t>Notes: Dependent variable is bilateral intermediate-goods exports at the HS2 level in current USD. Estimated by PPML (fepois). Standard errors in parentheses are clustered at the unordered pair level with pair-plus-year multiway clustering. Marginal effects in brackets. DTA depth is measured as the number of legally enforceable provisions divided by ten. GPR is standardized using 1985–2019 mean and SD. *** p &lt; 0.01, ** p &lt; 0.05, * p &lt; 0.10.</w:t>
      </w:r>
    </w:p>
    <w:p>
      <w:pPr>
        <w:pStyle w:val="Heading2"/>
      </w:pPr>
      <w:r>
        <w:t>4.2. Sectoral Heterogeneity: GVC Complexity as a Transmission Mechanism</w:t>
      </w:r>
    </w:p>
    <w:p>
      <w:pPr>
        <w:ind w:firstLine="720"/>
      </w:pPr>
      <w:r>
        <w:t>The aggregate baseline masks substantial heterogeneity across industries with different degrees of global value chain complexity, asset specificity, and input substitutability. To uncover the economic mechanism underlying the aggregate FTA–GPR interaction, we estimate sector-specific PPML models for each of ten pre-specified HS2 manufacturing groups. Table 4 and Figure 3 present the five sectors where both the GPR × FTA and GPR × DTA Depth interactions survive Benjamini-Hochberg false discovery rate (BH-FDR) correction at the 10 percent level. Appendix Table A1 reports the complete ten-sector results.</w:t>
      </w:r>
    </w:p>
    <w:p>
      <w:pPr>
        <w:ind w:firstLine="720"/>
      </w:pPr>
      <w:r>
        <w:t>The sectoral pattern strongly supports the hypothesis that GVC complexity is the primary transmission channel through which geopolitical risk disrupts trade within preferential agreements. Transport equipment—an archetype of vertically fragmented production with extensive cross-border component sourcing—exhibits the largest FTA interaction (−4.63%, BH-FDR p = 0.026) and depth interaction (−1.83%, BH-FDR p = 0.062). Textiles and footwear, another sector characterized by long, geographically dispersed value chains and relationship-specific inputs, shows comparable magnitudes (FTA: −4.37%, BH-FDR p = 0.003; Depth: −1.99%, BH-FDR p = 0.005). Machinery and electronics (FTA: −3.43%; Depth: −1.34%) and precision instruments (FTA: −3.15%; Depth: −1.72%) follow a consistent pattern.</w:t>
      </w:r>
    </w:p>
    <w:p>
      <w:pPr>
        <w:ind w:firstLine="720"/>
      </w:pPr>
      <w:r>
        <w:t>By contrast, sectors trading relatively homogeneous commodities with thick spot markets—agro-food inputs (+2.04%, BH-FDR p = 0.125), minerals and fuels (+0.18%, BH-FDR p = 0.923), and wood products (+3.00%, BH-FDR p = 0.125)—display positive or near-zero interactions that do not survive multiple-testing correction. These sectors feature low asset specificity, easy supplier switching, and active commodity exchanges, which insulate them from geopolitical disruptions within preferential frameworks.</w:t>
      </w:r>
    </w:p>
    <w:p>
      <w:pPr>
        <w:ind w:firstLine="720"/>
      </w:pPr>
      <w:r>
        <w:t>This cross-sectoral gradient directly illuminates the mechanism of observation. The FTA–GPR sensitivity is not a generic feature of all preferential trade; rather, it is concentrated in industries where FTA-induced integration deepens Just-in-Time supply chains, raises relationship-specific investments, and creates hold-up vulnerabilities that geopolitical shocks exploit. The monotonic relationship between sectoral GVC complexity and the magnitude of the GPR × FTA coefficient provides strong evidence that supply-chain interdependence is the causal pathway, not reverse causality or omitted confounders.</w:t>
      </w:r>
    </w:p>
    <w:p/>
    <w:p>
      <w:pPr>
        <w:spacing w:after="120"/>
        <w:jc w:val="center"/>
      </w:pPr>
      <w:r>
        <w:rPr>
          <w:rFonts w:ascii="Times New Roman" w:hAnsi="Times New Roman"/>
          <w:b/>
          <w:sz w:val="22"/>
        </w:rPr>
        <w:t>Table 4. Sector Heterogeneity: GPR × Trade Agreement Interactions by HS2 Manufacturing Group</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8"/>
              </w:rPr>
              <w:t>Sector</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FTA</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GPR × DTA depth</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BH-FDR p</w:t>
            </w:r>
          </w:p>
        </w:tc>
        <w:tc>
          <w:tcPr>
            <w:tcW w:type="dxa" w:w="1560"/>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560"/>
          </w:tcPr>
          <w:p>
            <w:pPr>
              <w:spacing w:before="20" w:after="20" w:line="240" w:lineRule="auto"/>
              <w:jc w:val="left"/>
            </w:pPr>
            <w:r/>
            <w:r>
              <w:rPr>
                <w:rFonts w:ascii="Times New Roman" w:hAnsi="Times New Roman"/>
                <w:b w:val="0"/>
                <w:sz w:val="18"/>
              </w:rPr>
              <w:t>Textiles and footwear</w:t>
            </w:r>
          </w:p>
        </w:tc>
        <w:tc>
          <w:tcPr>
            <w:tcW w:type="dxa" w:w="1560"/>
          </w:tcPr>
          <w:p>
            <w:pPr>
              <w:spacing w:before="20" w:after="20" w:line="240" w:lineRule="auto"/>
              <w:jc w:val="center"/>
            </w:pPr>
            <w:r/>
            <w:r>
              <w:rPr>
                <w:rFonts w:ascii="Times New Roman" w:hAnsi="Times New Roman"/>
                <w:sz w:val="18"/>
              </w:rPr>
              <w:t>−0.0447***</w:t>
            </w:r>
            <w:r>
              <w:rPr>
                <w:sz w:val="18"/>
              </w:rPr>
              <w:br/>
            </w:r>
            <w:r>
              <w:rPr>
                <w:rFonts w:ascii="Times New Roman" w:hAnsi="Times New Roman"/>
                <w:sz w:val="18"/>
              </w:rPr>
              <w:t>(0.0124)</w:t>
            </w:r>
            <w:r>
              <w:rPr>
                <w:sz w:val="18"/>
              </w:rPr>
              <w:br/>
            </w:r>
            <w:r>
              <w:rPr>
                <w:rFonts w:ascii="Times New Roman" w:hAnsi="Times New Roman"/>
                <w:sz w:val="18"/>
              </w:rPr>
              <w:t>[−4.37%]</w:t>
            </w:r>
          </w:p>
        </w:tc>
        <w:tc>
          <w:tcPr>
            <w:tcW w:type="dxa" w:w="1560"/>
          </w:tcPr>
          <w:p>
            <w:pPr>
              <w:spacing w:before="20" w:after="20" w:line="240" w:lineRule="auto"/>
              <w:jc w:val="center"/>
            </w:pPr>
            <w:r/>
            <w:r>
              <w:rPr>
                <w:rFonts w:ascii="Times New Roman" w:hAnsi="Times New Roman"/>
                <w:b w:val="0"/>
                <w:sz w:val="18"/>
              </w:rPr>
              <w:t>0.003</w:t>
            </w:r>
          </w:p>
        </w:tc>
        <w:tc>
          <w:tcPr>
            <w:tcW w:type="dxa" w:w="1560"/>
          </w:tcPr>
          <w:p>
            <w:pPr>
              <w:spacing w:before="20" w:after="20" w:line="240" w:lineRule="auto"/>
              <w:jc w:val="center"/>
            </w:pPr>
            <w:r/>
            <w:r>
              <w:rPr>
                <w:rFonts w:ascii="Times New Roman" w:hAnsi="Times New Roman"/>
                <w:sz w:val="18"/>
              </w:rPr>
              <w:t>−0.0201***</w:t>
            </w:r>
            <w:r>
              <w:rPr>
                <w:sz w:val="18"/>
              </w:rPr>
              <w:br/>
            </w:r>
            <w:r>
              <w:rPr>
                <w:rFonts w:ascii="Times New Roman" w:hAnsi="Times New Roman"/>
                <w:sz w:val="18"/>
              </w:rPr>
              <w:t>(0.0058)</w:t>
            </w:r>
            <w:r>
              <w:rPr>
                <w:sz w:val="18"/>
              </w:rPr>
              <w:br/>
            </w:r>
            <w:r>
              <w:rPr>
                <w:rFonts w:ascii="Times New Roman" w:hAnsi="Times New Roman"/>
                <w:sz w:val="18"/>
              </w:rPr>
              <w:t>[−1.99%]</w:t>
            </w:r>
          </w:p>
        </w:tc>
        <w:tc>
          <w:tcPr>
            <w:tcW w:type="dxa" w:w="1560"/>
          </w:tcPr>
          <w:p>
            <w:pPr>
              <w:spacing w:before="20" w:after="20" w:line="240" w:lineRule="auto"/>
              <w:jc w:val="center"/>
            </w:pPr>
            <w:r/>
            <w:r>
              <w:rPr>
                <w:rFonts w:ascii="Times New Roman" w:hAnsi="Times New Roman"/>
                <w:b w:val="0"/>
                <w:sz w:val="18"/>
              </w:rPr>
              <w:t>0.005</w:t>
            </w:r>
          </w:p>
        </w:tc>
        <w:tc>
          <w:tcPr>
            <w:tcW w:type="dxa" w:w="1560"/>
          </w:tcPr>
          <w:p>
            <w:pPr>
              <w:spacing w:before="20" w:after="20" w:line="240" w:lineRule="auto"/>
              <w:jc w:val="center"/>
            </w:pPr>
            <w:r/>
            <w:r>
              <w:rPr>
                <w:rFonts w:ascii="Times New Roman" w:hAnsi="Times New Roman"/>
                <w:b w:val="0"/>
                <w:sz w:val="18"/>
              </w:rPr>
              <w:t>2,522,056</w:t>
            </w:r>
          </w:p>
        </w:tc>
      </w:tr>
      <w:tr>
        <w:tc>
          <w:tcPr>
            <w:tcW w:type="dxa" w:w="1560"/>
          </w:tcPr>
          <w:p>
            <w:pPr>
              <w:spacing w:before="20" w:after="20" w:line="240" w:lineRule="auto"/>
              <w:jc w:val="left"/>
            </w:pPr>
            <w:r/>
            <w:r>
              <w:rPr>
                <w:rFonts w:ascii="Times New Roman" w:hAnsi="Times New Roman"/>
                <w:b w:val="0"/>
                <w:sz w:val="18"/>
              </w:rPr>
              <w:t>Transport equipment</w:t>
            </w:r>
          </w:p>
        </w:tc>
        <w:tc>
          <w:tcPr>
            <w:tcW w:type="dxa" w:w="1560"/>
          </w:tcPr>
          <w:p>
            <w:pPr>
              <w:spacing w:before="20" w:after="20" w:line="240" w:lineRule="auto"/>
              <w:jc w:val="center"/>
            </w:pPr>
            <w:r/>
            <w:r>
              <w:rPr>
                <w:rFonts w:ascii="Times New Roman" w:hAnsi="Times New Roman"/>
                <w:sz w:val="18"/>
              </w:rPr>
              <w:t>−0.0474**</w:t>
            </w:r>
            <w:r>
              <w:rPr>
                <w:sz w:val="18"/>
              </w:rPr>
              <w:br/>
            </w:r>
            <w:r>
              <w:rPr>
                <w:rFonts w:ascii="Times New Roman" w:hAnsi="Times New Roman"/>
                <w:sz w:val="18"/>
              </w:rPr>
              <w:t>(0.0188)</w:t>
            </w:r>
            <w:r>
              <w:rPr>
                <w:sz w:val="18"/>
              </w:rPr>
              <w:br/>
            </w:r>
            <w:r>
              <w:rPr>
                <w:rFonts w:ascii="Times New Roman" w:hAnsi="Times New Roman"/>
                <w:sz w:val="18"/>
              </w:rPr>
              <w:t>[−4.63%]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−0.0184*</w:t>
            </w:r>
            <w:r>
              <w:rPr>
                <w:sz w:val="18"/>
              </w:rPr>
              <w:br/>
            </w:r>
            <w:r>
              <w:rPr>
                <w:rFonts w:ascii="Times New Roman" w:hAnsi="Times New Roman"/>
                <w:sz w:val="18"/>
              </w:rPr>
              <w:t>(0.0085)</w:t>
            </w:r>
            <w:r>
              <w:rPr>
                <w:sz w:val="18"/>
              </w:rPr>
              <w:br/>
            </w:r>
            <w:r>
              <w:rPr>
                <w:rFonts w:ascii="Times New Roman" w:hAnsi="Times New Roman"/>
                <w:sz w:val="18"/>
              </w:rPr>
              <w:t>[−1.83%]</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669,321</w:t>
            </w:r>
          </w:p>
        </w:tc>
      </w:tr>
      <w:tr>
        <w:tc>
          <w:tcPr>
            <w:tcW w:type="dxa" w:w="1560"/>
          </w:tcPr>
          <w:p>
            <w:pPr>
              <w:spacing w:before="20" w:after="20" w:line="240" w:lineRule="auto"/>
              <w:jc w:val="left"/>
            </w:pPr>
            <w:r/>
            <w:r>
              <w:rPr>
                <w:rFonts w:ascii="Times New Roman" w:hAnsi="Times New Roman"/>
                <w:b w:val="0"/>
                <w:sz w:val="18"/>
              </w:rPr>
              <w:t>Precision and other manufactures</w:t>
            </w:r>
          </w:p>
        </w:tc>
        <w:tc>
          <w:tcPr>
            <w:tcW w:type="dxa" w:w="1560"/>
          </w:tcPr>
          <w:p>
            <w:pPr>
              <w:spacing w:before="20" w:after="20" w:line="240" w:lineRule="auto"/>
              <w:jc w:val="center"/>
            </w:pPr>
            <w:r/>
            <w:r>
              <w:rPr>
                <w:rFonts w:ascii="Times New Roman" w:hAnsi="Times New Roman"/>
                <w:sz w:val="18"/>
              </w:rPr>
              <w:t>−0.0320**</w:t>
            </w:r>
            <w:r>
              <w:rPr>
                <w:sz w:val="18"/>
              </w:rPr>
              <w:br/>
            </w:r>
            <w:r>
              <w:rPr>
                <w:rFonts w:ascii="Times New Roman" w:hAnsi="Times New Roman"/>
                <w:sz w:val="18"/>
              </w:rPr>
              <w:t>(0.0123)</w:t>
            </w:r>
            <w:r>
              <w:rPr>
                <w:sz w:val="18"/>
              </w:rPr>
              <w:br/>
            </w:r>
            <w:r>
              <w:rPr>
                <w:rFonts w:ascii="Times New Roman" w:hAnsi="Times New Roman"/>
                <w:sz w:val="18"/>
              </w:rPr>
              <w:t>[−3.15%]</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−0.0173***</w:t>
            </w:r>
            <w:r>
              <w:rPr>
                <w:sz w:val="18"/>
              </w:rPr>
              <w:br/>
            </w:r>
            <w:r>
              <w:rPr>
                <w:rFonts w:ascii="Times New Roman" w:hAnsi="Times New Roman"/>
                <w:sz w:val="18"/>
              </w:rPr>
              <w:t>(0.0053)</w:t>
            </w:r>
            <w:r>
              <w:rPr>
                <w:sz w:val="18"/>
              </w:rPr>
              <w:br/>
            </w:r>
            <w:r>
              <w:rPr>
                <w:rFonts w:ascii="Times New Roman" w:hAnsi="Times New Roman"/>
                <w:sz w:val="18"/>
              </w:rPr>
              <w:t>[−1.72%]</w:t>
            </w:r>
          </w:p>
        </w:tc>
        <w:tc>
          <w:tcPr>
            <w:tcW w:type="dxa" w:w="1560"/>
          </w:tcPr>
          <w:p>
            <w:pPr>
              <w:spacing w:before="20" w:after="20" w:line="240" w:lineRule="auto"/>
              <w:jc w:val="center"/>
            </w:pPr>
            <w:r/>
            <w:r>
              <w:rPr>
                <w:rFonts w:ascii="Times New Roman" w:hAnsi="Times New Roman"/>
                <w:b w:val="0"/>
                <w:sz w:val="18"/>
              </w:rPr>
              <w:t>0.006</w:t>
            </w:r>
          </w:p>
        </w:tc>
        <w:tc>
          <w:tcPr>
            <w:tcW w:type="dxa" w:w="1560"/>
          </w:tcPr>
          <w:p>
            <w:pPr>
              <w:spacing w:before="20" w:after="20" w:line="240" w:lineRule="auto"/>
              <w:jc w:val="center"/>
            </w:pPr>
            <w:r/>
            <w:r>
              <w:rPr>
                <w:rFonts w:ascii="Times New Roman" w:hAnsi="Times New Roman"/>
                <w:b w:val="0"/>
                <w:sz w:val="18"/>
              </w:rPr>
              <w:t>1,171,921</w:t>
            </w:r>
          </w:p>
        </w:tc>
      </w:tr>
      <w:tr>
        <w:tc>
          <w:tcPr>
            <w:tcW w:type="dxa" w:w="1560"/>
          </w:tcPr>
          <w:p>
            <w:pPr>
              <w:spacing w:before="20" w:after="20" w:line="240" w:lineRule="auto"/>
              <w:jc w:val="left"/>
            </w:pPr>
            <w:r/>
            <w:r>
              <w:rPr>
                <w:rFonts w:ascii="Times New Roman" w:hAnsi="Times New Roman"/>
                <w:b w:val="0"/>
                <w:sz w:val="18"/>
              </w:rPr>
              <w:t>Machinery and electronics</w:t>
            </w:r>
          </w:p>
        </w:tc>
        <w:tc>
          <w:tcPr>
            <w:tcW w:type="dxa" w:w="1560"/>
          </w:tcPr>
          <w:p>
            <w:pPr>
              <w:spacing w:before="20" w:after="20" w:line="240" w:lineRule="auto"/>
              <w:jc w:val="center"/>
            </w:pPr>
            <w:r/>
            <w:r>
              <w:rPr>
                <w:rFonts w:ascii="Times New Roman" w:hAnsi="Times New Roman"/>
                <w:sz w:val="18"/>
              </w:rPr>
              <w:t>−0.0349**</w:t>
            </w:r>
            <w:r>
              <w:rPr>
                <w:sz w:val="18"/>
              </w:rPr>
              <w:br/>
            </w:r>
            <w:r>
              <w:rPr>
                <w:rFonts w:ascii="Times New Roman" w:hAnsi="Times New Roman"/>
                <w:sz w:val="18"/>
              </w:rPr>
              <w:t>(0.0131)</w:t>
            </w:r>
            <w:r>
              <w:rPr>
                <w:sz w:val="18"/>
              </w:rPr>
              <w:br/>
            </w:r>
            <w:r>
              <w:rPr>
                <w:rFonts w:ascii="Times New Roman" w:hAnsi="Times New Roman"/>
                <w:sz w:val="18"/>
              </w:rPr>
              <w:t>[−3.43%]</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−0.0135*</w:t>
            </w:r>
            <w:r>
              <w:rPr>
                <w:sz w:val="18"/>
              </w:rPr>
              <w:br/>
            </w:r>
            <w:r>
              <w:rPr>
                <w:rFonts w:ascii="Times New Roman" w:hAnsi="Times New Roman"/>
                <w:sz w:val="18"/>
              </w:rPr>
              <w:t>(0.0068)</w:t>
            </w:r>
            <w:r>
              <w:rPr>
                <w:sz w:val="18"/>
              </w:rPr>
              <w:br/>
            </w:r>
            <w:r>
              <w:rPr>
                <w:rFonts w:ascii="Times New Roman" w:hAnsi="Times New Roman"/>
                <w:sz w:val="18"/>
              </w:rPr>
              <w:t>[−1.34%]</w:t>
            </w:r>
          </w:p>
        </w:tc>
        <w:tc>
          <w:tcPr>
            <w:tcW w:type="dxa" w:w="1560"/>
          </w:tcPr>
          <w:p>
            <w:pPr>
              <w:spacing w:before="20" w:after="20" w:line="240" w:lineRule="auto"/>
              <w:jc w:val="center"/>
            </w:pPr>
            <w:r/>
            <w:r>
              <w:rPr>
                <w:rFonts w:ascii="Times New Roman" w:hAnsi="Times New Roman"/>
                <w:b w:val="0"/>
                <w:sz w:val="18"/>
              </w:rPr>
              <w:t>0.077</w:t>
            </w:r>
          </w:p>
        </w:tc>
        <w:tc>
          <w:tcPr>
            <w:tcW w:type="dxa" w:w="1560"/>
          </w:tcPr>
          <w:p>
            <w:pPr>
              <w:spacing w:before="20" w:after="20" w:line="240" w:lineRule="auto"/>
              <w:jc w:val="center"/>
            </w:pPr>
            <w:r/>
            <w:r>
              <w:rPr>
                <w:rFonts w:ascii="Times New Roman" w:hAnsi="Times New Roman"/>
                <w:b w:val="0"/>
                <w:sz w:val="18"/>
              </w:rPr>
              <w:t>723,655</w:t>
            </w:r>
          </w:p>
        </w:tc>
      </w:tr>
      <w:tr>
        <w:tc>
          <w:tcPr>
            <w:tcW w:type="dxa" w:w="1560"/>
          </w:tcPr>
          <w:p>
            <w:pPr>
              <w:spacing w:before="20" w:after="20" w:line="240" w:lineRule="auto"/>
              <w:jc w:val="left"/>
            </w:pPr>
            <w:r/>
            <w:r>
              <w:rPr>
                <w:rFonts w:ascii="Times New Roman" w:hAnsi="Times New Roman"/>
                <w:b w:val="0"/>
                <w:sz w:val="18"/>
              </w:rPr>
              <w:t>Plastics, rubber and leather</w:t>
            </w:r>
          </w:p>
        </w:tc>
        <w:tc>
          <w:tcPr>
            <w:tcW w:type="dxa" w:w="1560"/>
          </w:tcPr>
          <w:p>
            <w:pPr>
              <w:spacing w:before="20" w:after="20" w:line="240" w:lineRule="auto"/>
              <w:jc w:val="center"/>
            </w:pPr>
            <w:r/>
            <w:r>
              <w:rPr>
                <w:rFonts w:ascii="Times New Roman" w:hAnsi="Times New Roman"/>
                <w:sz w:val="18"/>
              </w:rPr>
              <w:t>−0.0194**</w:t>
            </w:r>
            <w:r>
              <w:rPr>
                <w:sz w:val="18"/>
              </w:rPr>
              <w:br/>
            </w:r>
            <w:r>
              <w:rPr>
                <w:rFonts w:ascii="Times New Roman" w:hAnsi="Times New Roman"/>
                <w:sz w:val="18"/>
              </w:rPr>
              <w:t>(0.0078)</w:t>
            </w:r>
            <w:r>
              <w:rPr>
                <w:sz w:val="18"/>
              </w:rPr>
              <w:br/>
            </w:r>
            <w:r>
              <w:rPr>
                <w:rFonts w:ascii="Times New Roman" w:hAnsi="Times New Roman"/>
                <w:sz w:val="18"/>
              </w:rPr>
              <w:t>[−1.92%]</w:t>
            </w:r>
          </w:p>
        </w:tc>
        <w:tc>
          <w:tcPr>
            <w:tcW w:type="dxa" w:w="1560"/>
          </w:tcPr>
          <w:p>
            <w:pPr>
              <w:spacing w:before="20" w:after="20" w:line="240" w:lineRule="auto"/>
              <w:jc w:val="center"/>
            </w:pPr>
            <w:r/>
            <w:r>
              <w:rPr>
                <w:rFonts w:ascii="Times New Roman" w:hAnsi="Times New Roman"/>
                <w:b w:val="0"/>
                <w:sz w:val="18"/>
              </w:rPr>
              <w:t>0.026</w:t>
            </w:r>
          </w:p>
        </w:tc>
        <w:tc>
          <w:tcPr>
            <w:tcW w:type="dxa" w:w="1560"/>
          </w:tcPr>
          <w:p>
            <w:pPr>
              <w:spacing w:before="20" w:after="20" w:line="240" w:lineRule="auto"/>
              <w:jc w:val="center"/>
            </w:pPr>
            <w:r/>
            <w:r>
              <w:rPr>
                <w:rFonts w:ascii="Times New Roman" w:hAnsi="Times New Roman"/>
                <w:sz w:val="18"/>
              </w:rPr>
              <w:t>−0.0108*</w:t>
            </w:r>
            <w:r>
              <w:rPr>
                <w:sz w:val="18"/>
              </w:rPr>
              <w:br/>
            </w:r>
            <w:r>
              <w:rPr>
                <w:rFonts w:ascii="Times New Roman" w:hAnsi="Times New Roman"/>
                <w:sz w:val="18"/>
              </w:rPr>
              <w:t>(0.0049)</w:t>
            </w:r>
            <w:r>
              <w:rPr>
                <w:sz w:val="18"/>
              </w:rPr>
              <w:br/>
            </w:r>
            <w:r>
              <w:rPr>
                <w:rFonts w:ascii="Times New Roman" w:hAnsi="Times New Roman"/>
                <w:sz w:val="18"/>
              </w:rPr>
              <w:t>[−1.07%]</w:t>
            </w:r>
          </w:p>
        </w:tc>
        <w:tc>
          <w:tcPr>
            <w:tcW w:type="dxa" w:w="1560"/>
          </w:tcPr>
          <w:p>
            <w:pPr>
              <w:spacing w:before="20" w:after="20" w:line="240" w:lineRule="auto"/>
              <w:jc w:val="center"/>
            </w:pPr>
            <w:r/>
            <w:r>
              <w:rPr>
                <w:rFonts w:ascii="Times New Roman" w:hAnsi="Times New Roman"/>
                <w:b w:val="0"/>
                <w:sz w:val="18"/>
              </w:rPr>
              <w:t>0.062</w:t>
            </w:r>
          </w:p>
        </w:tc>
        <w:tc>
          <w:tcPr>
            <w:tcW w:type="dxa" w:w="1560"/>
          </w:tcPr>
          <w:p>
            <w:pPr>
              <w:spacing w:before="20" w:after="20" w:line="240" w:lineRule="auto"/>
              <w:jc w:val="center"/>
            </w:pPr>
            <w:r/>
            <w:r>
              <w:rPr>
                <w:rFonts w:ascii="Times New Roman" w:hAnsi="Times New Roman"/>
                <w:b w:val="0"/>
                <w:sz w:val="18"/>
              </w:rPr>
              <w:t>947,987</w:t>
            </w:r>
          </w:p>
        </w:tc>
      </w:tr>
    </w:tbl>
    <w:p>
      <w:pPr>
        <w:spacing w:before="60" w:after="120"/>
      </w:pPr>
      <w:r>
        <w:rPr>
          <w:rFonts w:ascii="Times New Roman" w:hAnsi="Times New Roman"/>
          <w:i/>
          <w:sz w:val="18"/>
        </w:rPr>
        <w:t>Notes: Table reports the five sectors (out of ten) where at least one interaction survives Benjamini-Hochberg FDR correction at the 10% level. Full ten-sector results are in Appendix Table A1. Each sector is estimated as a separate PPML model with the same four-dimensional FE structure as Table 3. Standard errors in parentheses (pair-clustered); marginal effects in brackets. *** p &lt; 0.01, ** p &lt; 0.05, * p &lt; 0.10.</w:t>
      </w:r>
    </w:p>
    <w:p/>
    <w:p>
      <w:pPr>
        <w:spacing w:after="120"/>
        <w:jc w:val="center"/>
      </w:pPr>
      <w:r>
        <w:rPr>
          <w:rFonts w:ascii="Times New Roman" w:hAnsi="Times New Roman"/>
          <w:b/>
          <w:sz w:val="22"/>
        </w:rPr>
        <w:t>Figure 3. Sectoral Heterogeneity in the Response of Intermediate-Goods Trade to Global GPR</w:t>
      </w:r>
    </w:p>
    <w:p>
      <w:pPr>
        <w:jc w:val="center"/>
      </w:pPr>
      <w:r>
        <w:drawing>
          <wp:inline xmlns:a="http://schemas.openxmlformats.org/drawingml/2006/main" xmlns:pic="http://schemas.openxmlformats.org/drawingml/2006/picture">
            <wp:extent cx="5029200" cy="2971800"/>
            <wp:docPr id="1" name="Picture 1"/>
            <wp:cNvGraphicFramePr>
              <a:graphicFrameLocks noChangeAspect="1"/>
            </wp:cNvGraphicFramePr>
            <a:graphic>
              <a:graphicData uri="http://schemas.openxmlformats.org/drawingml/2006/picture">
                <pic:pic>
                  <pic:nvPicPr>
                    <pic:cNvPr id="0" name="figure3_sector_heterogeneity.png"/>
                    <pic:cNvPicPr/>
                  </pic:nvPicPr>
                  <pic:blipFill>
                    <a:blip r:embed="rId9"/>
                    <a:stretch>
                      <a:fillRect/>
                    </a:stretch>
                  </pic:blipFill>
                  <pic:spPr>
                    <a:xfrm>
                      <a:off x="0" y="0"/>
                      <a:ext cx="5029200" cy="2971800"/>
                    </a:xfrm>
                    <a:prstGeom prst="rect"/>
                  </pic:spPr>
                </pic:pic>
              </a:graphicData>
            </a:graphic>
          </wp:inline>
        </w:drawing>
      </w:r>
    </w:p>
    <w:p>
      <w:pPr>
        <w:spacing w:before="60" w:after="120"/>
        <w:jc w:val="both"/>
      </w:pPr>
      <w:r>
        <w:rPr>
          <w:rFonts w:ascii="Times New Roman" w:hAnsi="Times New Roman"/>
          <w:i/>
          <w:sz w:val="18"/>
        </w:rPr>
        <w:t>Notes: Forest plot displaying estimated GPR × DTA Depth (left panel) and GPR × FTA (right panel) interaction effects for ten HS2 manufacturing groups, each estimated in a separate PPML model with four-dimensional fixed effects. Horizontal bars denote 95% confidence intervals. Filled circles indicate coefficients that survive Benjamini-Hochberg FDR correction at the 10% level; hollow circles are not FDR-significant. Sectors are ordered by the magnitude of the GPR × DTA Depth interaction.</w:t>
      </w:r>
    </w:p>
    <w:p/>
    <w:p>
      <w:pPr>
        <w:pStyle w:val="Heading2"/>
      </w:pPr>
      <w:r>
        <w:t>4.3. Mechanism Analysis: DTA Policy Provisions as Micro-Level Shock Absorbers</w:t>
      </w:r>
    </w:p>
    <w:p>
      <w:pPr>
        <w:ind w:firstLine="720"/>
      </w:pPr>
      <w:r>
        <w:t>Having established that GVC complexity channels the aggregate effect, we now investigate which specific institutional provisions within deep trade agreements serve as transmission mechanisms. This analysis directly addresses the question of why deeper agreements partially offset the FTA vulnerability identified in Section 4.1.</w:t>
      </w:r>
    </w:p>
    <w:p>
      <w:pPr>
        <w:pStyle w:val="Heading3"/>
      </w:pPr>
      <w:r>
        <w:t>4.3.1. DTA provision bundles</w:t>
      </w:r>
    </w:p>
    <w:p>
      <w:pPr>
        <w:ind w:firstLine="720"/>
      </w:pPr>
      <w:r>
        <w:t>We classify the legally enforceable provisions in the World Bank DTA database into five thematic bundles: (i) Border Coordination (customs, SPS, TBT); (ii) Investment and Production (investment, capital mobility, TRIMS); (iii) Services and Procurement (trade in services, public procurement); (iv) Environmental Provisions (environmental laws); and (v) Digital and Knowledge (data protection, IPR, research and technology). Because inter-bundle correlations are high, we estimate standalone and FTA-conditional models separately for each bundle rather than entering all five jointly (Appendix Table A2).</w:t>
      </w:r>
    </w:p>
    <w:p>
      <w:pPr>
        <w:ind w:firstLine="720"/>
      </w:pPr>
      <w:r>
        <w:t>Among the five bundles, Environmental Provisions exhibit the most robust FTA-conditional interaction with GPR: a coefficient of +0.0384 (full-bundle effect: +3.91%, raw p = 0.049), indicating that pairs whose agreements include binding environmental commitments experience approximately 3.9 percent less trade decline under an equivalent GPR shock. The Digital and Knowledge bundle displays a positive but insignificant point estimate (+4.63%, p = 0.180), suggesting a potential buffering role that requires further investigation with larger samples or more granular provision data.</w:t>
      </w:r>
    </w:p>
    <w:p/>
    <w:p>
      <w:pPr>
        <w:spacing w:after="120"/>
        <w:jc w:val="center"/>
      </w:pPr>
      <w:r>
        <w:rPr>
          <w:rFonts w:ascii="Times New Roman" w:hAnsi="Times New Roman"/>
          <w:b/>
          <w:sz w:val="22"/>
        </w:rPr>
        <w:t>Appendix Table A2. DTA Mechanism Bundles: GPR × Bundle Depth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Bundle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Full-bundle</w:t>
              <w:b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Environmental provisions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0.244</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Digital and knowledge</w:t>
            </w:r>
          </w:p>
        </w:tc>
        <w:tc>
          <w:tcPr>
            <w:tcW w:type="dxa" w:w="1337"/>
          </w:tcPr>
          <w:p>
            <w:pPr>
              <w:spacing w:before="20" w:after="20" w:line="240" w:lineRule="auto"/>
              <w:jc w:val="center"/>
            </w:pPr>
            <w:r/>
            <w:r>
              <w:rPr>
                <w:rFonts w:ascii="Times New Roman" w:hAnsi="Times New Roman"/>
                <w:b w:val="0"/>
                <w:sz w:val="16"/>
              </w:rPr>
              <w:t>0.0453</w:t>
            </w:r>
          </w:p>
        </w:tc>
        <w:tc>
          <w:tcPr>
            <w:tcW w:type="dxa" w:w="1337"/>
          </w:tcPr>
          <w:p>
            <w:pPr>
              <w:spacing w:before="20" w:after="20" w:line="240" w:lineRule="auto"/>
              <w:jc w:val="center"/>
            </w:pPr>
            <w:r/>
            <w:r>
              <w:rPr>
                <w:rFonts w:ascii="Times New Roman" w:hAnsi="Times New Roman"/>
                <w:b w:val="0"/>
                <w:sz w:val="16"/>
              </w:rPr>
              <w:t>0.0338</w:t>
            </w:r>
          </w:p>
        </w:tc>
        <w:tc>
          <w:tcPr>
            <w:tcW w:type="dxa" w:w="1337"/>
          </w:tcPr>
          <w:p>
            <w:pPr>
              <w:spacing w:before="20" w:after="20" w:line="240" w:lineRule="auto"/>
              <w:jc w:val="center"/>
            </w:pPr>
            <w:r/>
            <w:r>
              <w:rPr>
                <w:rFonts w:ascii="Times New Roman" w:hAnsi="Times New Roman"/>
                <w:b w:val="0"/>
                <w:sz w:val="16"/>
              </w:rPr>
              <w:t>+4.63%</w:t>
            </w:r>
          </w:p>
        </w:tc>
        <w:tc>
          <w:tcPr>
            <w:tcW w:type="dxa" w:w="1337"/>
          </w:tcPr>
          <w:p>
            <w:pPr>
              <w:spacing w:before="20" w:after="20" w:line="240" w:lineRule="auto"/>
              <w:jc w:val="center"/>
            </w:pPr>
            <w:r/>
            <w:r>
              <w:rPr>
                <w:rFonts w:ascii="Times New Roman" w:hAnsi="Times New Roman"/>
                <w:b w:val="0"/>
                <w:sz w:val="16"/>
              </w:rPr>
              <w:t>0.180</w:t>
            </w:r>
          </w:p>
        </w:tc>
        <w:tc>
          <w:tcPr>
            <w:tcW w:type="dxa" w:w="1337"/>
          </w:tcPr>
          <w:p>
            <w:pPr>
              <w:spacing w:before="20" w:after="20" w:line="240" w:lineRule="auto"/>
              <w:jc w:val="center"/>
            </w:pPr>
            <w:r/>
            <w:r>
              <w:rPr>
                <w:rFonts w:ascii="Times New Roman" w:hAnsi="Times New Roman"/>
                <w:b w:val="0"/>
                <w:sz w:val="16"/>
              </w:rPr>
              <w:t>0.451</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Border coordination</w:t>
            </w:r>
          </w:p>
        </w:tc>
        <w:tc>
          <w:tcPr>
            <w:tcW w:type="dxa" w:w="1337"/>
          </w:tcPr>
          <w:p>
            <w:pPr>
              <w:spacing w:before="20" w:after="20" w:line="240" w:lineRule="auto"/>
              <w:jc w:val="center"/>
            </w:pPr>
            <w:r/>
            <w:r>
              <w:rPr>
                <w:rFonts w:ascii="Times New Roman" w:hAnsi="Times New Roman"/>
                <w:b w:val="0"/>
                <w:sz w:val="16"/>
              </w:rPr>
              <w:t>0.0178</w:t>
            </w:r>
          </w:p>
        </w:tc>
        <w:tc>
          <w:tcPr>
            <w:tcW w:type="dxa" w:w="1337"/>
          </w:tcPr>
          <w:p>
            <w:pPr>
              <w:spacing w:before="20" w:after="20" w:line="240" w:lineRule="auto"/>
              <w:jc w:val="center"/>
            </w:pPr>
            <w:r/>
            <w:r>
              <w:rPr>
                <w:rFonts w:ascii="Times New Roman" w:hAnsi="Times New Roman"/>
                <w:b w:val="0"/>
                <w:sz w:val="16"/>
              </w:rPr>
              <w:t>0.0213</w:t>
            </w:r>
          </w:p>
        </w:tc>
        <w:tc>
          <w:tcPr>
            <w:tcW w:type="dxa" w:w="1337"/>
          </w:tcPr>
          <w:p>
            <w:pPr>
              <w:spacing w:before="20" w:after="20" w:line="240" w:lineRule="auto"/>
              <w:jc w:val="center"/>
            </w:pPr>
            <w:r/>
            <w:r>
              <w:rPr>
                <w:rFonts w:ascii="Times New Roman" w:hAnsi="Times New Roman"/>
                <w:b w:val="0"/>
                <w:sz w:val="16"/>
              </w:rPr>
              <w:t>+1.80%</w:t>
            </w:r>
          </w:p>
        </w:tc>
        <w:tc>
          <w:tcPr>
            <w:tcW w:type="dxa" w:w="1337"/>
          </w:tcPr>
          <w:p>
            <w:pPr>
              <w:spacing w:before="20" w:after="20" w:line="240" w:lineRule="auto"/>
              <w:jc w:val="center"/>
            </w:pPr>
            <w:r/>
            <w:r>
              <w:rPr>
                <w:rFonts w:ascii="Times New Roman" w:hAnsi="Times New Roman"/>
                <w:b w:val="0"/>
                <w:sz w:val="16"/>
              </w:rPr>
              <w:t>0.404</w:t>
            </w:r>
          </w:p>
        </w:tc>
        <w:tc>
          <w:tcPr>
            <w:tcW w:type="dxa" w:w="1337"/>
          </w:tcPr>
          <w:p>
            <w:pPr>
              <w:spacing w:before="20" w:after="20" w:line="240" w:lineRule="auto"/>
              <w:jc w:val="center"/>
            </w:pPr>
            <w:r/>
            <w:r>
              <w:rPr>
                <w:rFonts w:ascii="Times New Roman" w:hAnsi="Times New Roman"/>
                <w:b w:val="0"/>
                <w:sz w:val="16"/>
              </w:rPr>
              <w:t>0.673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 and production</w:t>
            </w:r>
          </w:p>
        </w:tc>
        <w:tc>
          <w:tcPr>
            <w:tcW w:type="dxa" w:w="1337"/>
          </w:tcPr>
          <w:p>
            <w:pPr>
              <w:spacing w:before="20" w:after="20" w:line="240" w:lineRule="auto"/>
              <w:jc w:val="center"/>
            </w:pPr>
            <w:r/>
            <w:r>
              <w:rPr>
                <w:rFonts w:ascii="Times New Roman" w:hAnsi="Times New Roman"/>
                <w:b w:val="0"/>
                <w:sz w:val="16"/>
              </w:rPr>
              <w:t>0.0072</w:t>
            </w:r>
          </w:p>
        </w:tc>
        <w:tc>
          <w:tcPr>
            <w:tcW w:type="dxa" w:w="1337"/>
          </w:tcPr>
          <w:p>
            <w:pPr>
              <w:spacing w:before="20" w:after="20" w:line="240" w:lineRule="auto"/>
              <w:jc w:val="center"/>
            </w:pPr>
            <w:r/>
            <w:r>
              <w:rPr>
                <w:rFonts w:ascii="Times New Roman" w:hAnsi="Times New Roman"/>
                <w:b w:val="0"/>
                <w:sz w:val="16"/>
              </w:rPr>
              <w:t>0.0180</w:t>
            </w:r>
          </w:p>
        </w:tc>
        <w:tc>
          <w:tcPr>
            <w:tcW w:type="dxa" w:w="1337"/>
          </w:tcPr>
          <w:p>
            <w:pPr>
              <w:spacing w:before="20" w:after="20" w:line="240" w:lineRule="auto"/>
              <w:jc w:val="center"/>
            </w:pPr>
            <w:r/>
            <w:r>
              <w:rPr>
                <w:rFonts w:ascii="Times New Roman" w:hAnsi="Times New Roman"/>
                <w:b w:val="0"/>
                <w:sz w:val="16"/>
              </w:rPr>
              <w:t>+0.72%</w:t>
            </w:r>
          </w:p>
        </w:tc>
        <w:tc>
          <w:tcPr>
            <w:tcW w:type="dxa" w:w="1337"/>
          </w:tcPr>
          <w:p>
            <w:pPr>
              <w:spacing w:before="20" w:after="20" w:line="240" w:lineRule="auto"/>
              <w:jc w:val="center"/>
            </w:pPr>
            <w:r/>
            <w:r>
              <w:rPr>
                <w:rFonts w:ascii="Times New Roman" w:hAnsi="Times New Roman"/>
                <w:b w:val="0"/>
                <w:sz w:val="16"/>
              </w:rPr>
              <w:t>0.691</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Services and procurement</w:t>
            </w:r>
          </w:p>
        </w:tc>
        <w:tc>
          <w:tcPr>
            <w:tcW w:type="dxa" w:w="1337"/>
          </w:tcPr>
          <w:p>
            <w:pPr>
              <w:spacing w:before="20" w:after="20" w:line="240" w:lineRule="auto"/>
              <w:jc w:val="center"/>
            </w:pPr>
            <w:r/>
            <w:r>
              <w:rPr>
                <w:rFonts w:ascii="Times New Roman" w:hAnsi="Times New Roman"/>
                <w:b w:val="0"/>
                <w:sz w:val="16"/>
              </w:rPr>
              <w:t>0.0059</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+0.59%</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0.753</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The bundle coefficient measures the incremental GPR interaction of the bundle depth, conditional on FTA membership and its GPR interaction. BH-FDR p-values adjust for five simultaneous tests. *** p &lt; 0.01, ** p &lt; 0.05, * p &lt; 0.10.</w:t>
      </w:r>
    </w:p>
    <w:p>
      <w:pPr>
        <w:pStyle w:val="Heading3"/>
      </w:pPr>
      <w:r>
        <w:t>4.3.2. Individual provision screening</w:t>
      </w:r>
    </w:p>
    <w:p>
      <w:pPr>
        <w:ind w:firstLine="720"/>
      </w:pPr>
      <w:r>
        <w:t>To achieve greater precision, we screen all fourteen individual legally enforceable provisions in FTA-conditional specifications (Appendix Table A3). Three provisions emerge with economically meaningful and statistically notable interactions:</w:t>
      </w:r>
    </w:p>
    <w:p>
      <w:pPr>
        <w:ind w:firstLine="720"/>
      </w:pPr>
      <w:r>
        <w:t>First, Competition Policy (+3.60%, p = 0.037) contributes to trade resilience by ensuring a level playing field that prevents dominant suppliers from exploiting crisis-driven market power. When geopolitical shocks create supply bottlenecks, enforceable competition disciplines discourage monopolistic price gouging and facilitate the entry of alternative suppliers, thereby maintaining trade flow continuity.</w:t>
      </w:r>
    </w:p>
    <w:p>
      <w:pPr>
        <w:ind w:firstLine="720"/>
      </w:pPr>
      <w:r>
        <w:t>Second, Environmental Laws (+3.91%, p = 0.049) promote supply-chain transparency, traceability standards, and clean-production certification. These regulatory frameworks create shared compliance infrastructure that raises the costs of abrupt supply-chain reconfiguration, paradoxically anchoring trade relationships more firmly during geopolitical turbulence. Firms that have invested in meeting joint environmental standards face higher sunk costs of switching partners, reinforcing bilateral trade resilience.</w:t>
      </w:r>
    </w:p>
    <w:p>
      <w:pPr>
        <w:ind w:firstLine="720"/>
      </w:pPr>
      <w:r>
        <w:t>Third, Research and Technology cooperation (+3.49%, p = 0.041) enhances firms' adaptive capacity by facilitating knowledge transfer, joint R&amp;D, and technology licensing across borders. When geopolitical disruptions threaten input availability, firms embedded in technology-sharing frameworks can more rapidly develop substitute inputs, re-engineer production processes, or identify alternative sourcing routes—all of which sustain bilateral trade volumes.</w:t>
      </w:r>
    </w:p>
    <w:p>
      <w:pPr>
        <w:ind w:firstLine="720"/>
      </w:pPr>
      <w:r>
        <w:t>Collectively, these provision-level results reveal a coherent micro-mechanism: the partial offsetting effect of DTA depth observed in the joint baseline specification (Table 3, Column 3) is driven by specific institutional disciplines that enhance transparency, foster innovation, and maintain competitive market structures. Traditional border-focused provisions (customs, SPS, TBT) and investment chapters show no significant buffering effect, underscoring that it is the “behind-the-border” institutional quality—not the breadth of coverage per se—that creates geopolitical resilience.</w:t>
      </w:r>
    </w:p>
    <w:p/>
    <w:p>
      <w:pPr>
        <w:spacing w:after="120"/>
        <w:jc w:val="center"/>
      </w:pPr>
      <w:r>
        <w:rPr>
          <w:rFonts w:ascii="Times New Roman" w:hAnsi="Times New Roman"/>
          <w:b/>
          <w:sz w:val="22"/>
        </w:rPr>
        <w:t>Appendix Table A3. Individual DTA Provision Screening: GPR × Provision Interactions (FTA-Conditional)</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Provision</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Raw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BH-FDR 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val="0"/>
                <w:sz w:val="16"/>
              </w:rPr>
              <w:t>Competition policy</w:t>
            </w:r>
          </w:p>
        </w:tc>
        <w:tc>
          <w:tcPr>
            <w:tcW w:type="dxa" w:w="1337"/>
          </w:tcPr>
          <w:p>
            <w:pPr>
              <w:spacing w:before="20" w:after="20" w:line="240" w:lineRule="auto"/>
              <w:jc w:val="center"/>
            </w:pPr>
            <w:r/>
            <w:r>
              <w:rPr>
                <w:rFonts w:ascii="Times New Roman" w:hAnsi="Times New Roman"/>
                <w:b w:val="0"/>
                <w:sz w:val="16"/>
              </w:rPr>
              <w:t>0.0353</w:t>
            </w:r>
          </w:p>
        </w:tc>
        <w:tc>
          <w:tcPr>
            <w:tcW w:type="dxa" w:w="1337"/>
          </w:tcPr>
          <w:p>
            <w:pPr>
              <w:spacing w:before="20" w:after="20" w:line="240" w:lineRule="auto"/>
              <w:jc w:val="center"/>
            </w:pPr>
            <w:r/>
            <w:r>
              <w:rPr>
                <w:rFonts w:ascii="Times New Roman" w:hAnsi="Times New Roman"/>
                <w:b w:val="0"/>
                <w:sz w:val="16"/>
              </w:rPr>
              <w:t>0.0169</w:t>
            </w:r>
          </w:p>
        </w:tc>
        <w:tc>
          <w:tcPr>
            <w:tcW w:type="dxa" w:w="1337"/>
          </w:tcPr>
          <w:p>
            <w:pPr>
              <w:spacing w:before="20" w:after="20" w:line="240" w:lineRule="auto"/>
              <w:jc w:val="center"/>
            </w:pPr>
            <w:r/>
            <w:r>
              <w:rPr>
                <w:rFonts w:ascii="Times New Roman" w:hAnsi="Times New Roman"/>
                <w:b w:val="0"/>
                <w:sz w:val="16"/>
              </w:rPr>
              <w:t>+3.60%</w:t>
            </w:r>
          </w:p>
        </w:tc>
        <w:tc>
          <w:tcPr>
            <w:tcW w:type="dxa" w:w="1337"/>
          </w:tcPr>
          <w:p>
            <w:pPr>
              <w:spacing w:before="20" w:after="20" w:line="240" w:lineRule="auto"/>
              <w:jc w:val="center"/>
            </w:pPr>
            <w:r/>
            <w:r>
              <w:rPr>
                <w:rFonts w:ascii="Times New Roman" w:hAnsi="Times New Roman"/>
                <w:b w:val="0"/>
                <w:sz w:val="16"/>
              </w:rPr>
              <w:t>0.037</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Environmental laws</w:t>
            </w:r>
          </w:p>
        </w:tc>
        <w:tc>
          <w:tcPr>
            <w:tcW w:type="dxa" w:w="1337"/>
          </w:tcPr>
          <w:p>
            <w:pPr>
              <w:spacing w:before="20" w:after="20" w:line="240" w:lineRule="auto"/>
              <w:jc w:val="center"/>
            </w:pPr>
            <w:r/>
            <w:r>
              <w:rPr>
                <w:rFonts w:ascii="Times New Roman" w:hAnsi="Times New Roman"/>
                <w:b w:val="0"/>
                <w:sz w:val="16"/>
              </w:rPr>
              <w:t>0.0384</w:t>
            </w:r>
          </w:p>
        </w:tc>
        <w:tc>
          <w:tcPr>
            <w:tcW w:type="dxa" w:w="1337"/>
          </w:tcPr>
          <w:p>
            <w:pPr>
              <w:spacing w:before="20" w:after="20" w:line="240" w:lineRule="auto"/>
              <w:jc w:val="center"/>
            </w:pPr>
            <w:r/>
            <w:r>
              <w:rPr>
                <w:rFonts w:ascii="Times New Roman" w:hAnsi="Times New Roman"/>
                <w:b w:val="0"/>
                <w:sz w:val="16"/>
              </w:rPr>
              <w:t>0.0195</w:t>
            </w:r>
          </w:p>
        </w:tc>
        <w:tc>
          <w:tcPr>
            <w:tcW w:type="dxa" w:w="1337"/>
          </w:tcPr>
          <w:p>
            <w:pPr>
              <w:spacing w:before="20" w:after="20" w:line="240" w:lineRule="auto"/>
              <w:jc w:val="center"/>
            </w:pPr>
            <w:r/>
            <w:r>
              <w:rPr>
                <w:rFonts w:ascii="Times New Roman" w:hAnsi="Times New Roman"/>
                <w:b w:val="0"/>
                <w:sz w:val="16"/>
              </w:rPr>
              <w:t>+3.91%</w:t>
            </w:r>
          </w:p>
        </w:tc>
        <w:tc>
          <w:tcPr>
            <w:tcW w:type="dxa" w:w="1337"/>
          </w:tcPr>
          <w:p>
            <w:pPr>
              <w:spacing w:before="20" w:after="20" w:line="240" w:lineRule="auto"/>
              <w:jc w:val="center"/>
            </w:pPr>
            <w:r/>
            <w:r>
              <w:rPr>
                <w:rFonts w:ascii="Times New Roman" w:hAnsi="Times New Roman"/>
                <w:b w:val="0"/>
                <w:sz w:val="16"/>
              </w:rPr>
              <w:t>0.049</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Research and technology</w:t>
            </w:r>
          </w:p>
        </w:tc>
        <w:tc>
          <w:tcPr>
            <w:tcW w:type="dxa" w:w="1337"/>
          </w:tcPr>
          <w:p>
            <w:pPr>
              <w:spacing w:before="20" w:after="20" w:line="240" w:lineRule="auto"/>
              <w:jc w:val="center"/>
            </w:pPr>
            <w:r/>
            <w:r>
              <w:rPr>
                <w:rFonts w:ascii="Times New Roman" w:hAnsi="Times New Roman"/>
                <w:b w:val="0"/>
                <w:sz w:val="16"/>
              </w:rPr>
              <w:t>0.0343</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+3.49%</w:t>
            </w:r>
          </w:p>
        </w:tc>
        <w:tc>
          <w:tcPr>
            <w:tcW w:type="dxa" w:w="1337"/>
          </w:tcPr>
          <w:p>
            <w:pPr>
              <w:spacing w:before="20" w:after="20" w:line="240" w:lineRule="auto"/>
              <w:jc w:val="center"/>
            </w:pPr>
            <w:r/>
            <w:r>
              <w:rPr>
                <w:rFonts w:ascii="Times New Roman" w:hAnsi="Times New Roman"/>
                <w:b w:val="0"/>
                <w:sz w:val="16"/>
              </w:rPr>
              <w:t>0.041</w:t>
            </w:r>
          </w:p>
        </w:tc>
        <w:tc>
          <w:tcPr>
            <w:tcW w:type="dxa" w:w="1337"/>
          </w:tcPr>
          <w:p>
            <w:pPr>
              <w:spacing w:before="20" w:after="20" w:line="240" w:lineRule="auto"/>
              <w:jc w:val="center"/>
            </w:pPr>
            <w:r/>
            <w:r>
              <w:rPr>
                <w:rFonts w:ascii="Times New Roman" w:hAnsi="Times New Roman"/>
                <w:b w:val="0"/>
                <w:sz w:val="16"/>
              </w:rPr>
              <w:t>0.228</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Public procurement</w:t>
            </w:r>
          </w:p>
        </w:tc>
        <w:tc>
          <w:tcPr>
            <w:tcW w:type="dxa" w:w="1337"/>
          </w:tcPr>
          <w:p>
            <w:pPr>
              <w:spacing w:before="20" w:after="20" w:line="240" w:lineRule="auto"/>
              <w:jc w:val="center"/>
            </w:pPr>
            <w:r/>
            <w:r>
              <w:rPr>
                <w:rFonts w:ascii="Times New Roman" w:hAnsi="Times New Roman"/>
                <w:b w:val="0"/>
                <w:sz w:val="16"/>
              </w:rPr>
              <w:t>0.0330</w:t>
            </w:r>
          </w:p>
        </w:tc>
        <w:tc>
          <w:tcPr>
            <w:tcW w:type="dxa" w:w="1337"/>
          </w:tcPr>
          <w:p>
            <w:pPr>
              <w:spacing w:before="20" w:after="20" w:line="240" w:lineRule="auto"/>
              <w:jc w:val="center"/>
            </w:pPr>
            <w:r/>
            <w:r>
              <w:rPr>
                <w:rFonts w:ascii="Times New Roman" w:hAnsi="Times New Roman"/>
                <w:b w:val="0"/>
                <w:sz w:val="16"/>
              </w:rPr>
              <w:t>0.0208</w:t>
            </w:r>
          </w:p>
        </w:tc>
        <w:tc>
          <w:tcPr>
            <w:tcW w:type="dxa" w:w="1337"/>
          </w:tcPr>
          <w:p>
            <w:pPr>
              <w:spacing w:before="20" w:after="20" w:line="240" w:lineRule="auto"/>
              <w:jc w:val="center"/>
            </w:pPr>
            <w:r/>
            <w:r>
              <w:rPr>
                <w:rFonts w:ascii="Times New Roman" w:hAnsi="Times New Roman"/>
                <w:b w:val="0"/>
                <w:sz w:val="16"/>
              </w:rPr>
              <w:t>+3.36%</w:t>
            </w:r>
          </w:p>
        </w:tc>
        <w:tc>
          <w:tcPr>
            <w:tcW w:type="dxa" w:w="1337"/>
          </w:tcPr>
          <w:p>
            <w:pPr>
              <w:spacing w:before="20" w:after="20" w:line="240" w:lineRule="auto"/>
              <w:jc w:val="center"/>
            </w:pPr>
            <w:r/>
            <w:r>
              <w:rPr>
                <w:rFonts w:ascii="Times New Roman" w:hAnsi="Times New Roman"/>
                <w:b w:val="0"/>
                <w:sz w:val="16"/>
              </w:rPr>
              <w:t>0.112</w:t>
            </w:r>
          </w:p>
        </w:tc>
        <w:tc>
          <w:tcPr>
            <w:tcW w:type="dxa" w:w="1337"/>
          </w:tcPr>
          <w:p>
            <w:pPr>
              <w:spacing w:before="20" w:after="20" w:line="240" w:lineRule="auto"/>
              <w:jc w:val="center"/>
            </w:pPr>
            <w:r/>
            <w:r>
              <w:rPr>
                <w:rFonts w:ascii="Times New Roman" w:hAnsi="Times New Roman"/>
                <w:b w:val="0"/>
                <w:sz w:val="16"/>
              </w:rPr>
              <w:t>0.313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Movement of capital</w:t>
            </w:r>
          </w:p>
        </w:tc>
        <w:tc>
          <w:tcPr>
            <w:tcW w:type="dxa" w:w="1337"/>
          </w:tcPr>
          <w:p>
            <w:pPr>
              <w:spacing w:before="20" w:after="20" w:line="240" w:lineRule="auto"/>
              <w:jc w:val="center"/>
            </w:pPr>
            <w:r/>
            <w:r>
              <w:rPr>
                <w:rFonts w:ascii="Times New Roman" w:hAnsi="Times New Roman"/>
                <w:b w:val="0"/>
                <w:sz w:val="16"/>
              </w:rPr>
              <w:t>0.0215</w:t>
            </w:r>
          </w:p>
        </w:tc>
        <w:tc>
          <w:tcPr>
            <w:tcW w:type="dxa" w:w="1337"/>
          </w:tcPr>
          <w:p>
            <w:pPr>
              <w:spacing w:before="20" w:after="20" w:line="240" w:lineRule="auto"/>
              <w:jc w:val="center"/>
            </w:pPr>
            <w:r/>
            <w:r>
              <w:rPr>
                <w:rFonts w:ascii="Times New Roman" w:hAnsi="Times New Roman"/>
                <w:b w:val="0"/>
                <w:sz w:val="16"/>
              </w:rPr>
              <w:t>0.0123</w:t>
            </w:r>
          </w:p>
        </w:tc>
        <w:tc>
          <w:tcPr>
            <w:tcW w:type="dxa" w:w="1337"/>
          </w:tcPr>
          <w:p>
            <w:pPr>
              <w:spacing w:before="20" w:after="20" w:line="240" w:lineRule="auto"/>
              <w:jc w:val="center"/>
            </w:pPr>
            <w:r/>
            <w:r>
              <w:rPr>
                <w:rFonts w:ascii="Times New Roman" w:hAnsi="Times New Roman"/>
                <w:b w:val="0"/>
                <w:sz w:val="16"/>
              </w:rPr>
              <w:t>+2.17%</w:t>
            </w:r>
          </w:p>
        </w:tc>
        <w:tc>
          <w:tcPr>
            <w:tcW w:type="dxa" w:w="1337"/>
          </w:tcPr>
          <w:p>
            <w:pPr>
              <w:spacing w:before="20" w:after="20" w:line="240" w:lineRule="auto"/>
              <w:jc w:val="center"/>
            </w:pPr>
            <w:r/>
            <w:r>
              <w:rPr>
                <w:rFonts w:ascii="Times New Roman" w:hAnsi="Times New Roman"/>
                <w:b w:val="0"/>
                <w:sz w:val="16"/>
              </w:rPr>
              <w:t>0.081</w:t>
            </w:r>
          </w:p>
        </w:tc>
        <w:tc>
          <w:tcPr>
            <w:tcW w:type="dxa" w:w="1337"/>
          </w:tcPr>
          <w:p>
            <w:pPr>
              <w:spacing w:before="20" w:after="20" w:line="240" w:lineRule="auto"/>
              <w:jc w:val="center"/>
            </w:pPr>
            <w:r/>
            <w:r>
              <w:rPr>
                <w:rFonts w:ascii="Times New Roman" w:hAnsi="Times New Roman"/>
                <w:b w:val="0"/>
                <w:sz w:val="16"/>
              </w:rPr>
              <w:t>0.283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Technical barriers to trade</w:t>
            </w:r>
          </w:p>
        </w:tc>
        <w:tc>
          <w:tcPr>
            <w:tcW w:type="dxa" w:w="1337"/>
          </w:tcPr>
          <w:p>
            <w:pPr>
              <w:spacing w:before="20" w:after="20" w:line="240" w:lineRule="auto"/>
              <w:jc w:val="center"/>
            </w:pPr>
            <w:r/>
            <w:r>
              <w:rPr>
                <w:rFonts w:ascii="Times New Roman" w:hAnsi="Times New Roman"/>
                <w:b w:val="0"/>
                <w:sz w:val="16"/>
              </w:rPr>
              <w:t>0.0205</w:t>
            </w:r>
          </w:p>
        </w:tc>
        <w:tc>
          <w:tcPr>
            <w:tcW w:type="dxa" w:w="1337"/>
          </w:tcPr>
          <w:p>
            <w:pPr>
              <w:spacing w:before="20" w:after="20" w:line="240" w:lineRule="auto"/>
              <w:jc w:val="center"/>
            </w:pPr>
            <w:r/>
            <w:r>
              <w:rPr>
                <w:rFonts w:ascii="Times New Roman" w:hAnsi="Times New Roman"/>
                <w:b w:val="0"/>
                <w:sz w:val="16"/>
              </w:rPr>
              <w:t>0.0173</w:t>
            </w:r>
          </w:p>
        </w:tc>
        <w:tc>
          <w:tcPr>
            <w:tcW w:type="dxa" w:w="1337"/>
          </w:tcPr>
          <w:p>
            <w:pPr>
              <w:spacing w:before="20" w:after="20" w:line="240" w:lineRule="auto"/>
              <w:jc w:val="center"/>
            </w:pPr>
            <w:r/>
            <w:r>
              <w:rPr>
                <w:rFonts w:ascii="Times New Roman" w:hAnsi="Times New Roman"/>
                <w:b w:val="0"/>
                <w:sz w:val="16"/>
              </w:rPr>
              <w:t>+2.08%</w:t>
            </w:r>
          </w:p>
        </w:tc>
        <w:tc>
          <w:tcPr>
            <w:tcW w:type="dxa" w:w="1337"/>
          </w:tcPr>
          <w:p>
            <w:pPr>
              <w:spacing w:before="20" w:after="20" w:line="240" w:lineRule="auto"/>
              <w:jc w:val="center"/>
            </w:pPr>
            <w:r/>
            <w:r>
              <w:rPr>
                <w:rFonts w:ascii="Times New Roman" w:hAnsi="Times New Roman"/>
                <w:b w:val="0"/>
                <w:sz w:val="16"/>
              </w:rPr>
              <w:t>0.235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Intellectual property rights</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0.0188</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0.395</w:t>
            </w:r>
          </w:p>
        </w:tc>
        <w:tc>
          <w:tcPr>
            <w:tcW w:type="dxa" w:w="1337"/>
          </w:tcPr>
          <w:p>
            <w:pPr>
              <w:spacing w:before="20" w:after="20" w:line="240" w:lineRule="auto"/>
              <w:jc w:val="center"/>
            </w:pPr>
            <w:r/>
            <w:r>
              <w:rPr>
                <w:rFonts w:ascii="Times New Roman" w:hAnsi="Times New Roman"/>
                <w:b w:val="0"/>
                <w:sz w:val="16"/>
              </w:rPr>
              <w:t>0.503</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intellectual property</w:t>
            </w:r>
          </w:p>
        </w:tc>
        <w:tc>
          <w:tcPr>
            <w:tcW w:type="dxa" w:w="1337"/>
          </w:tcPr>
          <w:p>
            <w:pPr>
              <w:spacing w:before="20" w:after="20" w:line="240" w:lineRule="auto"/>
              <w:jc w:val="center"/>
            </w:pPr>
            <w:r/>
            <w:r>
              <w:rPr>
                <w:rFonts w:ascii="Times New Roman" w:hAnsi="Times New Roman"/>
                <w:b w:val="0"/>
                <w:sz w:val="16"/>
              </w:rPr>
              <w:t>0.0160</w:t>
            </w:r>
          </w:p>
        </w:tc>
        <w:tc>
          <w:tcPr>
            <w:tcW w:type="dxa" w:w="1337"/>
          </w:tcPr>
          <w:p>
            <w:pPr>
              <w:spacing w:before="20" w:after="20" w:line="240" w:lineRule="auto"/>
              <w:jc w:val="center"/>
            </w:pPr>
            <w:r/>
            <w:r>
              <w:rPr>
                <w:rFonts w:ascii="Times New Roman" w:hAnsi="Times New Roman"/>
                <w:b w:val="0"/>
                <w:sz w:val="16"/>
              </w:rPr>
              <w:t>0.0141</w:t>
            </w:r>
          </w:p>
        </w:tc>
        <w:tc>
          <w:tcPr>
            <w:tcW w:type="dxa" w:w="1337"/>
          </w:tcPr>
          <w:p>
            <w:pPr>
              <w:spacing w:before="20" w:after="20" w:line="240" w:lineRule="auto"/>
              <w:jc w:val="center"/>
            </w:pPr>
            <w:r/>
            <w:r>
              <w:rPr>
                <w:rFonts w:ascii="Times New Roman" w:hAnsi="Times New Roman"/>
                <w:b w:val="0"/>
                <w:sz w:val="16"/>
              </w:rPr>
              <w:t>+1.61%</w:t>
            </w:r>
          </w:p>
        </w:tc>
        <w:tc>
          <w:tcPr>
            <w:tcW w:type="dxa" w:w="1337"/>
          </w:tcPr>
          <w:p>
            <w:pPr>
              <w:spacing w:before="20" w:after="20" w:line="240" w:lineRule="auto"/>
              <w:jc w:val="center"/>
            </w:pPr>
            <w:r/>
            <w:r>
              <w:rPr>
                <w:rFonts w:ascii="Times New Roman" w:hAnsi="Times New Roman"/>
                <w:b w:val="0"/>
                <w:sz w:val="16"/>
              </w:rPr>
              <w:t>0.255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SPS measures</w:t>
            </w:r>
          </w:p>
        </w:tc>
        <w:tc>
          <w:tcPr>
            <w:tcW w:type="dxa" w:w="1337"/>
          </w:tcPr>
          <w:p>
            <w:pPr>
              <w:spacing w:before="20" w:after="20" w:line="240" w:lineRule="auto"/>
              <w:jc w:val="center"/>
            </w:pPr>
            <w:r/>
            <w:r>
              <w:rPr>
                <w:rFonts w:ascii="Times New Roman" w:hAnsi="Times New Roman"/>
                <w:b w:val="0"/>
                <w:sz w:val="16"/>
              </w:rPr>
              <w:t>0.0150</w:t>
            </w:r>
          </w:p>
        </w:tc>
        <w:tc>
          <w:tcPr>
            <w:tcW w:type="dxa" w:w="1337"/>
          </w:tcPr>
          <w:p>
            <w:pPr>
              <w:spacing w:before="20" w:after="20" w:line="240" w:lineRule="auto"/>
              <w:jc w:val="center"/>
            </w:pPr>
            <w:r/>
            <w:r>
              <w:rPr>
                <w:rFonts w:ascii="Times New Roman" w:hAnsi="Times New Roman"/>
                <w:b w:val="0"/>
                <w:sz w:val="16"/>
              </w:rPr>
              <w:t>0.0162</w:t>
            </w:r>
          </w:p>
        </w:tc>
        <w:tc>
          <w:tcPr>
            <w:tcW w:type="dxa" w:w="1337"/>
          </w:tcPr>
          <w:p>
            <w:pPr>
              <w:spacing w:before="20" w:after="20" w:line="240" w:lineRule="auto"/>
              <w:jc w:val="center"/>
            </w:pPr>
            <w:r/>
            <w:r>
              <w:rPr>
                <w:rFonts w:ascii="Times New Roman" w:hAnsi="Times New Roman"/>
                <w:b w:val="0"/>
                <w:sz w:val="16"/>
              </w:rPr>
              <w:t>+1.51%</w:t>
            </w:r>
          </w:p>
        </w:tc>
        <w:tc>
          <w:tcPr>
            <w:tcW w:type="dxa" w:w="1337"/>
          </w:tcPr>
          <w:p>
            <w:pPr>
              <w:spacing w:before="20" w:after="20" w:line="240" w:lineRule="auto"/>
              <w:jc w:val="center"/>
            </w:pPr>
            <w:r/>
            <w:r>
              <w:rPr>
                <w:rFonts w:ascii="Times New Roman" w:hAnsi="Times New Roman"/>
                <w:b w:val="0"/>
                <w:sz w:val="16"/>
              </w:rPr>
              <w:t>0.355</w:t>
            </w:r>
          </w:p>
        </w:tc>
        <w:tc>
          <w:tcPr>
            <w:tcW w:type="dxa" w:w="1337"/>
          </w:tcPr>
          <w:p>
            <w:pPr>
              <w:spacing w:before="20" w:after="20" w:line="240" w:lineRule="auto"/>
              <w:jc w:val="center"/>
            </w:pPr>
            <w:r/>
            <w:r>
              <w:rPr>
                <w:rFonts w:ascii="Times New Roman" w:hAnsi="Times New Roman"/>
                <w:b w:val="0"/>
                <w:sz w:val="16"/>
              </w:rPr>
              <w:t>0.497</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Data protection</w:t>
            </w:r>
          </w:p>
        </w:tc>
        <w:tc>
          <w:tcPr>
            <w:tcW w:type="dxa" w:w="1337"/>
          </w:tcPr>
          <w:p>
            <w:pPr>
              <w:spacing w:before="20" w:after="20" w:line="240" w:lineRule="auto"/>
              <w:jc w:val="center"/>
            </w:pPr>
            <w:r/>
            <w:r>
              <w:rPr>
                <w:rFonts w:ascii="Times New Roman" w:hAnsi="Times New Roman"/>
                <w:b w:val="0"/>
                <w:sz w:val="16"/>
              </w:rPr>
              <w:t>0.0146</w:t>
            </w:r>
          </w:p>
        </w:tc>
        <w:tc>
          <w:tcPr>
            <w:tcW w:type="dxa" w:w="1337"/>
          </w:tcPr>
          <w:p>
            <w:pPr>
              <w:spacing w:before="20" w:after="20" w:line="240" w:lineRule="auto"/>
              <w:jc w:val="center"/>
            </w:pPr>
            <w:r/>
            <w:r>
              <w:rPr>
                <w:rFonts w:ascii="Times New Roman" w:hAnsi="Times New Roman"/>
                <w:b w:val="0"/>
                <w:sz w:val="16"/>
              </w:rPr>
              <w:t>0.0131</w:t>
            </w:r>
          </w:p>
        </w:tc>
        <w:tc>
          <w:tcPr>
            <w:tcW w:type="dxa" w:w="1337"/>
          </w:tcPr>
          <w:p>
            <w:pPr>
              <w:spacing w:before="20" w:after="20" w:line="240" w:lineRule="auto"/>
              <w:jc w:val="center"/>
            </w:pPr>
            <w:r/>
            <w:r>
              <w:rPr>
                <w:rFonts w:ascii="Times New Roman" w:hAnsi="Times New Roman"/>
                <w:b w:val="0"/>
                <w:sz w:val="16"/>
              </w:rPr>
              <w:t>+1.47%</w:t>
            </w:r>
          </w:p>
        </w:tc>
        <w:tc>
          <w:tcPr>
            <w:tcW w:type="dxa" w:w="1337"/>
          </w:tcPr>
          <w:p>
            <w:pPr>
              <w:spacing w:before="20" w:after="20" w:line="240" w:lineRule="auto"/>
              <w:jc w:val="center"/>
            </w:pPr>
            <w:r/>
            <w:r>
              <w:rPr>
                <w:rFonts w:ascii="Times New Roman" w:hAnsi="Times New Roman"/>
                <w:b w:val="0"/>
                <w:sz w:val="16"/>
              </w:rPr>
              <w:t>0.265</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Trade-related investment measures</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0.0100</w:t>
            </w:r>
          </w:p>
        </w:tc>
        <w:tc>
          <w:tcPr>
            <w:tcW w:type="dxa" w:w="1337"/>
          </w:tcPr>
          <w:p>
            <w:pPr>
              <w:spacing w:before="20" w:after="20" w:line="240" w:lineRule="auto"/>
              <w:jc w:val="center"/>
            </w:pPr>
            <w:r/>
            <w:r>
              <w:rPr>
                <w:rFonts w:ascii="Times New Roman" w:hAnsi="Times New Roman"/>
                <w:b w:val="0"/>
                <w:sz w:val="16"/>
              </w:rPr>
              <w:t>+0.04%</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0.969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Customs</w:t>
            </w:r>
          </w:p>
        </w:tc>
        <w:tc>
          <w:tcPr>
            <w:tcW w:type="dxa" w:w="1337"/>
          </w:tcPr>
          <w:p>
            <w:pPr>
              <w:spacing w:before="20" w:after="20" w:line="240" w:lineRule="auto"/>
              <w:jc w:val="center"/>
            </w:pPr>
            <w:r/>
            <w:r>
              <w:rPr>
                <w:rFonts w:ascii="Times New Roman" w:hAnsi="Times New Roman"/>
                <w:b w:val="0"/>
                <w:sz w:val="16"/>
              </w:rPr>
              <w:t>−0.0024</w:t>
            </w:r>
          </w:p>
        </w:tc>
        <w:tc>
          <w:tcPr>
            <w:tcW w:type="dxa" w:w="1337"/>
          </w:tcPr>
          <w:p>
            <w:pPr>
              <w:spacing w:before="20" w:after="20" w:line="240" w:lineRule="auto"/>
              <w:jc w:val="center"/>
            </w:pPr>
            <w:r/>
            <w:r>
              <w:rPr>
                <w:rFonts w:ascii="Times New Roman" w:hAnsi="Times New Roman"/>
                <w:b w:val="0"/>
                <w:sz w:val="16"/>
              </w:rPr>
              <w:t>0.0154</w:t>
            </w:r>
          </w:p>
        </w:tc>
        <w:tc>
          <w:tcPr>
            <w:tcW w:type="dxa" w:w="1337"/>
          </w:tcPr>
          <w:p>
            <w:pPr>
              <w:spacing w:before="20" w:after="20" w:line="240" w:lineRule="auto"/>
              <w:jc w:val="center"/>
            </w:pPr>
            <w:r/>
            <w:r>
              <w:rPr>
                <w:rFonts w:ascii="Times New Roman" w:hAnsi="Times New Roman"/>
                <w:b w:val="0"/>
                <w:sz w:val="16"/>
              </w:rPr>
              <w:t>−0.24%</w:t>
            </w:r>
          </w:p>
        </w:tc>
        <w:tc>
          <w:tcPr>
            <w:tcW w:type="dxa" w:w="1337"/>
          </w:tcPr>
          <w:p>
            <w:pPr>
              <w:spacing w:before="20" w:after="20" w:line="240" w:lineRule="auto"/>
              <w:jc w:val="center"/>
            </w:pPr>
            <w:r/>
            <w:r>
              <w:rPr>
                <w:rFonts w:ascii="Times New Roman" w:hAnsi="Times New Roman"/>
                <w:b w:val="0"/>
                <w:sz w:val="16"/>
              </w:rPr>
              <w:t>0.877</w:t>
            </w:r>
          </w:p>
        </w:tc>
        <w:tc>
          <w:tcPr>
            <w:tcW w:type="dxa" w:w="1337"/>
          </w:tcPr>
          <w:p>
            <w:pPr>
              <w:spacing w:before="20" w:after="20" w:line="240" w:lineRule="auto"/>
              <w:jc w:val="center"/>
            </w:pPr>
            <w:r/>
            <w:r>
              <w:rPr>
                <w:rFonts w:ascii="Times New Roman" w:hAnsi="Times New Roman"/>
                <w:b w:val="0"/>
                <w:sz w:val="16"/>
              </w:rPr>
              <w:t>0.945</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Investment</w:t>
            </w:r>
          </w:p>
        </w:tc>
        <w:tc>
          <w:tcPr>
            <w:tcW w:type="dxa" w:w="1337"/>
          </w:tcPr>
          <w:p>
            <w:pPr>
              <w:spacing w:before="20" w:after="20" w:line="240" w:lineRule="auto"/>
              <w:jc w:val="center"/>
            </w:pPr>
            <w:r/>
            <w:r>
              <w:rPr>
                <w:rFonts w:ascii="Times New Roman" w:hAnsi="Times New Roman"/>
                <w:b w:val="0"/>
                <w:sz w:val="16"/>
              </w:rPr>
              <w:t>−0.0119</w:t>
            </w:r>
          </w:p>
        </w:tc>
        <w:tc>
          <w:tcPr>
            <w:tcW w:type="dxa" w:w="1337"/>
          </w:tcPr>
          <w:p>
            <w:pPr>
              <w:spacing w:before="20" w:after="20" w:line="240" w:lineRule="auto"/>
              <w:jc w:val="center"/>
            </w:pPr>
            <w:r/>
            <w:r>
              <w:rPr>
                <w:rFonts w:ascii="Times New Roman" w:hAnsi="Times New Roman"/>
                <w:b w:val="0"/>
                <w:sz w:val="16"/>
              </w:rPr>
              <w:t>0.0152</w:t>
            </w:r>
          </w:p>
        </w:tc>
        <w:tc>
          <w:tcPr>
            <w:tcW w:type="dxa" w:w="1337"/>
          </w:tcPr>
          <w:p>
            <w:pPr>
              <w:spacing w:before="20" w:after="20" w:line="240" w:lineRule="auto"/>
              <w:jc w:val="center"/>
            </w:pPr>
            <w:r/>
            <w:r>
              <w:rPr>
                <w:rFonts w:ascii="Times New Roman" w:hAnsi="Times New Roman"/>
                <w:b w:val="0"/>
                <w:sz w:val="16"/>
              </w:rPr>
              <w:t>−1.18%</w:t>
            </w:r>
          </w:p>
        </w:tc>
        <w:tc>
          <w:tcPr>
            <w:tcW w:type="dxa" w:w="1337"/>
          </w:tcPr>
          <w:p>
            <w:pPr>
              <w:spacing w:before="20" w:after="20" w:line="240" w:lineRule="auto"/>
              <w:jc w:val="center"/>
            </w:pPr>
            <w:r/>
            <w:r>
              <w:rPr>
                <w:rFonts w:ascii="Times New Roman" w:hAnsi="Times New Roman"/>
                <w:b w:val="0"/>
                <w:sz w:val="16"/>
              </w:rPr>
              <w:t>0.437</w:t>
            </w:r>
          </w:p>
        </w:tc>
        <w:tc>
          <w:tcPr>
            <w:tcW w:type="dxa" w:w="1337"/>
          </w:tcPr>
          <w:p>
            <w:pPr>
              <w:spacing w:before="20" w:after="20" w:line="240" w:lineRule="auto"/>
              <w:jc w:val="center"/>
            </w:pPr>
            <w:r/>
            <w:r>
              <w:rPr>
                <w:rFonts w:ascii="Times New Roman" w:hAnsi="Times New Roman"/>
                <w:b w:val="0"/>
                <w:sz w:val="16"/>
              </w:rPr>
              <w:t>0.509</w:t>
            </w:r>
          </w:p>
        </w:tc>
        <w:tc>
          <w:tcPr>
            <w:tcW w:type="dxa" w:w="1337"/>
          </w:tcPr>
          <w:p>
            <w:pPr>
              <w:spacing w:before="20" w:after="20" w:line="240" w:lineRule="auto"/>
              <w:jc w:val="center"/>
            </w:pPr>
            <w:r/>
            <w:r>
              <w:rPr>
                <w:rFonts w:ascii="Times New Roman" w:hAnsi="Times New Roman"/>
                <w:b w:val="0"/>
                <w:sz w:val="16"/>
              </w:rPr>
              <w:t>16,752,356</w:t>
            </w:r>
          </w:p>
        </w:tc>
      </w:tr>
      <w:tr>
        <w:tc>
          <w:tcPr>
            <w:tcW w:type="dxa" w:w="1337"/>
          </w:tcPr>
          <w:p>
            <w:pPr>
              <w:spacing w:before="20" w:after="20" w:line="240" w:lineRule="auto"/>
              <w:jc w:val="left"/>
            </w:pPr>
            <w:r/>
            <w:r>
              <w:rPr>
                <w:rFonts w:ascii="Times New Roman" w:hAnsi="Times New Roman"/>
                <w:b w:val="0"/>
                <w:sz w:val="16"/>
              </w:rPr>
              <w:t>Trade in services</w:t>
            </w:r>
          </w:p>
        </w:tc>
        <w:tc>
          <w:tcPr>
            <w:tcW w:type="dxa" w:w="1337"/>
          </w:tcPr>
          <w:p>
            <w:pPr>
              <w:spacing w:before="20" w:after="20" w:line="240" w:lineRule="auto"/>
              <w:jc w:val="center"/>
            </w:pPr>
            <w:r/>
            <w:r>
              <w:rPr>
                <w:rFonts w:ascii="Times New Roman" w:hAnsi="Times New Roman"/>
                <w:b w:val="0"/>
                <w:sz w:val="16"/>
              </w:rPr>
              <w:t>−0.0207</w:t>
            </w:r>
          </w:p>
        </w:tc>
        <w:tc>
          <w:tcPr>
            <w:tcW w:type="dxa" w:w="1337"/>
          </w:tcPr>
          <w:p>
            <w:pPr>
              <w:spacing w:before="20" w:after="20" w:line="240" w:lineRule="auto"/>
              <w:jc w:val="center"/>
            </w:pPr>
            <w:r/>
            <w:r>
              <w:rPr>
                <w:rFonts w:ascii="Times New Roman" w:hAnsi="Times New Roman"/>
                <w:b w:val="0"/>
                <w:sz w:val="16"/>
              </w:rPr>
              <w:t>0.0168</w:t>
            </w:r>
          </w:p>
        </w:tc>
        <w:tc>
          <w:tcPr>
            <w:tcW w:type="dxa" w:w="1337"/>
          </w:tcPr>
          <w:p>
            <w:pPr>
              <w:spacing w:before="20" w:after="20" w:line="240" w:lineRule="auto"/>
              <w:jc w:val="center"/>
            </w:pPr>
            <w:r/>
            <w:r>
              <w:rPr>
                <w:rFonts w:ascii="Times New Roman" w:hAnsi="Times New Roman"/>
                <w:b w:val="0"/>
                <w:sz w:val="16"/>
              </w:rPr>
              <w:t>−2.05%</w:t>
            </w:r>
          </w:p>
        </w:tc>
        <w:tc>
          <w:tcPr>
            <w:tcW w:type="dxa" w:w="1337"/>
          </w:tcPr>
          <w:p>
            <w:pPr>
              <w:spacing w:before="20" w:after="20" w:line="240" w:lineRule="auto"/>
              <w:jc w:val="center"/>
            </w:pPr>
            <w:r/>
            <w:r>
              <w:rPr>
                <w:rFonts w:ascii="Times New Roman" w:hAnsi="Times New Roman"/>
                <w:b w:val="0"/>
                <w:sz w:val="16"/>
              </w:rPr>
              <w:t>0.216</w:t>
            </w:r>
          </w:p>
        </w:tc>
        <w:tc>
          <w:tcPr>
            <w:tcW w:type="dxa" w:w="1337"/>
          </w:tcPr>
          <w:p>
            <w:pPr>
              <w:spacing w:before="20" w:after="20" w:line="240" w:lineRule="auto"/>
              <w:jc w:val="center"/>
            </w:pPr>
            <w:r/>
            <w:r>
              <w:rPr>
                <w:rFonts w:ascii="Times New Roman" w:hAnsi="Times New Roman"/>
                <w:b w:val="0"/>
                <w:sz w:val="16"/>
              </w:rPr>
              <w:t>0.412</w:t>
            </w:r>
          </w:p>
        </w:tc>
        <w:tc>
          <w:tcPr>
            <w:tcW w:type="dxa" w:w="1337"/>
          </w:tcPr>
          <w:p>
            <w:pPr>
              <w:spacing w:before="20" w:after="20" w:line="240" w:lineRule="auto"/>
              <w:jc w:val="center"/>
            </w:pPr>
            <w:r/>
            <w:r>
              <w:rPr>
                <w:rFonts w:ascii="Times New Roman" w:hAnsi="Times New Roman"/>
                <w:b w:val="0"/>
                <w:sz w:val="16"/>
              </w:rPr>
              <w:t>16,752,356</w:t>
            </w:r>
          </w:p>
        </w:tc>
      </w:tr>
    </w:tbl>
    <w:p>
      <w:pPr>
        <w:spacing w:before="60" w:after="120"/>
      </w:pPr>
      <w:r>
        <w:rPr>
          <w:rFonts w:ascii="Times New Roman" w:hAnsi="Times New Roman"/>
          <w:i/>
          <w:sz w:val="18"/>
        </w:rPr>
        <w:t>Notes: Each row reports a separate FTA-conditional PPML model with a single provision indicator interacted with GPR. BH-FDR p-values adjust for fourteen simultaneous tests. Provisions sorted by effect size descending. *** p &lt; 0.01, ** p &lt; 0.05, * p &lt; 0.10.</w:t>
      </w:r>
    </w:p>
    <w:p>
      <w:pPr>
        <w:pStyle w:val="Heading2"/>
      </w:pPr>
      <w:r>
        <w:t>4.4. Extensive Margin: Trade-Link Survival Under Geopolitical Stress</w:t>
      </w:r>
    </w:p>
    <w:p>
      <w:pPr>
        <w:ind w:firstLine="720"/>
      </w:pPr>
      <w:r>
        <w:t>The intensive-margin results demonstrate that geopolitical risk reduces the value of existing trade flows within preferential agreements. A natural follow-up question is whether GPR also destroys trade relationships entirely—that is, whether it operates on the extensive margin by eliminating bilateral product-level trade links. Table 5 presents linear probability model (LPM) estimates of the survival probability for at-risk trade links (pair–HS2 combinations with positive trade in year t−1), using the same four-dimensional fixed-effect structure as the PPML specifications.</w:t>
      </w:r>
    </w:p>
    <w:p>
      <w:pPr>
        <w:ind w:firstLine="720"/>
      </w:pPr>
      <w:r>
        <w:t>The joint specification with lagged link-size controls (Column 5) reveals a striking decomposition. The GPR × DTA Depth interaction is −0.0052 (p &lt; 0.001), indicating that each additional ten legally enforceable provisions reduce the one-year survival probability by 0.52 percentage points when GPR rises by one standard deviation. Meanwhile, the GPR × FTA interaction turns positive at +0.0028 (p = 0.086), suggesting that, conditional on agreement depth, the binary presence of an FTA provides a modest survival premium.</w:t>
      </w:r>
    </w:p>
    <w:p>
      <w:pPr>
        <w:ind w:firstLine="720"/>
      </w:pPr>
      <w:r>
        <w:t>The mechanism underlying this extensive-margin vulnerability differs from the intensive-margin channel. While the intensive margin reflects reduced trade volumes among continuing relationships, the extensive margin captures complete relationship termination. Deeper agreements impose higher fixed compliance costs—rules of origin documentation, regulatory conformity assessments, and standards certification—that become prohibitively expensive for smaller or more marginal trade links when geopolitical uncertainty raises the option value of waiting. The result is a selective pruning of the weakest trade links within deep-agreement networks, even as the core high-value relationships persist.</w:t>
      </w:r>
    </w:p>
    <w:p/>
    <w:p>
      <w:pPr>
        <w:spacing w:after="120"/>
        <w:jc w:val="center"/>
      </w:pPr>
      <w:r>
        <w:rPr>
          <w:rFonts w:ascii="Times New Roman" w:hAnsi="Times New Roman"/>
          <w:b/>
          <w:sz w:val="22"/>
        </w:rPr>
        <w:t>Table 5. Trade-Link Survival: GPR × Trade Agreement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560"/>
        <w:gridCol w:w="1560"/>
        <w:gridCol w:w="1560"/>
        <w:gridCol w:w="1560"/>
        <w:gridCol w:w="1560"/>
        <w:gridCol w:w="1560"/>
      </w:tblGrid>
      <w:tr>
        <w:tc>
          <w:tcPr>
            <w:tcW w:type="dxa" w:w="1560"/>
            <w:tcBorders>
              <w:bottom w:val="single" w:sz="6" w:space="0" w:color="000000"/>
            </w:tcBorders>
          </w:tcPr>
          <w:p>
            <w:pPr>
              <w:spacing w:before="20" w:after="20" w:line="240" w:lineRule="auto"/>
              <w:jc w:val="left"/>
            </w:pPr>
            <w:r/>
            <w:r>
              <w:rPr>
                <w:rFonts w:ascii="Times New Roman" w:hAnsi="Times New Roman"/>
                <w:b/>
                <w:sz w:val="16"/>
              </w:rPr>
              <w:t>Variable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(1) FTA,</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(2) FTA</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(3) Depth,</w:t>
              <w:br/>
              <w:t>no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(4) Depth</w:t>
              <w:br/>
              <w:t>+ size</w:t>
            </w:r>
          </w:p>
        </w:tc>
        <w:tc>
          <w:tcPr>
            <w:tcW w:type="dxa" w:w="1560"/>
            <w:tcBorders>
              <w:bottom w:val="single" w:sz="6" w:space="0" w:color="000000"/>
            </w:tcBorders>
          </w:tcPr>
          <w:p>
            <w:pPr>
              <w:spacing w:before="20" w:after="20" w:line="240" w:lineRule="auto"/>
              <w:jc w:val="center"/>
            </w:pPr>
            <w:r/>
            <w:r>
              <w:rPr>
                <w:rFonts w:ascii="Times New Roman" w:hAnsi="Times New Roman"/>
                <w:b/>
                <w:sz w:val="16"/>
              </w:rPr>
              <w:t>(5) Joint</w:t>
              <w:br/>
              <w:t>+ size</w:t>
            </w:r>
          </w:p>
        </w:tc>
      </w:tr>
      <w:tr>
        <w:tc>
          <w:tcPr>
            <w:tcW w:type="dxa" w:w="1560"/>
          </w:tcPr>
          <w:p>
            <w:pPr>
              <w:spacing w:before="20" w:after="20" w:line="240" w:lineRule="auto"/>
              <w:jc w:val="left"/>
            </w:pPr>
            <w:r/>
            <w:r>
              <w:rPr>
                <w:rFonts w:ascii="Times New Roman" w:hAnsi="Times New Roman"/>
                <w:b w:val="0"/>
                <w:sz w:val="18"/>
              </w:rPr>
              <w:t>GPR × DTA depth</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−0.0040*</w:t>
            </w:r>
            <w:r>
              <w:rPr>
                <w:sz w:val="16"/>
              </w:rPr>
              <w:br/>
            </w:r>
            <w:r>
              <w:rPr>
                <w:rFonts w:ascii="Times New Roman" w:hAnsi="Times New Roman"/>
                <w:sz w:val="16"/>
              </w:rPr>
              <w:t>(0.0021)</w:t>
            </w:r>
            <w:r>
              <w:rPr>
                <w:sz w:val="16"/>
              </w:rPr>
              <w:br/>
            </w:r>
            <w:r>
              <w:rPr>
                <w:rFonts w:ascii="Times New Roman" w:hAnsi="Times New Roman"/>
                <w:sz w:val="16"/>
              </w:rPr>
              <w:t>[−0.40 pp]</w:t>
            </w:r>
          </w:p>
        </w:tc>
        <w:tc>
          <w:tcPr>
            <w:tcW w:type="dxa" w:w="1560"/>
          </w:tcPr>
          <w:p>
            <w:pPr>
              <w:spacing w:before="20" w:after="20" w:line="240" w:lineRule="auto"/>
              <w:jc w:val="center"/>
            </w:pPr>
            <w:r/>
            <w:r>
              <w:rPr>
                <w:rFonts w:ascii="Times New Roman" w:hAnsi="Times New Roman"/>
                <w:sz w:val="16"/>
              </w:rPr>
              <w:t>−0.0042*</w:t>
            </w:r>
            <w:r>
              <w:rPr>
                <w:sz w:val="16"/>
              </w:rPr>
              <w:br/>
            </w:r>
            <w:r>
              <w:rPr>
                <w:rFonts w:ascii="Times New Roman" w:hAnsi="Times New Roman"/>
                <w:sz w:val="16"/>
              </w:rPr>
              <w:t>(0.0021)</w:t>
            </w:r>
            <w:r>
              <w:rPr>
                <w:sz w:val="16"/>
              </w:rPr>
              <w:br/>
            </w:r>
            <w:r>
              <w:rPr>
                <w:rFonts w:ascii="Times New Roman" w:hAnsi="Times New Roman"/>
                <w:sz w:val="16"/>
              </w:rPr>
              <w:t>[−0.42 pp]</w:t>
            </w:r>
          </w:p>
        </w:tc>
        <w:tc>
          <w:tcPr>
            <w:tcW w:type="dxa" w:w="1560"/>
          </w:tcPr>
          <w:p>
            <w:pPr>
              <w:spacing w:before="20" w:after="20" w:line="240" w:lineRule="auto"/>
              <w:jc w:val="center"/>
            </w:pPr>
            <w:r/>
            <w:r>
              <w:rPr>
                <w:rFonts w:ascii="Times New Roman" w:hAnsi="Times New Roman"/>
                <w:sz w:val="16"/>
              </w:rPr>
              <w:t>−0.0052***</w:t>
            </w:r>
            <w:r>
              <w:rPr>
                <w:sz w:val="16"/>
              </w:rPr>
              <w:br/>
            </w:r>
            <w:r>
              <w:rPr>
                <w:rFonts w:ascii="Times New Roman" w:hAnsi="Times New Roman"/>
                <w:sz w:val="16"/>
              </w:rPr>
              <w:t>(0.0017)</w:t>
            </w:r>
            <w:r>
              <w:rPr>
                <w:sz w:val="16"/>
              </w:rPr>
              <w:br/>
            </w:r>
            <w:r>
              <w:rPr>
                <w:rFonts w:ascii="Times New Roman" w:hAnsi="Times New Roman"/>
                <w:sz w:val="16"/>
              </w:rPr>
              <w:t>[−0.52 pp]</w:t>
            </w:r>
          </w:p>
        </w:tc>
      </w:tr>
      <w:tr>
        <w:tc>
          <w:tcPr>
            <w:tcW w:type="dxa" w:w="1560"/>
          </w:tcPr>
          <w:p>
            <w:pPr>
              <w:spacing w:before="20" w:after="20" w:line="240" w:lineRule="auto"/>
              <w:jc w:val="left"/>
            </w:pPr>
            <w:r/>
            <w:r>
              <w:rPr>
                <w:rFonts w:ascii="Times New Roman" w:hAnsi="Times New Roman"/>
                <w:b w:val="0"/>
                <w:sz w:val="18"/>
              </w:rPr>
              <w:t>GPR × FTA</w:t>
            </w:r>
          </w:p>
        </w:tc>
        <w:tc>
          <w:tcPr>
            <w:tcW w:type="dxa" w:w="1560"/>
          </w:tcPr>
          <w:p>
            <w:pPr>
              <w:spacing w:before="20" w:after="20" w:line="240" w:lineRule="auto"/>
              <w:jc w:val="center"/>
            </w:pPr>
            <w:r/>
            <w:r>
              <w:rPr>
                <w:rFonts w:ascii="Times New Roman" w:hAnsi="Times New Roman"/>
                <w:sz w:val="16"/>
              </w:rPr>
              <w:t>−0.0044</w:t>
            </w:r>
            <w:r>
              <w:rPr>
                <w:sz w:val="16"/>
              </w:rPr>
              <w:br/>
            </w:r>
            <w:r>
              <w:rPr>
                <w:rFonts w:ascii="Times New Roman" w:hAnsi="Times New Roman"/>
                <w:sz w:val="16"/>
              </w:rPr>
              <w:t>(0.0036)</w:t>
            </w:r>
            <w:r>
              <w:rPr>
                <w:sz w:val="16"/>
              </w:rPr>
              <w:br/>
            </w:r>
            <w:r>
              <w:rPr>
                <w:rFonts w:ascii="Times New Roman" w:hAnsi="Times New Roman"/>
                <w:sz w:val="16"/>
              </w:rPr>
              <w:t>[−0.44 pp]</w:t>
            </w:r>
          </w:p>
        </w:tc>
        <w:tc>
          <w:tcPr>
            <w:tcW w:type="dxa" w:w="1560"/>
          </w:tcPr>
          <w:p>
            <w:pPr>
              <w:spacing w:before="20" w:after="20" w:line="240" w:lineRule="auto"/>
              <w:jc w:val="center"/>
            </w:pPr>
            <w:r/>
            <w:r>
              <w:rPr>
                <w:rFonts w:ascii="Times New Roman" w:hAnsi="Times New Roman"/>
                <w:sz w:val="16"/>
              </w:rPr>
              <w:t>−0.0047</w:t>
            </w:r>
            <w:r>
              <w:rPr>
                <w:sz w:val="16"/>
              </w:rPr>
              <w:br/>
            </w:r>
            <w:r>
              <w:rPr>
                <w:rFonts w:ascii="Times New Roman" w:hAnsi="Times New Roman"/>
                <w:sz w:val="16"/>
              </w:rPr>
              <w:t>(0.0037)</w:t>
            </w:r>
            <w:r>
              <w:rPr>
                <w:sz w:val="16"/>
              </w:rPr>
              <w:br/>
            </w:r>
            <w:r>
              <w:rPr>
                <w:rFonts w:ascii="Times New Roman" w:hAnsi="Times New Roman"/>
                <w:sz w:val="16"/>
              </w:rPr>
              <w:t>[−0.47 pp]</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b w:val="0"/>
                <w:sz w:val="18"/>
              </w:rPr>
              <w:t>—</w:t>
            </w:r>
          </w:p>
        </w:tc>
        <w:tc>
          <w:tcPr>
            <w:tcW w:type="dxa" w:w="1560"/>
          </w:tcPr>
          <w:p>
            <w:pPr>
              <w:spacing w:before="20" w:after="20" w:line="240" w:lineRule="auto"/>
              <w:jc w:val="center"/>
            </w:pPr>
            <w:r/>
            <w:r>
              <w:rPr>
                <w:rFonts w:ascii="Times New Roman" w:hAnsi="Times New Roman"/>
                <w:sz w:val="16"/>
              </w:rPr>
              <w:t>0.0028*</w:t>
            </w:r>
            <w:r>
              <w:rPr>
                <w:sz w:val="16"/>
              </w:rPr>
              <w:br/>
            </w:r>
            <w:r>
              <w:rPr>
                <w:rFonts w:ascii="Times New Roman" w:hAnsi="Times New Roman"/>
                <w:sz w:val="16"/>
              </w:rPr>
              <w:t>(0.0015)</w:t>
            </w:r>
            <w:r>
              <w:rPr>
                <w:sz w:val="16"/>
              </w:rPr>
              <w:br/>
            </w:r>
            <w:r>
              <w:rPr>
                <w:rFonts w:ascii="Times New Roman" w:hAnsi="Times New Roman"/>
                <w:sz w:val="16"/>
              </w:rPr>
              <w:t>[+0.28 pp]</w:t>
            </w:r>
          </w:p>
        </w:tc>
      </w:tr>
      <w:tr>
        <w:tc>
          <w:tcPr>
            <w:tcW w:type="dxa" w:w="1560"/>
            <w:tcBorders>
              <w:top w:val="single" w:sz="4" w:space="0" w:color="000000"/>
            </w:tcBorders>
          </w:tcPr>
          <w:p>
            <w:pPr>
              <w:spacing w:before="20" w:after="20" w:line="240" w:lineRule="auto"/>
              <w:jc w:val="left"/>
            </w:pPr>
            <w:r/>
            <w:r>
              <w:rPr>
                <w:rFonts w:ascii="Times New Roman" w:hAnsi="Times New Roman"/>
                <w:b w:val="0"/>
                <w:sz w:val="16"/>
              </w:rPr>
              <w:t>Lagged link-size control</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No</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c>
          <w:tcPr>
            <w:tcW w:type="dxa" w:w="1560"/>
            <w:tcBorders>
              <w:top w:val="single" w:sz="4" w:space="0" w:color="000000"/>
            </w:tcBorders>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Pair–HS2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Exporter–year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Importer–year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HS2–year fixed effects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c>
          <w:tcPr>
            <w:tcW w:type="dxa" w:w="1560"/>
          </w:tcPr>
          <w:p>
            <w:pPr>
              <w:spacing w:before="20" w:after="20" w:line="240" w:lineRule="auto"/>
              <w:jc w:val="center"/>
            </w:pPr>
            <w:r/>
            <w:r>
              <w:rPr>
                <w:rFonts w:ascii="Times New Roman" w:hAnsi="Times New Roman"/>
                <w:b w:val="0"/>
                <w:sz w:val="16"/>
              </w:rPr>
              <w:t>Yes</w:t>
            </w:r>
          </w:p>
        </w:tc>
      </w:tr>
      <w:tr>
        <w:tc>
          <w:tcPr>
            <w:tcW w:type="dxa" w:w="1560"/>
          </w:tcPr>
          <w:p>
            <w:pPr>
              <w:spacing w:before="20" w:after="20" w:line="240" w:lineRule="auto"/>
              <w:jc w:val="left"/>
            </w:pPr>
            <w:r/>
            <w:r>
              <w:rPr>
                <w:rFonts w:ascii="Times New Roman" w:hAnsi="Times New Roman"/>
                <w:b w:val="0"/>
                <w:sz w:val="16"/>
              </w:rPr>
              <w:t>Observations</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c>
          <w:tcPr>
            <w:tcW w:type="dxa" w:w="1560"/>
          </w:tcPr>
          <w:p>
            <w:pPr>
              <w:spacing w:before="20" w:after="20" w:line="240" w:lineRule="auto"/>
              <w:jc w:val="center"/>
            </w:pPr>
            <w:r/>
            <w:r>
              <w:rPr>
                <w:rFonts w:ascii="Times New Roman" w:hAnsi="Times New Roman"/>
                <w:b w:val="0"/>
                <w:sz w:val="16"/>
              </w:rPr>
              <w:t>8,045,131</w:t>
            </w:r>
          </w:p>
        </w:tc>
      </w:tr>
      <w:tr>
        <w:tc>
          <w:tcPr>
            <w:tcW w:type="dxa" w:w="1560"/>
          </w:tcPr>
          <w:p/>
        </w:tc>
        <w:tc>
          <w:tcPr>
            <w:tcW w:type="dxa" w:w="1560"/>
          </w:tcPr>
          <w:p/>
        </w:tc>
        <w:tc>
          <w:tcPr>
            <w:tcW w:type="dxa" w:w="1560"/>
          </w:tcPr>
          <w:p/>
        </w:tc>
        <w:tc>
          <w:tcPr>
            <w:tcW w:type="dxa" w:w="1560"/>
          </w:tcPr>
          <w:p/>
        </w:tc>
        <w:tc>
          <w:tcPr>
            <w:tcW w:type="dxa" w:w="1560"/>
          </w:tcPr>
          <w:p/>
        </w:tc>
        <w:tc>
          <w:tcPr>
            <w:tcW w:type="dxa" w:w="1560"/>
          </w:tcPr>
          <w:p/>
        </w:tc>
      </w:tr>
    </w:tbl>
    <w:p>
      <w:pPr>
        <w:spacing w:before="60" w:after="120"/>
      </w:pPr>
      <w:r>
        <w:rPr>
          <w:rFonts w:ascii="Times New Roman" w:hAnsi="Times New Roman"/>
          <w:i/>
          <w:sz w:val="18"/>
        </w:rPr>
        <w:t>Notes: Dependent variable is a binary indicator equal to one if a pair–HS2 link with positive trade in t−1 remains positive in t. Estimated by LPM with four-dimensional FE. Standard errors in parentheses (pair-plus-year multiway clustering). Effects in percentage points. *** p &lt; 0.01, ** p &lt; 0.05, * p &lt; 0.10.</w:t>
      </w:r>
    </w:p>
    <w:p>
      <w:pPr>
        <w:pStyle w:val="Heading3"/>
      </w:pPr>
      <w:r>
        <w:t>4.4.1. Robustness of survival estimates</w:t>
      </w:r>
    </w:p>
    <w:p>
      <w:pPr>
        <w:ind w:firstLine="720"/>
      </w:pPr>
      <w:r>
        <w:t>We subject the survival findings to extensive robustness analysis (Table 6). Alternative GPR measures—the threat component, the acts component, the log-transformed mean, and the annual peak—all produce negative and significant depth interactions under pair-plus-year clustering (threat: −0.34 pp, p = 0.002; peak: −0.65 pp, p = 0.007; log-mean: −0.53 pp, p = 0.008). Restricting the sample to established links with lagged trade above US$100,000 or US$1 million yields smaller but consistently negative depth coefficients (−0.13 pp and −0.14 pp, respectively), confirming that the result is not driven by small, ephemeral trade links.</w:t>
      </w:r>
    </w:p>
    <w:p>
      <w:pPr>
        <w:ind w:firstLine="720"/>
      </w:pPr>
      <w:r>
        <w:t>Most compellingly, Figure 4 displays a leave-one-year-out Jackknife sensitivity analysis. Across all 16 iterations—each omitting a single calendar year from the sample—the GPR × Depth interaction remains strictly negative, ranging from −0.68 to −0.40 percentage points, and achieves p &lt; 0.01 under pair clustering in every iteration. Under the more conservative pair-plus-year clustering, the coefficient is significant at p &lt; 0.10 in all 16 iterations and at p &lt; 0.05 in 15 of 16. This extraordinary temporal stability eliminates concerns that any single geopolitical event (e.g., the Russia–Ukraine conflict in 2022, the COVID-19 pandemic in 2020, or the Arab Spring in 2011) drives the aggregate finding.</w:t>
      </w:r>
    </w:p>
    <w:p/>
    <w:p>
      <w:pPr>
        <w:spacing w:after="120"/>
        <w:jc w:val="center"/>
      </w:pPr>
      <w:r>
        <w:rPr>
          <w:rFonts w:ascii="Times New Roman" w:hAnsi="Times New Roman"/>
          <w:b/>
          <w:sz w:val="22"/>
        </w:rPr>
        <w:t>Table 6. Survival Robustness: Alternative GPR Measures and Sample Restrictions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337"/>
        <w:gridCol w:w="1337"/>
        <w:gridCol w:w="1337"/>
        <w:gridCol w:w="1337"/>
        <w:gridCol w:w="1337"/>
        <w:gridCol w:w="1337"/>
        <w:gridCol w:w="1337"/>
      </w:tblGrid>
      <w:tr>
        <w:tc>
          <w:tcPr>
            <w:tcW w:type="dxa" w:w="1337"/>
            <w:tcBorders>
              <w:bottom w:val="single" w:sz="6" w:space="0" w:color="000000"/>
            </w:tcBorders>
          </w:tcPr>
          <w:p>
            <w:pPr>
              <w:spacing w:before="20" w:after="20" w:line="240" w:lineRule="auto"/>
              <w:jc w:val="left"/>
            </w:pPr>
            <w:r/>
            <w:r>
              <w:rPr>
                <w:rFonts w:ascii="Times New Roman" w:hAnsi="Times New Roman"/>
                <w:b/>
                <w:sz w:val="16"/>
              </w:rPr>
              <w:t>Panel</w:t>
            </w:r>
          </w:p>
        </w:tc>
        <w:tc>
          <w:tcPr>
            <w:tcW w:type="dxa" w:w="1337"/>
            <w:tcBorders>
              <w:bottom w:val="single" w:sz="6" w:space="0" w:color="000000"/>
            </w:tcBorders>
          </w:tcPr>
          <w:p>
            <w:pPr>
              <w:spacing w:before="20" w:after="20" w:line="240" w:lineRule="auto"/>
              <w:jc w:val="left"/>
            </w:pPr>
            <w:r/>
            <w:r>
              <w:rPr>
                <w:rFonts w:ascii="Times New Roman" w:hAnsi="Times New Roman"/>
                <w:b/>
                <w:sz w:val="16"/>
              </w:rPr>
              <w:t>Check</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Estimate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SE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Effect (pp)</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337"/>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337"/>
          </w:tcPr>
          <w:p>
            <w:pPr>
              <w:spacing w:before="20" w:after="20" w:line="240" w:lineRule="auto"/>
              <w:jc w:val="left"/>
            </w:pPr>
            <w:r/>
            <w:r>
              <w:rPr>
                <w:rFonts w:ascii="Times New Roman" w:hAnsi="Times New Roman"/>
                <w:b/>
                <w:sz w:val="16"/>
              </w:rPr>
              <w:t>A. Alternative global GPR</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Baseline annual mean GPR</w:t>
            </w:r>
          </w:p>
        </w:tc>
        <w:tc>
          <w:tcPr>
            <w:tcW w:type="dxa" w:w="1337"/>
          </w:tcPr>
          <w:p>
            <w:pPr>
              <w:spacing w:before="20" w:after="20" w:line="240" w:lineRule="auto"/>
              <w:jc w:val="center"/>
            </w:pPr>
            <w:r/>
            <w:r>
              <w:rPr>
                <w:rFonts w:ascii="Times New Roman" w:hAnsi="Times New Roman"/>
                <w:b w:val="0"/>
                <w:sz w:val="16"/>
              </w:rPr>
              <w:t>−0.0052</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−0.52</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Log annual mean GPR</w:t>
            </w:r>
          </w:p>
        </w:tc>
        <w:tc>
          <w:tcPr>
            <w:tcW w:type="dxa" w:w="1337"/>
          </w:tcPr>
          <w:p>
            <w:pPr>
              <w:spacing w:before="20" w:after="20" w:line="240" w:lineRule="auto"/>
              <w:jc w:val="center"/>
            </w:pPr>
            <w:r/>
            <w:r>
              <w:rPr>
                <w:rFonts w:ascii="Times New Roman" w:hAnsi="Times New Roman"/>
                <w:b w:val="0"/>
                <w:sz w:val="16"/>
              </w:rPr>
              <w:t>−0.0053</w:t>
            </w:r>
          </w:p>
        </w:tc>
        <w:tc>
          <w:tcPr>
            <w:tcW w:type="dxa" w:w="1337"/>
          </w:tcPr>
          <w:p>
            <w:pPr>
              <w:spacing w:before="20" w:after="20" w:line="240" w:lineRule="auto"/>
              <w:jc w:val="center"/>
            </w:pPr>
            <w:r/>
            <w:r>
              <w:rPr>
                <w:rFonts w:ascii="Times New Roman" w:hAnsi="Times New Roman"/>
                <w:b w:val="0"/>
                <w:sz w:val="16"/>
              </w:rPr>
              <w:t>0.0017</w:t>
            </w:r>
          </w:p>
        </w:tc>
        <w:tc>
          <w:tcPr>
            <w:tcW w:type="dxa" w:w="1337"/>
          </w:tcPr>
          <w:p>
            <w:pPr>
              <w:spacing w:before="20" w:after="20" w:line="240" w:lineRule="auto"/>
              <w:jc w:val="center"/>
            </w:pPr>
            <w:r/>
            <w:r>
              <w:rPr>
                <w:rFonts w:ascii="Times New Roman" w:hAnsi="Times New Roman"/>
                <w:b w:val="0"/>
                <w:sz w:val="16"/>
              </w:rPr>
              <w:t>−0.53</w:t>
            </w:r>
          </w:p>
        </w:tc>
        <w:tc>
          <w:tcPr>
            <w:tcW w:type="dxa" w:w="1337"/>
          </w:tcPr>
          <w:p>
            <w:pPr>
              <w:spacing w:before="20" w:after="20" w:line="240" w:lineRule="auto"/>
              <w:jc w:val="center"/>
            </w:pPr>
            <w:r/>
            <w:r>
              <w:rPr>
                <w:rFonts w:ascii="Times New Roman" w:hAnsi="Times New Roman"/>
                <w:b w:val="0"/>
                <w:sz w:val="16"/>
              </w:rPr>
              <w:t>0.008</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threats</w:t>
            </w:r>
          </w:p>
        </w:tc>
        <w:tc>
          <w:tcPr>
            <w:tcW w:type="dxa" w:w="1337"/>
          </w:tcPr>
          <w:p>
            <w:pPr>
              <w:spacing w:before="20" w:after="20" w:line="240" w:lineRule="auto"/>
              <w:jc w:val="center"/>
            </w:pPr>
            <w:r/>
            <w:r>
              <w:rPr>
                <w:rFonts w:ascii="Times New Roman" w:hAnsi="Times New Roman"/>
                <w:b w:val="0"/>
                <w:sz w:val="16"/>
              </w:rPr>
              <w:t>−0.0034</w:t>
            </w:r>
          </w:p>
        </w:tc>
        <w:tc>
          <w:tcPr>
            <w:tcW w:type="dxa" w:w="1337"/>
          </w:tcPr>
          <w:p>
            <w:pPr>
              <w:spacing w:before="20" w:after="20" w:line="240" w:lineRule="auto"/>
              <w:jc w:val="center"/>
            </w:pPr>
            <w:r/>
            <w:r>
              <w:rPr>
                <w:rFonts w:ascii="Times New Roman" w:hAnsi="Times New Roman"/>
                <w:b w:val="0"/>
                <w:sz w:val="16"/>
              </w:rPr>
              <w:t>0.0009</w:t>
            </w:r>
          </w:p>
        </w:tc>
        <w:tc>
          <w:tcPr>
            <w:tcW w:type="dxa" w:w="1337"/>
          </w:tcPr>
          <w:p>
            <w:pPr>
              <w:spacing w:before="20" w:after="20" w:line="240" w:lineRule="auto"/>
              <w:jc w:val="center"/>
            </w:pPr>
            <w:r/>
            <w:r>
              <w:rPr>
                <w:rFonts w:ascii="Times New Roman" w:hAnsi="Times New Roman"/>
                <w:b w:val="0"/>
                <w:sz w:val="16"/>
              </w:rPr>
              <w:t>−0.34</w:t>
            </w:r>
          </w:p>
        </w:tc>
        <w:tc>
          <w:tcPr>
            <w:tcW w:type="dxa" w:w="1337"/>
          </w:tcPr>
          <w:p>
            <w:pPr>
              <w:spacing w:before="20" w:after="20" w:line="240" w:lineRule="auto"/>
              <w:jc w:val="center"/>
            </w:pPr>
            <w:r/>
            <w:r>
              <w:rPr>
                <w:rFonts w:ascii="Times New Roman" w:hAnsi="Times New Roman"/>
                <w:b w:val="0"/>
                <w:sz w:val="16"/>
              </w:rPr>
              <w:t>0.002</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GPR acts</w:t>
            </w:r>
          </w:p>
        </w:tc>
        <w:tc>
          <w:tcPr>
            <w:tcW w:type="dxa" w:w="1337"/>
          </w:tcPr>
          <w:p>
            <w:pPr>
              <w:spacing w:before="20" w:after="20" w:line="240" w:lineRule="auto"/>
              <w:jc w:val="center"/>
            </w:pPr>
            <w:r/>
            <w:r>
              <w:rPr>
                <w:rFonts w:ascii="Times New Roman" w:hAnsi="Times New Roman"/>
                <w:b w:val="0"/>
                <w:sz w:val="16"/>
              </w:rPr>
              <w:t>−0.0037</w:t>
            </w:r>
          </w:p>
        </w:tc>
        <w:tc>
          <w:tcPr>
            <w:tcW w:type="dxa" w:w="1337"/>
          </w:tcPr>
          <w:p>
            <w:pPr>
              <w:spacing w:before="20" w:after="20" w:line="240" w:lineRule="auto"/>
              <w:jc w:val="center"/>
            </w:pPr>
            <w:r/>
            <w:r>
              <w:rPr>
                <w:rFonts w:ascii="Times New Roman" w:hAnsi="Times New Roman"/>
                <w:b w:val="0"/>
                <w:sz w:val="16"/>
              </w:rPr>
              <w:t>0.0030</w:t>
            </w:r>
          </w:p>
        </w:tc>
        <w:tc>
          <w:tcPr>
            <w:tcW w:type="dxa" w:w="1337"/>
          </w:tcPr>
          <w:p>
            <w:pPr>
              <w:spacing w:before="20" w:after="20" w:line="240" w:lineRule="auto"/>
              <w:jc w:val="center"/>
            </w:pPr>
            <w:r/>
            <w:r>
              <w:rPr>
                <w:rFonts w:ascii="Times New Roman" w:hAnsi="Times New Roman"/>
                <w:b w:val="0"/>
                <w:sz w:val="16"/>
              </w:rPr>
              <w:t>−0.37</w:t>
            </w:r>
          </w:p>
        </w:tc>
        <w:tc>
          <w:tcPr>
            <w:tcW w:type="dxa" w:w="1337"/>
          </w:tcPr>
          <w:p>
            <w:pPr>
              <w:spacing w:before="20" w:after="20" w:line="240" w:lineRule="auto"/>
              <w:jc w:val="center"/>
            </w:pPr>
            <w:r/>
            <w:r>
              <w:rPr>
                <w:rFonts w:ascii="Times New Roman" w:hAnsi="Times New Roman"/>
                <w:b w:val="0"/>
                <w:sz w:val="16"/>
              </w:rPr>
              <w:t>0.229</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Annual peak GPR</w:t>
            </w:r>
          </w:p>
        </w:tc>
        <w:tc>
          <w:tcPr>
            <w:tcW w:type="dxa" w:w="1337"/>
          </w:tcPr>
          <w:p>
            <w:pPr>
              <w:spacing w:before="20" w:after="20" w:line="240" w:lineRule="auto"/>
              <w:jc w:val="center"/>
            </w:pPr>
            <w:r/>
            <w:r>
              <w:rPr>
                <w:rFonts w:ascii="Times New Roman" w:hAnsi="Times New Roman"/>
                <w:b w:val="0"/>
                <w:sz w:val="16"/>
              </w:rPr>
              <w:t>−0.0065</w:t>
            </w:r>
          </w:p>
        </w:tc>
        <w:tc>
          <w:tcPr>
            <w:tcW w:type="dxa" w:w="1337"/>
          </w:tcPr>
          <w:p>
            <w:pPr>
              <w:spacing w:before="20" w:after="20" w:line="240" w:lineRule="auto"/>
              <w:jc w:val="center"/>
            </w:pPr>
            <w:r/>
            <w:r>
              <w:rPr>
                <w:rFonts w:ascii="Times New Roman" w:hAnsi="Times New Roman"/>
                <w:b w:val="0"/>
                <w:sz w:val="16"/>
              </w:rPr>
              <w:t>0.0021</w:t>
            </w:r>
          </w:p>
        </w:tc>
        <w:tc>
          <w:tcPr>
            <w:tcW w:type="dxa" w:w="1337"/>
          </w:tcPr>
          <w:p>
            <w:pPr>
              <w:spacing w:before="20" w:after="20" w:line="240" w:lineRule="auto"/>
              <w:jc w:val="center"/>
            </w:pPr>
            <w:r/>
            <w:r>
              <w:rPr>
                <w:rFonts w:ascii="Times New Roman" w:hAnsi="Times New Roman"/>
                <w:b w:val="0"/>
                <w:sz w:val="16"/>
              </w:rPr>
              <w:t>−0.65</w:t>
            </w:r>
          </w:p>
        </w:tc>
        <w:tc>
          <w:tcPr>
            <w:tcW w:type="dxa" w:w="1337"/>
          </w:tcPr>
          <w:p>
            <w:pPr>
              <w:spacing w:before="20" w:after="20" w:line="240" w:lineRule="auto"/>
              <w:jc w:val="center"/>
            </w:pPr>
            <w:r/>
            <w:r>
              <w:rPr>
                <w:rFonts w:ascii="Times New Roman" w:hAnsi="Times New Roman"/>
                <w:b w:val="0"/>
                <w:sz w:val="16"/>
              </w:rPr>
              <w:t>0.007</w:t>
            </w:r>
          </w:p>
        </w:tc>
        <w:tc>
          <w:tcPr>
            <w:tcW w:type="dxa" w:w="1337"/>
          </w:tcPr>
          <w:p>
            <w:pPr>
              <w:spacing w:before="20" w:after="20" w:line="240" w:lineRule="auto"/>
              <w:jc w:val="center"/>
            </w:pPr>
            <w:r/>
            <w:r>
              <w:rPr>
                <w:rFonts w:ascii="Times New Roman" w:hAnsi="Times New Roman"/>
                <w:b w:val="0"/>
                <w:sz w:val="16"/>
              </w:rPr>
              <w:t>8,045,131</w:t>
            </w:r>
          </w:p>
        </w:tc>
      </w:tr>
      <w:tr>
        <w:tc>
          <w:tcPr>
            <w:tcW w:type="dxa" w:w="1337"/>
          </w:tcPr>
          <w:p>
            <w:pPr>
              <w:spacing w:before="20" w:after="20" w:line="240" w:lineRule="auto"/>
              <w:jc w:val="left"/>
            </w:pPr>
            <w:r/>
            <w:r>
              <w:rPr>
                <w:rFonts w:ascii="Times New Roman" w:hAnsi="Times New Roman"/>
                <w:b/>
                <w:sz w:val="16"/>
              </w:rPr>
              <w:t>B. Established-link samples</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100,000</w:t>
            </w:r>
          </w:p>
        </w:tc>
        <w:tc>
          <w:tcPr>
            <w:tcW w:type="dxa" w:w="1337"/>
          </w:tcPr>
          <w:p>
            <w:pPr>
              <w:spacing w:before="20" w:after="20" w:line="240" w:lineRule="auto"/>
              <w:jc w:val="center"/>
            </w:pPr>
            <w:r/>
            <w:r>
              <w:rPr>
                <w:rFonts w:ascii="Times New Roman" w:hAnsi="Times New Roman"/>
                <w:b w:val="0"/>
                <w:sz w:val="16"/>
              </w:rPr>
              <w:t>−0.0013</w:t>
            </w:r>
          </w:p>
        </w:tc>
        <w:tc>
          <w:tcPr>
            <w:tcW w:type="dxa" w:w="1337"/>
          </w:tcPr>
          <w:p>
            <w:pPr>
              <w:spacing w:before="20" w:after="20" w:line="240" w:lineRule="auto"/>
              <w:jc w:val="center"/>
            </w:pPr>
            <w:r/>
            <w:r>
              <w:rPr>
                <w:rFonts w:ascii="Times New Roman" w:hAnsi="Times New Roman"/>
                <w:b w:val="0"/>
                <w:sz w:val="16"/>
              </w:rPr>
              <w:t>0.0004</w:t>
            </w:r>
          </w:p>
        </w:tc>
        <w:tc>
          <w:tcPr>
            <w:tcW w:type="dxa" w:w="1337"/>
          </w:tcPr>
          <w:p>
            <w:pPr>
              <w:spacing w:before="20" w:after="20" w:line="240" w:lineRule="auto"/>
              <w:jc w:val="center"/>
            </w:pPr>
            <w:r/>
            <w:r>
              <w:rPr>
                <w:rFonts w:ascii="Times New Roman" w:hAnsi="Times New Roman"/>
                <w:b w:val="0"/>
                <w:sz w:val="16"/>
              </w:rPr>
              <w:t>−0.13</w:t>
            </w:r>
          </w:p>
        </w:tc>
        <w:tc>
          <w:tcPr>
            <w:tcW w:type="dxa" w:w="1337"/>
          </w:tcPr>
          <w:p>
            <w:pPr>
              <w:spacing w:before="20" w:after="20" w:line="240" w:lineRule="auto"/>
              <w:jc w:val="center"/>
            </w:pPr>
            <w:r/>
            <w:r>
              <w:rPr>
                <w:rFonts w:ascii="Times New Roman" w:hAnsi="Times New Roman"/>
                <w:b w:val="0"/>
                <w:sz w:val="16"/>
              </w:rPr>
              <w:t>0.011</w:t>
            </w:r>
          </w:p>
        </w:tc>
        <w:tc>
          <w:tcPr>
            <w:tcW w:type="dxa" w:w="1337"/>
          </w:tcPr>
          <w:p>
            <w:pPr>
              <w:spacing w:before="20" w:after="20" w:line="240" w:lineRule="auto"/>
              <w:jc w:val="center"/>
            </w:pPr>
            <w:r/>
            <w:r>
              <w:rPr>
                <w:rFonts w:ascii="Times New Roman" w:hAnsi="Times New Roman"/>
                <w:b w:val="0"/>
                <w:sz w:val="16"/>
              </w:rPr>
              <w:t>3,842,229</w:t>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Lagged trade ≥ USD 1 million</w:t>
            </w:r>
          </w:p>
        </w:tc>
        <w:tc>
          <w:tcPr>
            <w:tcW w:type="dxa" w:w="1337"/>
          </w:tcPr>
          <w:p>
            <w:pPr>
              <w:spacing w:before="20" w:after="20" w:line="240" w:lineRule="auto"/>
              <w:jc w:val="center"/>
            </w:pPr>
            <w:r/>
            <w:r>
              <w:rPr>
                <w:rFonts w:ascii="Times New Roman" w:hAnsi="Times New Roman"/>
                <w:b w:val="0"/>
                <w:sz w:val="16"/>
              </w:rPr>
              <w:t>−0.0014</w:t>
            </w:r>
          </w:p>
        </w:tc>
        <w:tc>
          <w:tcPr>
            <w:tcW w:type="dxa" w:w="1337"/>
          </w:tcPr>
          <w:p>
            <w:pPr>
              <w:spacing w:before="20" w:after="20" w:line="240" w:lineRule="auto"/>
              <w:jc w:val="center"/>
            </w:pPr>
            <w:r/>
            <w:r>
              <w:rPr>
                <w:rFonts w:ascii="Times New Roman" w:hAnsi="Times New Roman"/>
                <w:b w:val="0"/>
                <w:sz w:val="16"/>
              </w:rPr>
              <w:t>0.0006</w:t>
            </w:r>
          </w:p>
        </w:tc>
        <w:tc>
          <w:tcPr>
            <w:tcW w:type="dxa" w:w="1337"/>
          </w:tcPr>
          <w:p>
            <w:pPr>
              <w:spacing w:before="20" w:after="20" w:line="240" w:lineRule="auto"/>
              <w:jc w:val="center"/>
            </w:pPr>
            <w:r/>
            <w:r>
              <w:rPr>
                <w:rFonts w:ascii="Times New Roman" w:hAnsi="Times New Roman"/>
                <w:b w:val="0"/>
                <w:sz w:val="16"/>
              </w:rPr>
              <w:t>−0.14</w:t>
            </w:r>
          </w:p>
        </w:tc>
        <w:tc>
          <w:tcPr>
            <w:tcW w:type="dxa" w:w="1337"/>
          </w:tcPr>
          <w:p>
            <w:pPr>
              <w:spacing w:before="20" w:after="20" w:line="240" w:lineRule="auto"/>
              <w:jc w:val="center"/>
            </w:pPr>
            <w:r/>
            <w:r>
              <w:rPr>
                <w:rFonts w:ascii="Times New Roman" w:hAnsi="Times New Roman"/>
                <w:b w:val="0"/>
                <w:sz w:val="16"/>
              </w:rPr>
              <w:t>0.019</w:t>
            </w:r>
          </w:p>
        </w:tc>
        <w:tc>
          <w:tcPr>
            <w:tcW w:type="dxa" w:w="1337"/>
          </w:tcPr>
          <w:p>
            <w:pPr>
              <w:spacing w:before="20" w:after="20" w:line="240" w:lineRule="auto"/>
              <w:jc w:val="center"/>
            </w:pPr>
            <w:r/>
            <w:r>
              <w:rPr>
                <w:rFonts w:ascii="Times New Roman" w:hAnsi="Times New Roman"/>
                <w:b w:val="0"/>
                <w:sz w:val="16"/>
              </w:rPr>
              <w:t>2,079,423</w:t>
            </w:r>
          </w:p>
        </w:tc>
      </w:tr>
      <w:tr>
        <w:tc>
          <w:tcPr>
            <w:tcW w:type="dxa" w:w="1337"/>
          </w:tcPr>
          <w:p>
            <w:pPr>
              <w:spacing w:before="20" w:after="20" w:line="240" w:lineRule="auto"/>
              <w:jc w:val="left"/>
            </w:pPr>
            <w:r/>
            <w:r>
              <w:rPr>
                <w:rFonts w:ascii="Times New Roman" w:hAnsi="Times New Roman"/>
                <w:b/>
                <w:sz w:val="16"/>
              </w:rPr>
              <w:t>C. Active-FTA-only sample</w:t>
            </w:r>
          </w:p>
        </w:tc>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c>
          <w:tcPr>
            <w:tcW w:type="dxa" w:w="1337"/>
          </w:tcPr>
          <w:p>
            <w:pPr>
              <w:spacing w:before="20" w:after="20" w:line="240" w:lineRule="auto"/>
              <w:jc w:val="center"/>
            </w:pPr>
            <w:r/>
            <w:r>
              <w:rPr>
                <w:rFonts w:ascii="Times New Roman" w:hAnsi="Times New Roman"/>
                <w:b w:val="0"/>
                <w:sz w:val="16"/>
              </w:rPr>
            </w:r>
          </w:p>
        </w:tc>
      </w:tr>
      <w:tr>
        <w:tc>
          <w:tcPr>
            <w:tcW w:type="dxa" w:w="1337"/>
          </w:tcPr>
          <w:p>
            <w:pPr>
              <w:spacing w:before="20" w:after="20" w:line="240" w:lineRule="auto"/>
              <w:jc w:val="left"/>
            </w:pPr>
            <w:r/>
            <w:r>
              <w:rPr>
                <w:rFonts w:ascii="Times New Roman" w:hAnsi="Times New Roman"/>
                <w:b w:val="0"/>
                <w:sz w:val="16"/>
              </w:rPr>
            </w:r>
          </w:p>
        </w:tc>
        <w:tc>
          <w:tcPr>
            <w:tcW w:type="dxa" w:w="1337"/>
          </w:tcPr>
          <w:p>
            <w:pPr>
              <w:spacing w:before="20" w:after="20" w:line="240" w:lineRule="auto"/>
              <w:jc w:val="left"/>
            </w:pPr>
            <w:r/>
            <w:r>
              <w:rPr>
                <w:rFonts w:ascii="Times New Roman" w:hAnsi="Times New Roman"/>
                <w:b w:val="0"/>
                <w:sz w:val="16"/>
              </w:rPr>
              <w:t>FTA-only, size-adjusted</w:t>
            </w:r>
          </w:p>
        </w:tc>
        <w:tc>
          <w:tcPr>
            <w:tcW w:type="dxa" w:w="1337"/>
          </w:tcPr>
          <w:p>
            <w:pPr>
              <w:spacing w:before="20" w:after="20" w:line="240" w:lineRule="auto"/>
              <w:jc w:val="center"/>
            </w:pPr>
            <w:r/>
            <w:r>
              <w:rPr>
                <w:rFonts w:ascii="Times New Roman" w:hAnsi="Times New Roman"/>
                <w:b w:val="0"/>
                <w:sz w:val="16"/>
              </w:rPr>
              <w:t>−0.0046</w:t>
            </w:r>
          </w:p>
        </w:tc>
        <w:tc>
          <w:tcPr>
            <w:tcW w:type="dxa" w:w="1337"/>
          </w:tcPr>
          <w:p>
            <w:pPr>
              <w:spacing w:before="20" w:after="20" w:line="240" w:lineRule="auto"/>
              <w:jc w:val="center"/>
            </w:pPr>
            <w:r/>
            <w:r>
              <w:rPr>
                <w:rFonts w:ascii="Times New Roman" w:hAnsi="Times New Roman"/>
                <w:b w:val="0"/>
                <w:sz w:val="16"/>
              </w:rPr>
              <w:t>0.0031</w:t>
            </w:r>
          </w:p>
        </w:tc>
        <w:tc>
          <w:tcPr>
            <w:tcW w:type="dxa" w:w="1337"/>
          </w:tcPr>
          <w:p>
            <w:pPr>
              <w:spacing w:before="20" w:after="20" w:line="240" w:lineRule="auto"/>
              <w:jc w:val="center"/>
            </w:pPr>
            <w:r/>
            <w:r>
              <w:rPr>
                <w:rFonts w:ascii="Times New Roman" w:hAnsi="Times New Roman"/>
                <w:b w:val="0"/>
                <w:sz w:val="16"/>
              </w:rPr>
              <w:t>−0.46</w:t>
            </w:r>
          </w:p>
        </w:tc>
        <w:tc>
          <w:tcPr>
            <w:tcW w:type="dxa" w:w="1337"/>
          </w:tcPr>
          <w:p>
            <w:pPr>
              <w:spacing w:before="20" w:after="20" w:line="240" w:lineRule="auto"/>
              <w:jc w:val="center"/>
            </w:pPr>
            <w:r/>
            <w:r>
              <w:rPr>
                <w:rFonts w:ascii="Times New Roman" w:hAnsi="Times New Roman"/>
                <w:b w:val="0"/>
                <w:sz w:val="16"/>
              </w:rPr>
              <w:t>0.162</w:t>
            </w:r>
          </w:p>
        </w:tc>
        <w:tc>
          <w:tcPr>
            <w:tcW w:type="dxa" w:w="1337"/>
          </w:tcPr>
          <w:p>
            <w:pPr>
              <w:spacing w:before="20" w:after="20" w:line="240" w:lineRule="auto"/>
              <w:jc w:val="center"/>
            </w:pPr>
            <w:r/>
            <w:r>
              <w:rPr>
                <w:rFonts w:ascii="Times New Roman" w:hAnsi="Times New Roman"/>
                <w:b w:val="0"/>
                <w:sz w:val="16"/>
              </w:rPr>
              <w:t>3,479,262</w:t>
            </w:r>
          </w:p>
        </w:tc>
      </w:tr>
    </w:tbl>
    <w:p>
      <w:pPr>
        <w:spacing w:before="60" w:after="120"/>
      </w:pPr>
      <w:r>
        <w:rPr>
          <w:rFonts w:ascii="Times New Roman" w:hAnsi="Times New Roman"/>
          <w:i/>
          <w:sz w:val="18"/>
        </w:rPr>
        <w:t>Notes: All specifications use the joint FTA + Depth LPM (Column 5 of Table 5) with lagged link-size control. Reported coefficient is GPR × DTA Depth. Standard errors are pair-plus-year multiway clustered. *** p &lt; 0.01, ** p &lt; 0.05, * p &lt; 0.10.</w:t>
      </w:r>
    </w:p>
    <w:p/>
    <w:p>
      <w:pPr>
        <w:spacing w:after="120"/>
        <w:jc w:val="center"/>
      </w:pPr>
      <w:r>
        <w:rPr>
          <w:rFonts w:ascii="Times New Roman" w:hAnsi="Times New Roman"/>
          <w:b/>
          <w:sz w:val="22"/>
        </w:rPr>
        <w:t>Figure 4. Leave-One-Year-Out Estimates of the DTA Depth–Survival Interaction</w:t>
      </w:r>
    </w:p>
    <w:p>
      <w:pPr>
        <w:jc w:val="center"/>
      </w:pPr>
      <w:r>
        <w:drawing>
          <wp:inline xmlns:a="http://schemas.openxmlformats.org/drawingml/2006/main" xmlns:pic="http://schemas.openxmlformats.org/drawingml/2006/picture">
            <wp:extent cx="5029200" cy="3070459"/>
            <wp:docPr id="2" name="Picture 2"/>
            <wp:cNvGraphicFramePr>
              <a:graphicFrameLocks noChangeAspect="1"/>
            </wp:cNvGraphicFramePr>
            <a:graphic>
              <a:graphicData uri="http://schemas.openxmlformats.org/drawingml/2006/picture">
                <pic:pic>
                  <pic:nvPicPr>
                    <pic:cNvPr id="0" name="figure4_leave_one_year_out_survival.png"/>
                    <pic:cNvPicPr/>
                  </pic:nvPicPr>
                  <pic:blipFill>
                    <a:blip r:embed="rId10"/>
                    <a:stretch>
                      <a:fillRect/>
                    </a:stretch>
                  </pic:blipFill>
                  <pic:spPr>
                    <a:xfrm>
                      <a:off x="0" y="0"/>
                      <a:ext cx="5029200" cy="3070459"/>
                    </a:xfrm>
                    <a:prstGeom prst="rect"/>
                  </pic:spPr>
                </pic:pic>
              </a:graphicData>
            </a:graphic>
          </wp:inline>
        </w:drawing>
      </w:r>
    </w:p>
    <w:p>
      <w:pPr>
        <w:spacing w:before="60" w:after="120"/>
        <w:jc w:val="both"/>
      </w:pPr>
      <w:r>
        <w:rPr>
          <w:rFonts w:ascii="Times New Roman" w:hAnsi="Times New Roman"/>
          <w:i/>
          <w:sz w:val="18"/>
        </w:rPr>
        <w:t>Notes: Each point reports the estimated GPR × DTA Depth coefficient from a separate joint LPM regression (Column 5 of Table 5) that excludes one transition year from the 2008–2023 sample. Vertical bars denote 95% confidence intervals under pair-plus-year multiway clustering. The dashed-dot horizontal line marks the full-sample estimate (−0.52 pp). All 16 iterations yield strictly negative coefficients significant at p &lt; 0.10.</w:t>
      </w:r>
    </w:p>
    <w:p/>
    <w:p>
      <w:pPr>
        <w:pStyle w:val="Heading2"/>
      </w:pPr>
      <w:r>
        <w:t>4.5. Post-Exit Recovery Dynamics: Short-Term Friction Versus Medium-Term Resilience</w:t>
      </w:r>
    </w:p>
    <w:p>
      <w:pPr>
        <w:ind w:firstLine="720"/>
      </w:pPr>
      <w:r>
        <w:t>Having documented that geopolitical risk accelerates trade-link destruction within deep agreements, we now examine the recovery dynamics following link exits. Table 7 reports LPM estimates for four post-exit outcomes: re-entry within one year, re-entry within two years, full value recovery within one year, and full value recovery within two years. The sample comprises 1,151,310 exit events observed between 2008 and 2022, with directed-pair fixed effects as the primary specification.</w:t>
      </w:r>
    </w:p>
    <w:p>
      <w:pPr>
        <w:ind w:firstLine="720"/>
      </w:pPr>
      <w:r>
        <w:t>The results reveal a temporal asymmetry that provides further insight into the economic mechanism. For one-year re-entry, the GPR × Depth interaction is −0.0035 (p = 0.044, effect: −0.35 percentage points), indicating that deeper agreements slow the short-term reconstitution of disrupted trade links. However, for two-year re-entry, the coefficient collapses to statistical insignificance (+0.0001, p = 0.978), and the full-recovery outcomes at both horizons are similarly insignificant (p &gt; 0.40).</w:t>
      </w:r>
    </w:p>
    <w:p>
      <w:pPr>
        <w:ind w:firstLine="720"/>
      </w:pPr>
      <w:r>
        <w:t>This dynamic pattern is consistent with a fixed-cost adjustment mechanism. In the immediate aftermath of a geopolitical shock, the compliance and renegotiation costs embedded in deep agreements—re-establishing rules-of-origin documentation, renewing regulatory certifications, and rebuilding trust with institutional counterparts—create friction that delays re-entry relative to shallow or non-preferential alternatives. However, over a two-year horizon, these same institutional frameworks facilitate re-engagement by providing established legal channels, dispute resolution mechanisms, and regulatory predictability. The result is not permanent hysteresis but rather a transitory adjustment cost that the institutional infrastructure of deep agreements eventually overcomes.</w:t>
      </w:r>
    </w:p>
    <w:p>
      <w:pPr>
        <w:ind w:firstLine="720"/>
      </w:pPr>
      <w:r>
        <w:t>Appendix Table A4 reports net GPR interaction effects at representative depth levels (0, 10, 20, and 30 enforceable provisions). For one-year re-entry, the net effect turns significantly negative only at high depth levels (20 provisions: −0.57 pp, p = 0.003; 30 provisions: −0.93 pp, p = 0.007), reinforcing the interpretation that the short-term friction is proportional to institutional complexity rather than a binary FTA effect.</w:t>
      </w:r>
    </w:p>
    <w:p/>
    <w:p>
      <w:pPr>
        <w:spacing w:after="120"/>
        <w:jc w:val="center"/>
      </w:pPr>
      <w:r>
        <w:rPr>
          <w:rFonts w:ascii="Times New Roman" w:hAnsi="Times New Roman"/>
          <w:b/>
          <w:sz w:val="22"/>
        </w:rPr>
        <w:t>Table 7. Post-Exit Recovery: GPR × DTA Depth Interactions (LPM)</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8"/>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Directed-pair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Pair–HS2 FE</w:t>
            </w:r>
          </w:p>
        </w:tc>
        <w:tc>
          <w:tcPr>
            <w:tcW w:type="dxa" w:w="1872"/>
            <w:tcBorders>
              <w:bottom w:val="single" w:sz="6" w:space="0" w:color="000000"/>
            </w:tcBorders>
          </w:tcPr>
          <w:p>
            <w:pPr>
              <w:spacing w:before="20" w:after="20" w:line="240" w:lineRule="auto"/>
              <w:jc w:val="center"/>
            </w:pPr>
            <w:r/>
            <w:r>
              <w:rPr>
                <w:rFonts w:ascii="Times New Roman" w:hAnsi="Times New Roman"/>
                <w:b/>
                <w:sz w:val="18"/>
              </w:rPr>
              <w:t>N</w:t>
            </w:r>
          </w:p>
        </w:tc>
      </w:tr>
      <w:tr>
        <w:tc>
          <w:tcPr>
            <w:tcW w:type="dxa" w:w="1872"/>
          </w:tcPr>
          <w:p>
            <w:pPr>
              <w:spacing w:before="20" w:after="20" w:line="240" w:lineRule="auto"/>
              <w:jc w:val="left"/>
            </w:pPr>
            <w:r/>
            <w:r>
              <w:rPr>
                <w:rFonts w:ascii="Times New Roman" w:hAnsi="Times New Roman"/>
                <w:b w:val="0"/>
                <w:sz w:val="18"/>
              </w:rPr>
              <w:t>Re-entry within one year</w:t>
            </w:r>
          </w:p>
        </w:tc>
        <w:tc>
          <w:tcPr>
            <w:tcW w:type="dxa" w:w="1872"/>
          </w:tcPr>
          <w:p>
            <w:pPr>
              <w:spacing w:before="20" w:after="20" w:line="240" w:lineRule="auto"/>
              <w:jc w:val="center"/>
            </w:pPr>
            <w:r/>
            <w:r>
              <w:rPr>
                <w:rFonts w:ascii="Times New Roman" w:hAnsi="Times New Roman"/>
                <w:sz w:val="18"/>
              </w:rPr>
              <w:t>−0.0035**</w:t>
            </w:r>
            <w:r>
              <w:rPr>
                <w:sz w:val="18"/>
              </w:rPr>
              <w:br/>
            </w:r>
            <w:r>
              <w:rPr>
                <w:rFonts w:ascii="Times New Roman" w:hAnsi="Times New Roman"/>
                <w:sz w:val="18"/>
              </w:rPr>
              <w:t>(0.0016)</w:t>
            </w:r>
            <w:r>
              <w:rPr>
                <w:sz w:val="18"/>
              </w:rPr>
              <w:br/>
            </w:r>
            <w:r>
              <w:rPr>
                <w:rFonts w:ascii="Times New Roman" w:hAnsi="Times New Roman"/>
                <w:sz w:val="18"/>
              </w:rPr>
              <w:t>[−0.35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(0.0021)</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Re-entry within two years</w:t>
            </w:r>
          </w:p>
        </w:tc>
        <w:tc>
          <w:tcPr>
            <w:tcW w:type="dxa" w:w="1872"/>
          </w:tcPr>
          <w:p>
            <w:pPr>
              <w:spacing w:before="20" w:after="20" w:line="240" w:lineRule="auto"/>
              <w:jc w:val="center"/>
            </w:pPr>
            <w:r/>
            <w:r>
              <w:rPr>
                <w:rFonts w:ascii="Times New Roman" w:hAnsi="Times New Roman"/>
                <w:sz w:val="18"/>
              </w:rPr>
              <w:t>0.0001</w:t>
            </w:r>
            <w:r>
              <w:rPr>
                <w:sz w:val="18"/>
              </w:rPr>
              <w:br/>
            </w:r>
            <w:r>
              <w:rPr>
                <w:rFonts w:ascii="Times New Roman" w:hAnsi="Times New Roman"/>
                <w:sz w:val="18"/>
              </w:rPr>
              <w:t>(0.0035)</w:t>
            </w:r>
            <w:r>
              <w:rPr>
                <w:sz w:val="18"/>
              </w:rPr>
              <w:br/>
            </w:r>
            <w:r>
              <w:rPr>
                <w:rFonts w:ascii="Times New Roman" w:hAnsi="Times New Roman"/>
                <w:sz w:val="18"/>
              </w:rPr>
              <w:t>[+0.01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0.0013</w:t>
            </w:r>
            <w:r>
              <w:rPr>
                <w:sz w:val="18"/>
              </w:rPr>
              <w:br/>
            </w:r>
            <w:r>
              <w:rPr>
                <w:rFonts w:ascii="Times New Roman" w:hAnsi="Times New Roman"/>
                <w:sz w:val="18"/>
              </w:rPr>
              <w:t>(0.0056)</w:t>
            </w:r>
            <w:r>
              <w:rPr>
                <w:sz w:val="18"/>
              </w:rPr>
              <w:br/>
            </w:r>
            <w:r>
              <w:rPr>
                <w:rFonts w:ascii="Times New Roman" w:hAnsi="Times New Roman"/>
                <w:sz w:val="18"/>
              </w:rPr>
              <w:t>[+0.13 pp]</w:t>
            </w:r>
          </w:p>
        </w:tc>
        <w:tc>
          <w:tcPr>
            <w:tcW w:type="dxa" w:w="1872"/>
          </w:tcPr>
          <w:p>
            <w:pPr>
              <w:spacing w:before="20" w:after="20" w:line="240" w:lineRule="auto"/>
              <w:jc w:val="center"/>
            </w:pPr>
            <w:r/>
            <w:r>
              <w:rPr>
                <w:rFonts w:ascii="Times New Roman" w:hAnsi="Times New Roman"/>
                <w:b w:val="0"/>
                <w:sz w:val="18"/>
              </w:rPr>
              <w:t>752,846</w:t>
            </w:r>
          </w:p>
        </w:tc>
      </w:tr>
      <w:tr>
        <w:tc>
          <w:tcPr>
            <w:tcW w:type="dxa" w:w="1872"/>
          </w:tcPr>
          <w:p>
            <w:pPr>
              <w:spacing w:before="20" w:after="20" w:line="240" w:lineRule="auto"/>
              <w:jc w:val="left"/>
            </w:pPr>
            <w:r/>
            <w:r>
              <w:rPr>
                <w:rFonts w:ascii="Times New Roman" w:hAnsi="Times New Roman"/>
                <w:b w:val="0"/>
                <w:sz w:val="18"/>
              </w:rPr>
              <w:t>Full recovery within one year</w:t>
            </w:r>
          </w:p>
        </w:tc>
        <w:tc>
          <w:tcPr>
            <w:tcW w:type="dxa" w:w="1872"/>
          </w:tcPr>
          <w:p>
            <w:pPr>
              <w:spacing w:before="20" w:after="20" w:line="240" w:lineRule="auto"/>
              <w:jc w:val="center"/>
            </w:pPr>
            <w:r/>
            <w:r>
              <w:rPr>
                <w:rFonts w:ascii="Times New Roman" w:hAnsi="Times New Roman"/>
                <w:sz w:val="18"/>
              </w:rPr>
              <w:t>−0.0009</w:t>
            </w:r>
            <w:r>
              <w:rPr>
                <w:sz w:val="18"/>
              </w:rPr>
              <w:br/>
            </w:r>
            <w:r>
              <w:rPr>
                <w:rFonts w:ascii="Times New Roman" w:hAnsi="Times New Roman"/>
                <w:sz w:val="18"/>
              </w:rPr>
              <w:t>(0.0011)</w:t>
            </w:r>
            <w:r>
              <w:rPr>
                <w:sz w:val="18"/>
              </w:rPr>
              <w:br/>
            </w:r>
            <w:r>
              <w:rPr>
                <w:rFonts w:ascii="Times New Roman" w:hAnsi="Times New Roman"/>
                <w:sz w:val="18"/>
              </w:rPr>
              <w:t>[−0.09 pp]</w:t>
            </w:r>
          </w:p>
        </w:tc>
        <w:tc>
          <w:tcPr>
            <w:tcW w:type="dxa" w:w="1872"/>
          </w:tcPr>
          <w:p>
            <w:pPr>
              <w:spacing w:before="20" w:after="20" w:line="240" w:lineRule="auto"/>
              <w:jc w:val="center"/>
            </w:pPr>
            <w:r/>
            <w:r>
              <w:rPr>
                <w:rFonts w:ascii="Times New Roman" w:hAnsi="Times New Roman"/>
                <w:b w:val="0"/>
                <w:sz w:val="18"/>
              </w:rPr>
              <w:t>1,151,310</w:t>
            </w:r>
          </w:p>
        </w:tc>
        <w:tc>
          <w:tcPr>
            <w:tcW w:type="dxa" w:w="1872"/>
          </w:tcPr>
          <w:p>
            <w:pPr>
              <w:spacing w:before="20" w:after="20" w:line="240" w:lineRule="auto"/>
              <w:jc w:val="center"/>
            </w:pPr>
            <w:r/>
            <w:r>
              <w:rPr>
                <w:rFonts w:ascii="Times New Roman" w:hAnsi="Times New Roman"/>
                <w:sz w:val="18"/>
              </w:rPr>
              <w:t>0.0005</w:t>
            </w:r>
            <w:r>
              <w:rPr>
                <w:sz w:val="18"/>
              </w:rPr>
              <w:br/>
            </w:r>
            <w:r>
              <w:rPr>
                <w:rFonts w:ascii="Times New Roman" w:hAnsi="Times New Roman"/>
                <w:sz w:val="18"/>
              </w:rPr>
              <w:t>(0.0016)</w:t>
            </w:r>
            <w:r>
              <w:rPr>
                <w:sz w:val="18"/>
              </w:rPr>
              <w:br/>
            </w:r>
            <w:r>
              <w:rPr>
                <w:rFonts w:ascii="Times New Roman" w:hAnsi="Times New Roman"/>
                <w:sz w:val="18"/>
              </w:rPr>
              <w:t>[+0.05 pp]</w:t>
            </w:r>
          </w:p>
        </w:tc>
        <w:tc>
          <w:tcPr>
            <w:tcW w:type="dxa" w:w="1872"/>
          </w:tcPr>
          <w:p>
            <w:pPr>
              <w:spacing w:before="20" w:after="20" w:line="240" w:lineRule="auto"/>
              <w:jc w:val="center"/>
            </w:pPr>
            <w:r/>
            <w:r>
              <w:rPr>
                <w:rFonts w:ascii="Times New Roman" w:hAnsi="Times New Roman"/>
                <w:b w:val="0"/>
                <w:sz w:val="18"/>
              </w:rPr>
              <w:t>839,585</w:t>
            </w:r>
          </w:p>
        </w:tc>
      </w:tr>
      <w:tr>
        <w:tc>
          <w:tcPr>
            <w:tcW w:type="dxa" w:w="1872"/>
          </w:tcPr>
          <w:p>
            <w:pPr>
              <w:spacing w:before="20" w:after="20" w:line="240" w:lineRule="auto"/>
              <w:jc w:val="left"/>
            </w:pPr>
            <w:r/>
            <w:r>
              <w:rPr>
                <w:rFonts w:ascii="Times New Roman" w:hAnsi="Times New Roman"/>
                <w:b w:val="0"/>
                <w:sz w:val="18"/>
              </w:rPr>
              <w:t>Full recovery within two years</w:t>
            </w:r>
          </w:p>
        </w:tc>
        <w:tc>
          <w:tcPr>
            <w:tcW w:type="dxa" w:w="1872"/>
          </w:tcPr>
          <w:p>
            <w:pPr>
              <w:spacing w:before="20" w:after="20" w:line="240" w:lineRule="auto"/>
              <w:jc w:val="center"/>
            </w:pPr>
            <w:r/>
            <w:r>
              <w:rPr>
                <w:rFonts w:ascii="Times New Roman" w:hAnsi="Times New Roman"/>
                <w:sz w:val="18"/>
              </w:rPr>
              <w:t>−0.0002</w:t>
            </w:r>
            <w:r>
              <w:rPr>
                <w:sz w:val="18"/>
              </w:rPr>
              <w:br/>
            </w:r>
            <w:r>
              <w:rPr>
                <w:rFonts w:ascii="Times New Roman" w:hAnsi="Times New Roman"/>
                <w:sz w:val="18"/>
              </w:rPr>
              <w:t>(0.0036)</w:t>
            </w:r>
            <w:r>
              <w:rPr>
                <w:sz w:val="18"/>
              </w:rPr>
              <w:br/>
            </w:r>
            <w:r>
              <w:rPr>
                <w:rFonts w:ascii="Times New Roman" w:hAnsi="Times New Roman"/>
                <w:sz w:val="18"/>
              </w:rPr>
              <w:t>[−0.02 pp]</w:t>
            </w:r>
          </w:p>
        </w:tc>
        <w:tc>
          <w:tcPr>
            <w:tcW w:type="dxa" w:w="1872"/>
          </w:tcPr>
          <w:p>
            <w:pPr>
              <w:spacing w:before="20" w:after="20" w:line="240" w:lineRule="auto"/>
              <w:jc w:val="center"/>
            </w:pPr>
            <w:r/>
            <w:r>
              <w:rPr>
                <w:rFonts w:ascii="Times New Roman" w:hAnsi="Times New Roman"/>
                <w:b w:val="0"/>
                <w:sz w:val="18"/>
              </w:rPr>
              <w:t>1,064,542</w:t>
            </w:r>
          </w:p>
        </w:tc>
        <w:tc>
          <w:tcPr>
            <w:tcW w:type="dxa" w:w="1872"/>
          </w:tcPr>
          <w:p>
            <w:pPr>
              <w:spacing w:before="20" w:after="20" w:line="240" w:lineRule="auto"/>
              <w:jc w:val="center"/>
            </w:pPr>
            <w:r/>
            <w:r>
              <w:rPr>
                <w:rFonts w:ascii="Times New Roman" w:hAnsi="Times New Roman"/>
                <w:sz w:val="18"/>
              </w:rPr>
              <w:t>0.0041</w:t>
            </w:r>
            <w:r>
              <w:rPr>
                <w:sz w:val="18"/>
              </w:rPr>
              <w:br/>
            </w:r>
            <w:r>
              <w:rPr>
                <w:rFonts w:ascii="Times New Roman" w:hAnsi="Times New Roman"/>
                <w:sz w:val="18"/>
              </w:rPr>
              <w:t>(0.0059)</w:t>
            </w:r>
            <w:r>
              <w:rPr>
                <w:sz w:val="18"/>
              </w:rPr>
              <w:br/>
            </w:r>
            <w:r>
              <w:rPr>
                <w:rFonts w:ascii="Times New Roman" w:hAnsi="Times New Roman"/>
                <w:sz w:val="18"/>
              </w:rPr>
              <w:t>[+0.41 pp]</w:t>
            </w:r>
          </w:p>
        </w:tc>
        <w:tc>
          <w:tcPr>
            <w:tcW w:type="dxa" w:w="1872"/>
          </w:tcPr>
          <w:p>
            <w:pPr>
              <w:spacing w:before="20" w:after="20" w:line="240" w:lineRule="auto"/>
              <w:jc w:val="center"/>
            </w:pPr>
            <w:r/>
            <w:r>
              <w:rPr>
                <w:rFonts w:ascii="Times New Roman" w:hAnsi="Times New Roman"/>
                <w:b w:val="0"/>
                <w:sz w:val="18"/>
              </w:rPr>
              <w:t>752,846</w:t>
            </w:r>
          </w:p>
        </w:tc>
      </w:tr>
    </w:tbl>
    <w:p>
      <w:pPr>
        <w:spacing w:before="60" w:after="120"/>
      </w:pPr>
      <w:r>
        <w:rPr>
          <w:rFonts w:ascii="Times New Roman" w:hAnsi="Times New Roman"/>
          <w:i/>
          <w:sz w:val="18"/>
        </w:rPr>
        <w:t>Notes: Each cell reports the GPR × DTA Depth interaction from a separate LPM regression. Directed-pair FE is the primary specification; Pair–HS2 FE is a stringent robustness check. Standard errors in parentheses (pair + exit-year clustered). Effects in percentage points. *** p &lt; 0.01, ** p &lt; 0.05, * p &lt; 0.10.</w:t>
      </w:r>
    </w:p>
    <w:p/>
    <w:p>
      <w:pPr>
        <w:spacing w:after="120"/>
        <w:jc w:val="center"/>
      </w:pPr>
      <w:r>
        <w:rPr>
          <w:rFonts w:ascii="Times New Roman" w:hAnsi="Times New Roman"/>
          <w:b/>
          <w:sz w:val="22"/>
        </w:rPr>
        <w:t>Appendix Table A4. Post-Exit Recovery: Net GPR Interaction Effects at Representative Depth Levels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Outcome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Enforceable</w:t>
              <w:br/>
              <w:t>provisions</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Net effect (pp)</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p-value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val="0"/>
                <w:sz w:val="16"/>
              </w:rPr>
              <w:t>Re-entry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0.570</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−0.22 pp</w:t>
            </w:r>
          </w:p>
        </w:tc>
        <w:tc>
          <w:tcPr>
            <w:tcW w:type="dxa" w:w="1872"/>
          </w:tcPr>
          <w:p>
            <w:pPr>
              <w:spacing w:before="20" w:after="20" w:line="240" w:lineRule="auto"/>
              <w:jc w:val="center"/>
            </w:pPr>
            <w:r/>
            <w:r>
              <w:rPr>
                <w:rFonts w:ascii="Times New Roman" w:hAnsi="Times New Roman"/>
                <w:b w:val="0"/>
                <w:sz w:val="16"/>
              </w:rPr>
              <w:t>0.089</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−0.57 pp</w:t>
            </w:r>
          </w:p>
        </w:tc>
        <w:tc>
          <w:tcPr>
            <w:tcW w:type="dxa" w:w="1872"/>
          </w:tcPr>
          <w:p>
            <w:pPr>
              <w:spacing w:before="20" w:after="20" w:line="240" w:lineRule="auto"/>
              <w:jc w:val="center"/>
            </w:pPr>
            <w:r/>
            <w:r>
              <w:rPr>
                <w:rFonts w:ascii="Times New Roman" w:hAnsi="Times New Roman"/>
                <w:b w:val="0"/>
                <w:sz w:val="16"/>
              </w:rPr>
              <w:t>0.003</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−0.93 pp</w:t>
            </w:r>
          </w:p>
        </w:tc>
        <w:tc>
          <w:tcPr>
            <w:tcW w:type="dxa" w:w="1872"/>
          </w:tcPr>
          <w:p>
            <w:pPr>
              <w:spacing w:before="20" w:after="20" w:line="240" w:lineRule="auto"/>
              <w:jc w:val="center"/>
            </w:pPr>
            <w:r/>
            <w:r>
              <w:rPr>
                <w:rFonts w:ascii="Times New Roman" w:hAnsi="Times New Roman"/>
                <w:b w:val="0"/>
                <w:sz w:val="16"/>
              </w:rPr>
              <w:t>0.007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Re-entry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+0.35 pp</w:t>
            </w:r>
          </w:p>
        </w:tc>
        <w:tc>
          <w:tcPr>
            <w:tcW w:type="dxa" w:w="1872"/>
          </w:tcPr>
          <w:p>
            <w:pPr>
              <w:spacing w:before="20" w:after="20" w:line="240" w:lineRule="auto"/>
              <w:jc w:val="center"/>
            </w:pPr>
            <w:r/>
            <w:r>
              <w:rPr>
                <w:rFonts w:ascii="Times New Roman" w:hAnsi="Times New Roman"/>
                <w:b w:val="0"/>
                <w:sz w:val="16"/>
              </w:rPr>
              <w:t>0.567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+0.36 pp</w:t>
            </w:r>
          </w:p>
        </w:tc>
        <w:tc>
          <w:tcPr>
            <w:tcW w:type="dxa" w:w="1872"/>
          </w:tcPr>
          <w:p>
            <w:pPr>
              <w:spacing w:before="20" w:after="20" w:line="240" w:lineRule="auto"/>
              <w:jc w:val="center"/>
            </w:pPr>
            <w:r/>
            <w:r>
              <w:rPr>
                <w:rFonts w:ascii="Times New Roman" w:hAnsi="Times New Roman"/>
                <w:b w:val="0"/>
                <w:sz w:val="16"/>
              </w:rPr>
              <w:t>0.451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+0.37 pp</w:t>
            </w:r>
          </w:p>
        </w:tc>
        <w:tc>
          <w:tcPr>
            <w:tcW w:type="dxa" w:w="1872"/>
          </w:tcPr>
          <w:p>
            <w:pPr>
              <w:spacing w:before="20" w:after="20" w:line="240" w:lineRule="auto"/>
              <w:jc w:val="center"/>
            </w:pPr>
            <w:r/>
            <w:r>
              <w:rPr>
                <w:rFonts w:ascii="Times New Roman" w:hAnsi="Times New Roman"/>
                <w:b w:val="0"/>
                <w:sz w:val="16"/>
              </w:rPr>
              <w:t>0.527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+0.38 pp</w:t>
            </w:r>
          </w:p>
        </w:tc>
        <w:tc>
          <w:tcPr>
            <w:tcW w:type="dxa" w:w="1872"/>
          </w:tcPr>
          <w:p>
            <w:pPr>
              <w:spacing w:before="20" w:after="20" w:line="240" w:lineRule="auto"/>
              <w:jc w:val="center"/>
            </w:pPr>
            <w:r/>
            <w:r>
              <w:rPr>
                <w:rFonts w:ascii="Times New Roman" w:hAnsi="Times New Roman"/>
                <w:b w:val="0"/>
                <w:sz w:val="16"/>
              </w:rPr>
              <w:t>0.653</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t>Full recovery within one year</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−0.02 pp</w:t>
            </w:r>
          </w:p>
        </w:tc>
        <w:tc>
          <w:tcPr>
            <w:tcW w:type="dxa" w:w="1872"/>
          </w:tcPr>
          <w:p>
            <w:pPr>
              <w:spacing w:before="20" w:after="20" w:line="240" w:lineRule="auto"/>
              <w:jc w:val="center"/>
            </w:pPr>
            <w:r/>
            <w:r>
              <w:rPr>
                <w:rFonts w:ascii="Times New Roman" w:hAnsi="Times New Roman"/>
                <w:b w:val="0"/>
                <w:sz w:val="16"/>
              </w:rPr>
              <w:t>0.912</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−0.11 pp</w:t>
            </w:r>
          </w:p>
        </w:tc>
        <w:tc>
          <w:tcPr>
            <w:tcW w:type="dxa" w:w="1872"/>
          </w:tcPr>
          <w:p>
            <w:pPr>
              <w:spacing w:before="20" w:after="20" w:line="240" w:lineRule="auto"/>
              <w:jc w:val="center"/>
            </w:pPr>
            <w:r/>
            <w:r>
              <w:rPr>
                <w:rFonts w:ascii="Times New Roman" w:hAnsi="Times New Roman"/>
                <w:b w:val="0"/>
                <w:sz w:val="16"/>
              </w:rPr>
              <w:t>0.291</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−0.19 pp</w:t>
            </w:r>
          </w:p>
        </w:tc>
        <w:tc>
          <w:tcPr>
            <w:tcW w:type="dxa" w:w="1872"/>
          </w:tcPr>
          <w:p>
            <w:pPr>
              <w:spacing w:before="20" w:after="20" w:line="240" w:lineRule="auto"/>
              <w:jc w:val="center"/>
            </w:pPr>
            <w:r/>
            <w:r>
              <w:rPr>
                <w:rFonts w:ascii="Times New Roman" w:hAnsi="Times New Roman"/>
                <w:b w:val="0"/>
                <w:sz w:val="16"/>
              </w:rPr>
              <w:t>0.116</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−0.28 pp</w:t>
            </w:r>
          </w:p>
        </w:tc>
        <w:tc>
          <w:tcPr>
            <w:tcW w:type="dxa" w:w="1872"/>
          </w:tcPr>
          <w:p>
            <w:pPr>
              <w:spacing w:before="20" w:after="20" w:line="240" w:lineRule="auto"/>
              <w:jc w:val="center"/>
            </w:pPr>
            <w:r/>
            <w:r>
              <w:rPr>
                <w:rFonts w:ascii="Times New Roman" w:hAnsi="Times New Roman"/>
                <w:b w:val="0"/>
                <w:sz w:val="16"/>
              </w:rPr>
              <w:t>0.187</w:t>
            </w:r>
          </w:p>
        </w:tc>
        <w:tc>
          <w:tcPr>
            <w:tcW w:type="dxa" w:w="1872"/>
          </w:tcPr>
          <w:p>
            <w:pPr>
              <w:spacing w:before="20" w:after="20" w:line="240" w:lineRule="auto"/>
              <w:jc w:val="center"/>
            </w:pPr>
            <w:r/>
            <w:r>
              <w:rPr>
                <w:rFonts w:ascii="Times New Roman" w:hAnsi="Times New Roman"/>
                <w:b w:val="0"/>
                <w:sz w:val="16"/>
              </w:rPr>
              <w:t>1,151,310</w:t>
            </w:r>
          </w:p>
        </w:tc>
      </w:tr>
      <w:tr>
        <w:tc>
          <w:tcPr>
            <w:tcW w:type="dxa" w:w="1872"/>
          </w:tcPr>
          <w:p>
            <w:pPr>
              <w:spacing w:before="20" w:after="20" w:line="240" w:lineRule="auto"/>
              <w:jc w:val="left"/>
            </w:pPr>
            <w:r/>
            <w:r>
              <w:rPr>
                <w:rFonts w:ascii="Times New Roman" w:hAnsi="Times New Roman"/>
                <w:b w:val="0"/>
                <w:sz w:val="16"/>
              </w:rPr>
              <w:t>Full recovery within two years</w:t>
            </w:r>
          </w:p>
        </w:tc>
        <w:tc>
          <w:tcPr>
            <w:tcW w:type="dxa" w:w="1872"/>
          </w:tcPr>
          <w:p>
            <w:pPr>
              <w:spacing w:before="20" w:after="20" w:line="240" w:lineRule="auto"/>
              <w:jc w:val="center"/>
            </w:pPr>
            <w:r/>
            <w:r>
              <w:rPr>
                <w:rFonts w:ascii="Times New Roman" w:hAnsi="Times New Roman"/>
                <w:b w:val="0"/>
                <w:sz w:val="16"/>
              </w:rPr>
              <w:t>0</w:t>
            </w:r>
          </w:p>
        </w:tc>
        <w:tc>
          <w:tcPr>
            <w:tcW w:type="dxa" w:w="1872"/>
          </w:tcPr>
          <w:p>
            <w:pPr>
              <w:spacing w:before="20" w:after="20" w:line="240" w:lineRule="auto"/>
              <w:jc w:val="center"/>
            </w:pPr>
            <w:r/>
            <w:r>
              <w:rPr>
                <w:rFonts w:ascii="Times New Roman" w:hAnsi="Times New Roman"/>
                <w:b w:val="0"/>
                <w:sz w:val="16"/>
              </w:rPr>
              <w:t>−0.07 pp</w:t>
            </w:r>
          </w:p>
        </w:tc>
        <w:tc>
          <w:tcPr>
            <w:tcW w:type="dxa" w:w="1872"/>
          </w:tcPr>
          <w:p>
            <w:pPr>
              <w:spacing w:before="20" w:after="20" w:line="240" w:lineRule="auto"/>
              <w:jc w:val="center"/>
            </w:pPr>
            <w:r/>
            <w:r>
              <w:rPr>
                <w:rFonts w:ascii="Times New Roman" w:hAnsi="Times New Roman"/>
                <w:b w:val="0"/>
                <w:sz w:val="16"/>
              </w:rPr>
              <w:t>0.901</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10</w:t>
            </w:r>
          </w:p>
        </w:tc>
        <w:tc>
          <w:tcPr>
            <w:tcW w:type="dxa" w:w="1872"/>
          </w:tcPr>
          <w:p>
            <w:pPr>
              <w:spacing w:before="20" w:after="20" w:line="240" w:lineRule="auto"/>
              <w:jc w:val="center"/>
            </w:pPr>
            <w:r/>
            <w:r>
              <w:rPr>
                <w:rFonts w:ascii="Times New Roman" w:hAnsi="Times New Roman"/>
                <w:b w:val="0"/>
                <w:sz w:val="16"/>
              </w:rPr>
              <w:t>−0.10 pp</w:t>
            </w:r>
          </w:p>
        </w:tc>
        <w:tc>
          <w:tcPr>
            <w:tcW w:type="dxa" w:w="1872"/>
          </w:tcPr>
          <w:p>
            <w:pPr>
              <w:spacing w:before="20" w:after="20" w:line="240" w:lineRule="auto"/>
              <w:jc w:val="center"/>
            </w:pPr>
            <w:r/>
            <w:r>
              <w:rPr>
                <w:rFonts w:ascii="Times New Roman" w:hAnsi="Times New Roman"/>
                <w:b w:val="0"/>
                <w:sz w:val="16"/>
              </w:rPr>
              <w:t>0.826</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20</w:t>
            </w:r>
          </w:p>
        </w:tc>
        <w:tc>
          <w:tcPr>
            <w:tcW w:type="dxa" w:w="1872"/>
          </w:tcPr>
          <w:p>
            <w:pPr>
              <w:spacing w:before="20" w:after="20" w:line="240" w:lineRule="auto"/>
              <w:jc w:val="center"/>
            </w:pPr>
            <w:r/>
            <w:r>
              <w:rPr>
                <w:rFonts w:ascii="Times New Roman" w:hAnsi="Times New Roman"/>
                <w:b w:val="0"/>
                <w:sz w:val="16"/>
              </w:rPr>
              <w:t>−0.12 pp</w:t>
            </w:r>
          </w:p>
        </w:tc>
        <w:tc>
          <w:tcPr>
            <w:tcW w:type="dxa" w:w="1872"/>
          </w:tcPr>
          <w:p>
            <w:pPr>
              <w:spacing w:before="20" w:after="20" w:line="240" w:lineRule="auto"/>
              <w:jc w:val="center"/>
            </w:pPr>
            <w:r/>
            <w:r>
              <w:rPr>
                <w:rFonts w:ascii="Times New Roman" w:hAnsi="Times New Roman"/>
                <w:b w:val="0"/>
                <w:sz w:val="16"/>
              </w:rPr>
              <w:t>0.827</w:t>
            </w:r>
          </w:p>
        </w:tc>
        <w:tc>
          <w:tcPr>
            <w:tcW w:type="dxa" w:w="1872"/>
          </w:tcPr>
          <w:p>
            <w:pPr>
              <w:spacing w:before="20" w:after="20" w:line="240" w:lineRule="auto"/>
              <w:jc w:val="center"/>
            </w:pPr>
            <w:r/>
            <w:r>
              <w:rPr>
                <w:rFonts w:ascii="Times New Roman" w:hAnsi="Times New Roman"/>
                <w:b w:val="0"/>
                <w:sz w:val="16"/>
              </w:rPr>
              <w:t>1,064,542</w:t>
            </w:r>
          </w:p>
        </w:tc>
      </w:tr>
      <w:tr>
        <w:tc>
          <w:tcPr>
            <w:tcW w:type="dxa" w:w="1872"/>
          </w:tcPr>
          <w:p>
            <w:pPr>
              <w:spacing w:before="20" w:after="20" w:line="240" w:lineRule="auto"/>
              <w:jc w:val="left"/>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t>30</w:t>
            </w:r>
          </w:p>
        </w:tc>
        <w:tc>
          <w:tcPr>
            <w:tcW w:type="dxa" w:w="1872"/>
          </w:tcPr>
          <w:p>
            <w:pPr>
              <w:spacing w:before="20" w:after="20" w:line="240" w:lineRule="auto"/>
              <w:jc w:val="center"/>
            </w:pPr>
            <w:r/>
            <w:r>
              <w:rPr>
                <w:rFonts w:ascii="Times New Roman" w:hAnsi="Times New Roman"/>
                <w:b w:val="0"/>
                <w:sz w:val="16"/>
              </w:rPr>
              <w:t>−0.14 pp</w:t>
            </w:r>
          </w:p>
        </w:tc>
        <w:tc>
          <w:tcPr>
            <w:tcW w:type="dxa" w:w="1872"/>
          </w:tcPr>
          <w:p>
            <w:pPr>
              <w:spacing w:before="20" w:after="20" w:line="240" w:lineRule="auto"/>
              <w:jc w:val="center"/>
            </w:pPr>
            <w:r/>
            <w:r>
              <w:rPr>
                <w:rFonts w:ascii="Times New Roman" w:hAnsi="Times New Roman"/>
                <w:b w:val="0"/>
                <w:sz w:val="16"/>
              </w:rPr>
              <w:t>0.863</w:t>
            </w:r>
          </w:p>
        </w:tc>
        <w:tc>
          <w:tcPr>
            <w:tcW w:type="dxa" w:w="1872"/>
          </w:tcPr>
          <w:p>
            <w:pPr>
              <w:spacing w:before="20" w:after="20" w:line="240" w:lineRule="auto"/>
              <w:jc w:val="center"/>
            </w:pPr>
            <w:r/>
            <w:r>
              <w:rPr>
                <w:rFonts w:ascii="Times New Roman" w:hAnsi="Times New Roman"/>
                <w:b w:val="0"/>
                <w:sz w:val="16"/>
              </w:rPr>
              <w:t>1,064,542</w:t>
            </w:r>
          </w:p>
        </w:tc>
      </w:tr>
    </w:tbl>
    <w:p>
      <w:pPr>
        <w:spacing w:before="60" w:after="120"/>
      </w:pPr>
      <w:r>
        <w:rPr>
          <w:rFonts w:ascii="Times New Roman" w:hAnsi="Times New Roman"/>
          <w:i/>
          <w:sz w:val="18"/>
        </w:rPr>
        <w:t>Notes: Net effect = β_FTA + D × β_Depth, where D is the number of enforceable provisions. Primary directed-pair FE specification with pair + exit-year multiway clustering. *** p &lt; 0.01, ** p &lt; 0.05, * p &lt; 0.10.</w:t>
      </w:r>
    </w:p>
    <w:p>
      <w:pPr>
        <w:pStyle w:val="Heading2"/>
      </w:pPr>
      <w:r>
        <w:t>4.6. Country-Specific Geopolitical Risk</w:t>
      </w:r>
    </w:p>
    <w:p>
      <w:pPr>
        <w:ind w:firstLine="720"/>
      </w:pPr>
      <w:r>
        <w:t>Our baseline specifications use global GPR as the shock variable, which has the econometric advantage of being plausibly exogenous to any bilateral trade pair. However, one may question whether the mechanism operates similarly when geopolitical risk is measured at the country level. Table 8 addresses this concern by re-estimating both the trade-value PPML and trade-link survival LPM using bilateral pair-specific GPR indices—constructed as the average or maximum of the exporter- and importer-specific GPR series from Caldara and Iacoviello (2022). Figure A2 provides a visual comparison of the coefficient estimates across all shock specifications.</w:t>
      </w:r>
    </w:p>
    <w:p>
      <w:pPr>
        <w:ind w:firstLine="720"/>
      </w:pPr>
      <w:r>
        <w:t>Panel A of Table 8 shows that the trade-value PPML results strengthen considerably under country-specific GPR. Using the average pair-country GPR, the FTA interaction deepens to −0.0852 (p = 0.007, effect: −8.17%), while the depth interaction turns significantly positive at +0.0280 (p = 0.018, effect: +2.84%). The log-average and maximum formulations produce qualitatively identical patterns. Importantly, a restricted-sample benchmark using global GPR on the same 946-pair subsample confirms that the stronger magnitudes reflect both the reduced sample composition and the higher signal-to-noise ratio of country-specific shocks, rather than sample selection alone.</w:t>
      </w:r>
    </w:p>
    <w:p>
      <w:pPr>
        <w:ind w:firstLine="720"/>
      </w:pPr>
      <w:r>
        <w:t>Panel B reports survival LPM results with country-specific GPR. The depth interaction remains consistently negative and highly significant across all three bilateral shock measures (average: −0.17 pp, p &lt; 0.001; log-average: −0.15 pp, p = 0.002; maximum: −0.20 pp, p &lt; 0.001). This robustness across both global and bilateral risk measures confirms that the survival-destroying effect of deep agreements under geopolitical stress is not an artifact of the global GPR index construction.</w:t>
      </w:r>
    </w:p>
    <w:p/>
    <w:p>
      <w:pPr>
        <w:spacing w:after="120"/>
        <w:jc w:val="center"/>
      </w:pPr>
      <w:r>
        <w:rPr>
          <w:rFonts w:ascii="Times New Roman" w:hAnsi="Times New Roman"/>
          <w:b/>
          <w:sz w:val="22"/>
        </w:rPr>
        <w:t>Table 8. Country-Specific GPR Robustness</w:t>
      </w:r>
    </w:p>
    <w:tbl>
      <w:tblPr>
        <w:tblW w:type="auto" w:w="0"/>
        <w:jc w:val="center"/>
        <w:tblLook w:firstColumn="1" w:firstRow="1" w:lastColumn="0" w:lastRow="0" w:noHBand="0" w:noVBand="1" w:val="04A0"/>
        <w:tblBorders>
          <w:top w:val="single" w:sz="12" w:space="0" w:color="000000"/>
          <w:bottom w:val="single" w:sz="12" w:space="0" w:color="000000"/>
          <w:insideH w:val="none" w:sz="0" w:space="0" w:color="000000"/>
          <w:insideV w:val="none" w:sz="0" w:space="0" w:color="000000"/>
          <w:left w:val="none" w:sz="0" w:space="0" w:color="000000"/>
          <w:right w:val="none" w:sz="0" w:space="0" w:color="000000"/>
        </w:tblBorders>
      </w:tblPr>
      <w:tblGrid>
        <w:gridCol w:w="1872"/>
        <w:gridCol w:w="1872"/>
        <w:gridCol w:w="1872"/>
        <w:gridCol w:w="1872"/>
        <w:gridCol w:w="1872"/>
      </w:tblGrid>
      <w:tr>
        <w:tc>
          <w:tcPr>
            <w:tcW w:type="dxa" w:w="1872"/>
            <w:tcBorders>
              <w:bottom w:val="single" w:sz="6" w:space="0" w:color="000000"/>
            </w:tcBorders>
          </w:tcPr>
          <w:p>
            <w:pPr>
              <w:spacing w:before="20" w:after="20" w:line="240" w:lineRule="auto"/>
              <w:jc w:val="left"/>
            </w:pPr>
            <w:r/>
            <w:r>
              <w:rPr>
                <w:rFonts w:ascii="Times New Roman" w:hAnsi="Times New Roman"/>
                <w:b/>
                <w:sz w:val="16"/>
              </w:rPr>
              <w:t>Shock measure</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FTA</w:t>
            </w:r>
          </w:p>
        </w:tc>
        <w:tc>
          <w:tcPr>
            <w:tcW w:type="dxa" w:w="1872"/>
            <w:tcBorders>
              <w:bottom w:val="single" w:sz="6" w:space="0" w:color="000000"/>
            </w:tcBorders>
          </w:tcPr>
          <w:p>
            <w:pPr>
              <w:spacing w:before="20" w:after="20" w:line="240" w:lineRule="auto"/>
              <w:jc w:val="center"/>
            </w:pPr>
            <w:r/>
            <w:r>
              <w:rPr>
                <w:rFonts w:ascii="Times New Roman" w:hAnsi="Times New Roman"/>
                <w:b/>
                <w:sz w:val="16"/>
              </w:rPr>
              <w:t>GPR × DTA depth</w:t>
            </w:r>
          </w:p>
        </w:tc>
        <w:tc>
          <w:tcPr>
            <w:tcW w:type="dxa" w:w="3744"/>
            <w:gridSpan w:val="2"/>
            <w:tcBorders>
              <w:bottom w:val="single" w:sz="6" w:space="0" w:color="000000"/>
            </w:tcBorders>
          </w:tcPr>
          <w:p>
            <w:pPr>
              <w:spacing w:before="20" w:after="20" w:line="240" w:lineRule="auto"/>
              <w:jc w:val="center"/>
            </w:pPr>
            <w:r/>
            <w:r>
              <w:rPr>
                <w:rFonts w:ascii="Times New Roman" w:hAnsi="Times New Roman"/>
                <w:b/>
                <w:sz w:val="16"/>
              </w:rPr>
              <w:t>N</w:t>
            </w:r>
          </w:p>
        </w:tc>
      </w:tr>
      <w:tr>
        <w:tc>
          <w:tcPr>
            <w:tcW w:type="dxa" w:w="1872"/>
          </w:tcPr>
          <w:p>
            <w:pPr>
              <w:spacing w:before="20" w:after="20" w:line="240" w:lineRule="auto"/>
              <w:jc w:val="left"/>
            </w:pPr>
            <w:r/>
            <w:r>
              <w:rPr>
                <w:rFonts w:ascii="Times New Roman" w:hAnsi="Times New Roman"/>
                <w:b/>
                <w:sz w:val="16"/>
              </w:rPr>
              <w:t>Panel A. Intermediate-goods trade value (PPML)</w:t>
            </w:r>
          </w:p>
        </w:tc>
        <w:tc>
          <w:tcPr>
            <w:tcW w:type="dxa" w:w="1872"/>
          </w:tcPr>
          <w:p>
            <w:pPr>
              <w:spacing w:before="20" w:after="20" w:line="240" w:lineRule="auto"/>
              <w:jc w:val="center"/>
            </w:pPr>
            <w:r/>
            <w:r>
              <w:rPr>
                <w:rFonts w:ascii="Times New Roman" w:hAnsi="Times New Roman"/>
                <w:b w:val="0"/>
                <w:sz w:val="16"/>
              </w:rPr>
            </w:r>
          </w:p>
        </w:tc>
        <w:tc>
          <w:tcPr>
            <w:tcW w:type="dxa" w:w="1872"/>
          </w:tcPr>
          <w:p>
            <w:pPr>
              <w:spacing w:before="20" w:after="20" w:line="240" w:lineRule="auto"/>
              <w:jc w:val="center"/>
            </w:pPr>
            <w:r/>
            <w:r>
              <w:rPr>
                <w:rFonts w:ascii="Times New Roman" w:hAnsi="Times New Roman"/>
                <w:b w:val="0"/>
                <w:sz w:val="16"/>
              </w:rPr>
            </w:r>
          </w:p>
        </w:tc>
        <w:tc>
          <w:tcPr>
            <w:tcW w:type="dxa" w:w="3744"/>
            <w:gridSpan w:val="2"/>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−0.0852***</w:t>
            </w:r>
            <w:r>
              <w:rPr>
                <w:sz w:val="16"/>
              </w:rPr>
              <w:br/>
            </w:r>
            <w:r>
              <w:rPr>
                <w:rFonts w:ascii="Times New Roman" w:hAnsi="Times New Roman"/>
                <w:sz w:val="16"/>
              </w:rPr>
              <w:t>(0.0319)</w:t>
            </w:r>
            <w:r>
              <w:rPr>
                <w:sz w:val="16"/>
              </w:rPr>
              <w:br/>
            </w:r>
            <w:r>
              <w:rPr>
                <w:rFonts w:ascii="Times New Roman" w:hAnsi="Times New Roman"/>
                <w:sz w:val="16"/>
              </w:rPr>
              <w:t>[−8.17%]</w:t>
            </w:r>
          </w:p>
        </w:tc>
        <w:tc>
          <w:tcPr>
            <w:tcW w:type="dxa" w:w="1872"/>
          </w:tcPr>
          <w:p>
            <w:pPr>
              <w:spacing w:before="20" w:after="20" w:line="240" w:lineRule="auto"/>
              <w:jc w:val="center"/>
            </w:pPr>
            <w:r/>
            <w:r>
              <w:rPr>
                <w:rFonts w:ascii="Times New Roman" w:hAnsi="Times New Roman"/>
                <w:sz w:val="16"/>
              </w:rPr>
              <w:t>0.0280**</w:t>
            </w:r>
            <w:r>
              <w:rPr>
                <w:sz w:val="16"/>
              </w:rPr>
              <w:br/>
            </w:r>
            <w:r>
              <w:rPr>
                <w:rFonts w:ascii="Times New Roman" w:hAnsi="Times New Roman"/>
                <w:sz w:val="16"/>
              </w:rPr>
              <w:t>(0.0118)</w:t>
            </w:r>
            <w:r>
              <w:rPr>
                <w:sz w:val="16"/>
              </w:rPr>
              <w:br/>
            </w:r>
            <w:r>
              <w:rPr>
                <w:rFonts w:ascii="Times New Roman" w:hAnsi="Times New Roman"/>
                <w:sz w:val="16"/>
              </w:rPr>
              <w:t>[+2.84%]</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−0.0843***</w:t>
            </w:r>
            <w:r>
              <w:rPr>
                <w:sz w:val="16"/>
              </w:rPr>
              <w:br/>
            </w:r>
            <w:r>
              <w:rPr>
                <w:rFonts w:ascii="Times New Roman" w:hAnsi="Times New Roman"/>
                <w:sz w:val="16"/>
              </w:rPr>
              <w:t>(0.0294)</w:t>
            </w:r>
            <w:r>
              <w:rPr>
                <w:sz w:val="16"/>
              </w:rPr>
              <w:br/>
            </w:r>
            <w:r>
              <w:rPr>
                <w:rFonts w:ascii="Times New Roman" w:hAnsi="Times New Roman"/>
                <w:sz w:val="16"/>
              </w:rPr>
              <w:t>[−8.09%]</w:t>
            </w:r>
          </w:p>
        </w:tc>
        <w:tc>
          <w:tcPr>
            <w:tcW w:type="dxa" w:w="1872"/>
          </w:tcPr>
          <w:p>
            <w:pPr>
              <w:spacing w:before="20" w:after="20" w:line="240" w:lineRule="auto"/>
              <w:jc w:val="center"/>
            </w:pPr>
            <w:r/>
            <w:r>
              <w:rPr>
                <w:rFonts w:ascii="Times New Roman" w:hAnsi="Times New Roman"/>
                <w:sz w:val="16"/>
              </w:rPr>
              <w:t>0.0277**</w:t>
            </w:r>
            <w:r>
              <w:rPr>
                <w:sz w:val="16"/>
              </w:rPr>
              <w:br/>
            </w:r>
            <w:r>
              <w:rPr>
                <w:rFonts w:ascii="Times New Roman" w:hAnsi="Times New Roman"/>
                <w:sz w:val="16"/>
              </w:rPr>
              <w:t>(0.0111)</w:t>
            </w:r>
            <w:r>
              <w:rPr>
                <w:sz w:val="16"/>
              </w:rPr>
              <w:br/>
            </w:r>
            <w:r>
              <w:rPr>
                <w:rFonts w:ascii="Times New Roman" w:hAnsi="Times New Roman"/>
                <w:sz w:val="16"/>
              </w:rPr>
              <w:t>[+2.81%]</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−0.0796**</w:t>
            </w:r>
            <w:r>
              <w:rPr>
                <w:sz w:val="16"/>
              </w:rPr>
              <w:br/>
            </w:r>
            <w:r>
              <w:rPr>
                <w:rFonts w:ascii="Times New Roman" w:hAnsi="Times New Roman"/>
                <w:sz w:val="16"/>
              </w:rPr>
              <w:t>(0.0339)</w:t>
            </w:r>
            <w:r>
              <w:rPr>
                <w:sz w:val="16"/>
              </w:rPr>
              <w:br/>
            </w:r>
            <w:r>
              <w:rPr>
                <w:rFonts w:ascii="Times New Roman" w:hAnsi="Times New Roman"/>
                <w:sz w:val="16"/>
              </w:rPr>
              <w:t>[−7.65%]</w:t>
            </w:r>
          </w:p>
        </w:tc>
        <w:tc>
          <w:tcPr>
            <w:tcW w:type="dxa" w:w="1872"/>
          </w:tcPr>
          <w:p>
            <w:pPr>
              <w:spacing w:before="20" w:after="20" w:line="240" w:lineRule="auto"/>
              <w:jc w:val="center"/>
            </w:pPr>
            <w:r/>
            <w:r>
              <w:rPr>
                <w:rFonts w:ascii="Times New Roman" w:hAnsi="Times New Roman"/>
                <w:sz w:val="16"/>
              </w:rPr>
              <w:t>0.0240*</w:t>
            </w:r>
            <w:r>
              <w:rPr>
                <w:sz w:val="16"/>
              </w:rPr>
              <w:br/>
            </w:r>
            <w:r>
              <w:rPr>
                <w:rFonts w:ascii="Times New Roman" w:hAnsi="Times New Roman"/>
                <w:sz w:val="16"/>
              </w:rPr>
              <w:t>(0.0129)</w:t>
            </w:r>
            <w:r>
              <w:rPr>
                <w:sz w:val="16"/>
              </w:rPr>
              <w:br/>
            </w:r>
            <w:r>
              <w:rPr>
                <w:rFonts w:ascii="Times New Roman" w:hAnsi="Times New Roman"/>
                <w:sz w:val="16"/>
              </w:rPr>
              <w:t>[+2.43%]</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Pr>
          <w:p>
            <w:pPr>
              <w:spacing w:before="20" w:after="20" w:line="240" w:lineRule="auto"/>
              <w:jc w:val="left"/>
            </w:pPr>
            <w:r/>
            <w:r>
              <w:rPr>
                <w:rFonts w:ascii="Times New Roman" w:hAnsi="Times New Roman"/>
                <w:b w:val="0"/>
                <w:sz w:val="16"/>
              </w:rPr>
              <w:t>Restricted-sample global GPR</w:t>
            </w:r>
          </w:p>
        </w:tc>
        <w:tc>
          <w:tcPr>
            <w:tcW w:type="dxa" w:w="1872"/>
          </w:tcPr>
          <w:p>
            <w:pPr>
              <w:spacing w:before="20" w:after="20" w:line="240" w:lineRule="auto"/>
              <w:jc w:val="center"/>
            </w:pPr>
            <w:r/>
            <w:r>
              <w:rPr>
                <w:rFonts w:ascii="Times New Roman" w:hAnsi="Times New Roman"/>
                <w:sz w:val="16"/>
              </w:rPr>
              <w:t>−0.0617***</w:t>
            </w:r>
            <w:r>
              <w:rPr>
                <w:sz w:val="16"/>
              </w:rPr>
              <w:br/>
            </w:r>
            <w:r>
              <w:rPr>
                <w:rFonts w:ascii="Times New Roman" w:hAnsi="Times New Roman"/>
                <w:sz w:val="16"/>
              </w:rPr>
              <w:t>(0.0217)</w:t>
            </w:r>
            <w:r>
              <w:rPr>
                <w:sz w:val="16"/>
              </w:rPr>
              <w:br/>
            </w:r>
            <w:r>
              <w:rPr>
                <w:rFonts w:ascii="Times New Roman" w:hAnsi="Times New Roman"/>
                <w:sz w:val="16"/>
              </w:rPr>
              <w:t>[−5.98%]</w:t>
            </w:r>
          </w:p>
        </w:tc>
        <w:tc>
          <w:tcPr>
            <w:tcW w:type="dxa" w:w="1872"/>
          </w:tcPr>
          <w:p>
            <w:pPr>
              <w:spacing w:before="20" w:after="20" w:line="240" w:lineRule="auto"/>
              <w:jc w:val="center"/>
            </w:pPr>
            <w:r/>
            <w:r>
              <w:rPr>
                <w:rFonts w:ascii="Times New Roman" w:hAnsi="Times New Roman"/>
                <w:sz w:val="16"/>
              </w:rPr>
              <w:t>0.0160</w:t>
            </w:r>
            <w:r>
              <w:rPr>
                <w:sz w:val="16"/>
              </w:rPr>
              <w:br/>
            </w:r>
            <w:r>
              <w:rPr>
                <w:rFonts w:ascii="Times New Roman" w:hAnsi="Times New Roman"/>
                <w:sz w:val="16"/>
              </w:rPr>
              <w:t>(0.0109)</w:t>
            </w:r>
            <w:r>
              <w:rPr>
                <w:sz w:val="16"/>
              </w:rPr>
              <w:br/>
            </w:r>
            <w:r>
              <w:rPr>
                <w:rFonts w:ascii="Times New Roman" w:hAnsi="Times New Roman"/>
                <w:sz w:val="16"/>
              </w:rPr>
              <w:t>[+1.62%]</w:t>
            </w:r>
          </w:p>
        </w:tc>
        <w:tc>
          <w:tcPr>
            <w:tcW w:type="dxa" w:w="3744"/>
            <w:gridSpan w:val="2"/>
          </w:tcPr>
          <w:p>
            <w:pPr>
              <w:spacing w:before="20" w:after="20" w:line="240" w:lineRule="auto"/>
              <w:jc w:val="center"/>
            </w:pPr>
            <w:r/>
            <w:r>
              <w:rPr>
                <w:rFonts w:ascii="Times New Roman" w:hAnsi="Times New Roman"/>
                <w:b w:val="0"/>
                <w:sz w:val="16"/>
              </w:rPr>
              <w:t>2,520,781</w:t>
            </w:r>
          </w:p>
        </w:tc>
      </w:tr>
      <w:tr>
        <w:tc>
          <w:tcPr>
            <w:tcW w:type="dxa" w:w="1872"/>
            <w:tcBorders>
              <w:top w:val="single" w:sz="4" w:space="0" w:color="000000"/>
            </w:tcBorders>
          </w:tcPr>
          <w:p>
            <w:pPr>
              <w:spacing w:before="20" w:after="20" w:line="240" w:lineRule="auto"/>
              <w:jc w:val="left"/>
            </w:pPr>
            <w:r/>
            <w:r>
              <w:rPr>
                <w:rFonts w:ascii="Times New Roman" w:hAnsi="Times New Roman"/>
                <w:b/>
                <w:sz w:val="16"/>
              </w:rPr>
              <w:t>Panel B. Trade-link survival (LPM)</w:t>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1872"/>
            <w:tcBorders>
              <w:top w:val="single" w:sz="4" w:space="0" w:color="000000"/>
            </w:tcBorders>
          </w:tcPr>
          <w:p>
            <w:pPr>
              <w:spacing w:before="20" w:after="20" w:line="240" w:lineRule="auto"/>
              <w:jc w:val="center"/>
            </w:pPr>
            <w:r/>
            <w:r>
              <w:rPr>
                <w:rFonts w:ascii="Times New Roman" w:hAnsi="Times New Roman"/>
                <w:b w:val="0"/>
                <w:sz w:val="16"/>
              </w:rPr>
            </w:r>
          </w:p>
        </w:tc>
        <w:tc>
          <w:tcPr>
            <w:tcW w:type="dxa" w:w="3744"/>
            <w:gridSpan w:val="2"/>
            <w:tcBorders>
              <w:top w:val="single" w:sz="4" w:space="0" w:color="000000"/>
            </w:tcBorders>
            <w:tcBorders>
              <w:top w:val="single" w:sz="4" w:space="0" w:color="000000"/>
            </w:tcBorders>
          </w:tcPr>
          <w:p>
            <w:pPr>
              <w:spacing w:before="20" w:after="20" w:line="240" w:lineRule="auto"/>
              <w:jc w:val="center"/>
            </w:pPr>
            <w:r/>
            <w:r>
              <w:rPr>
                <w:rFonts w:ascii="Times New Roman" w:hAnsi="Times New Roman"/>
                <w:b w:val="0"/>
                <w:sz w:val="16"/>
              </w:rPr>
            </w:r>
          </w:p>
        </w:tc>
      </w:tr>
      <w:tr>
        <w:tc>
          <w:tcPr>
            <w:tcW w:type="dxa" w:w="1872"/>
          </w:tcPr>
          <w:p>
            <w:pPr>
              <w:spacing w:before="20" w:after="20" w:line="240" w:lineRule="auto"/>
              <w:jc w:val="left"/>
            </w:pPr>
            <w:r/>
            <w:r>
              <w:rPr>
                <w:rFonts w:ascii="Times New Roman" w:hAnsi="Times New Roman"/>
                <w:b w:val="0"/>
                <w:sz w:val="16"/>
              </w:rPr>
              <w:t>Average pair-country GPR</w:t>
            </w:r>
          </w:p>
        </w:tc>
        <w:tc>
          <w:tcPr>
            <w:tcW w:type="dxa" w:w="1872"/>
          </w:tcPr>
          <w:p>
            <w:pPr>
              <w:spacing w:before="20" w:after="20" w:line="240" w:lineRule="auto"/>
              <w:jc w:val="center"/>
            </w:pPr>
            <w:r/>
            <w:r>
              <w:rPr>
                <w:rFonts w:ascii="Times New Roman" w:hAnsi="Times New Roman"/>
                <w:sz w:val="16"/>
              </w:rPr>
              <w:t>−0.0006</w:t>
            </w:r>
            <w:r>
              <w:rPr>
                <w:sz w:val="16"/>
              </w:rPr>
              <w:br/>
            </w:r>
            <w:r>
              <w:rPr>
                <w:rFonts w:ascii="Times New Roman" w:hAnsi="Times New Roman"/>
                <w:sz w:val="16"/>
              </w:rPr>
              <w:t>(0.0020)</w:t>
            </w:r>
            <w:r>
              <w:rPr>
                <w:sz w:val="16"/>
              </w:rPr>
              <w:br/>
            </w:r>
            <w:r>
              <w:rPr>
                <w:rFonts w:ascii="Times New Roman" w:hAnsi="Times New Roman"/>
                <w:sz w:val="16"/>
              </w:rPr>
              <w:t>[−0.06 pp]</w:t>
            </w:r>
          </w:p>
        </w:tc>
        <w:tc>
          <w:tcPr>
            <w:tcW w:type="dxa" w:w="1872"/>
          </w:tcPr>
          <w:p>
            <w:pPr>
              <w:spacing w:before="20" w:after="20" w:line="240" w:lineRule="auto"/>
              <w:jc w:val="center"/>
            </w:pPr>
            <w:r/>
            <w:r>
              <w:rPr>
                <w:rFonts w:ascii="Times New Roman" w:hAnsi="Times New Roman"/>
                <w:sz w:val="16"/>
              </w:rPr>
              <w:t>−0.0017***</w:t>
            </w:r>
            <w:r>
              <w:rPr>
                <w:sz w:val="16"/>
              </w:rPr>
              <w:br/>
            </w:r>
            <w:r>
              <w:rPr>
                <w:rFonts w:ascii="Times New Roman" w:hAnsi="Times New Roman"/>
                <w:sz w:val="16"/>
              </w:rPr>
              <w:t>(0.0004)</w:t>
            </w:r>
            <w:r>
              <w:rPr>
                <w:sz w:val="16"/>
              </w:rPr>
              <w:br/>
            </w:r>
            <w:r>
              <w:rPr>
                <w:rFonts w:ascii="Times New Roman" w:hAnsi="Times New Roman"/>
                <w:sz w:val="16"/>
              </w:rPr>
              <w:t>[−0.17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Log-average pair-country GPR</w:t>
            </w:r>
          </w:p>
        </w:tc>
        <w:tc>
          <w:tcPr>
            <w:tcW w:type="dxa" w:w="1872"/>
          </w:tcPr>
          <w:p>
            <w:pPr>
              <w:spacing w:before="20" w:after="20" w:line="240" w:lineRule="auto"/>
              <w:jc w:val="center"/>
            </w:pPr>
            <w:r/>
            <w:r>
              <w:rPr>
                <w:rFonts w:ascii="Times New Roman" w:hAnsi="Times New Roman"/>
                <w:sz w:val="16"/>
              </w:rPr>
              <w:t>−0.0014</w:t>
            </w:r>
            <w:r>
              <w:rPr>
                <w:sz w:val="16"/>
              </w:rPr>
              <w:br/>
            </w:r>
            <w:r>
              <w:rPr>
                <w:rFonts w:ascii="Times New Roman" w:hAnsi="Times New Roman"/>
                <w:sz w:val="16"/>
              </w:rPr>
              <w:t>(0.0019)</w:t>
            </w:r>
            <w:r>
              <w:rPr>
                <w:sz w:val="16"/>
              </w:rPr>
              <w:br/>
            </w:r>
            <w:r>
              <w:rPr>
                <w:rFonts w:ascii="Times New Roman" w:hAnsi="Times New Roman"/>
                <w:sz w:val="16"/>
              </w:rPr>
              <w:t>[−0.14 pp]</w:t>
            </w:r>
          </w:p>
        </w:tc>
        <w:tc>
          <w:tcPr>
            <w:tcW w:type="dxa" w:w="1872"/>
          </w:tcPr>
          <w:p>
            <w:pPr>
              <w:spacing w:before="20" w:after="20" w:line="240" w:lineRule="auto"/>
              <w:jc w:val="center"/>
            </w:pPr>
            <w:r/>
            <w:r>
              <w:rPr>
                <w:rFonts w:ascii="Times New Roman" w:hAnsi="Times New Roman"/>
                <w:sz w:val="16"/>
              </w:rPr>
              <w:t>−0.0015***</w:t>
            </w:r>
            <w:r>
              <w:rPr>
                <w:sz w:val="16"/>
              </w:rPr>
              <w:br/>
            </w:r>
            <w:r>
              <w:rPr>
                <w:rFonts w:ascii="Times New Roman" w:hAnsi="Times New Roman"/>
                <w:sz w:val="16"/>
              </w:rPr>
              <w:t>(0.0004)</w:t>
            </w:r>
            <w:r>
              <w:rPr>
                <w:sz w:val="16"/>
              </w:rPr>
              <w:br/>
            </w:r>
            <w:r>
              <w:rPr>
                <w:rFonts w:ascii="Times New Roman" w:hAnsi="Times New Roman"/>
                <w:sz w:val="16"/>
              </w:rPr>
              <w:t>[−0.15 pp]</w:t>
            </w:r>
          </w:p>
        </w:tc>
        <w:tc>
          <w:tcPr>
            <w:tcW w:type="dxa" w:w="3744"/>
            <w:gridSpan w:val="2"/>
          </w:tcPr>
          <w:p>
            <w:pPr>
              <w:spacing w:before="20" w:after="20" w:line="240" w:lineRule="auto"/>
              <w:jc w:val="center"/>
            </w:pPr>
            <w:r/>
            <w:r>
              <w:rPr>
                <w:rFonts w:ascii="Times New Roman" w:hAnsi="Times New Roman"/>
                <w:b w:val="0"/>
                <w:sz w:val="16"/>
              </w:rPr>
              <w:t>1,878,443</w:t>
            </w:r>
          </w:p>
        </w:tc>
      </w:tr>
      <w:tr>
        <w:tc>
          <w:tcPr>
            <w:tcW w:type="dxa" w:w="1872"/>
          </w:tcPr>
          <w:p>
            <w:pPr>
              <w:spacing w:before="20" w:after="20" w:line="240" w:lineRule="auto"/>
              <w:jc w:val="left"/>
            </w:pPr>
            <w:r/>
            <w:r>
              <w:rPr>
                <w:rFonts w:ascii="Times New Roman" w:hAnsi="Times New Roman"/>
                <w:b w:val="0"/>
                <w:sz w:val="16"/>
              </w:rPr>
              <w:t>Maximum pair-country GPR</w:t>
            </w:r>
          </w:p>
        </w:tc>
        <w:tc>
          <w:tcPr>
            <w:tcW w:type="dxa" w:w="1872"/>
          </w:tcPr>
          <w:p>
            <w:pPr>
              <w:spacing w:before="20" w:after="20" w:line="240" w:lineRule="auto"/>
              <w:jc w:val="center"/>
            </w:pPr>
            <w:r/>
            <w:r>
              <w:rPr>
                <w:rFonts w:ascii="Times New Roman" w:hAnsi="Times New Roman"/>
                <w:sz w:val="16"/>
              </w:rPr>
              <w:t>0.0007</w:t>
            </w:r>
            <w:r>
              <w:rPr>
                <w:sz w:val="16"/>
              </w:rPr>
              <w:br/>
            </w:r>
            <w:r>
              <w:rPr>
                <w:rFonts w:ascii="Times New Roman" w:hAnsi="Times New Roman"/>
                <w:sz w:val="16"/>
              </w:rPr>
              <w:t>(0.0021)</w:t>
            </w:r>
            <w:r>
              <w:rPr>
                <w:sz w:val="16"/>
              </w:rPr>
              <w:br/>
            </w:r>
            <w:r>
              <w:rPr>
                <w:rFonts w:ascii="Times New Roman" w:hAnsi="Times New Roman"/>
                <w:sz w:val="16"/>
              </w:rPr>
              <w:t>[+0.07 pp]</w:t>
            </w:r>
          </w:p>
        </w:tc>
        <w:tc>
          <w:tcPr>
            <w:tcW w:type="dxa" w:w="1872"/>
          </w:tcPr>
          <w:p>
            <w:pPr>
              <w:spacing w:before="20" w:after="20" w:line="240" w:lineRule="auto"/>
              <w:jc w:val="center"/>
            </w:pPr>
            <w:r/>
            <w:r>
              <w:rPr>
                <w:rFonts w:ascii="Times New Roman" w:hAnsi="Times New Roman"/>
                <w:sz w:val="16"/>
              </w:rPr>
              <w:t>−0.0020***</w:t>
            </w:r>
            <w:r>
              <w:rPr>
                <w:sz w:val="16"/>
              </w:rPr>
              <w:br/>
            </w:r>
            <w:r>
              <w:rPr>
                <w:rFonts w:ascii="Times New Roman" w:hAnsi="Times New Roman"/>
                <w:sz w:val="16"/>
              </w:rPr>
              <w:t>(0.0005)</w:t>
            </w:r>
            <w:r>
              <w:rPr>
                <w:sz w:val="16"/>
              </w:rPr>
              <w:br/>
            </w:r>
            <w:r>
              <w:rPr>
                <w:rFonts w:ascii="Times New Roman" w:hAnsi="Times New Roman"/>
                <w:sz w:val="16"/>
              </w:rPr>
              <w:t>[−0.20 pp]</w:t>
            </w:r>
          </w:p>
        </w:tc>
        <w:tc>
          <w:tcPr>
            <w:tcW w:type="dxa" w:w="3744"/>
            <w:gridSpan w:val="2"/>
          </w:tcPr>
          <w:p>
            <w:pPr>
              <w:spacing w:before="20" w:after="20" w:line="240" w:lineRule="auto"/>
              <w:jc w:val="center"/>
            </w:pPr>
            <w:r/>
            <w:r>
              <w:rPr>
                <w:rFonts w:ascii="Times New Roman" w:hAnsi="Times New Roman"/>
                <w:b w:val="0"/>
                <w:sz w:val="16"/>
              </w:rPr>
              <w:t>1,878,443</w:t>
            </w:r>
          </w:p>
        </w:tc>
      </w:tr>
    </w:tbl>
    <w:p>
      <w:pPr>
        <w:spacing w:before="60" w:after="120"/>
      </w:pPr>
      <w:r>
        <w:rPr>
          <w:rFonts w:ascii="Times New Roman" w:hAnsi="Times New Roman"/>
          <w:i/>
          <w:sz w:val="18"/>
        </w:rPr>
        <w:t>Notes: Panel A reports PPML estimates; Panel B reports LPM survival estimates. Both use four-dimensional FE (pair–HS2, exporter–year, importer–year, HS2–year). Standard errors in parentheses (pair-plus-year multiway clustered). Country-specific GPR constructed from Caldara and Iacoviello (2022) national series. *** p &lt; 0.01, ** p &lt; 0.05, * p &lt; 0.10.</w:t>
      </w:r>
    </w:p>
    <w:p/>
    <w:p>
      <w:pPr>
        <w:spacing w:after="120"/>
        <w:jc w:val="center"/>
      </w:pPr>
      <w:r>
        <w:rPr>
          <w:rFonts w:ascii="Times New Roman" w:hAnsi="Times New Roman"/>
          <w:b/>
          <w:sz w:val="22"/>
        </w:rPr>
        <w:t>Appendix Figure A2. Country-Specific GPR Robustness: Trade Value and Link Survival</w:t>
      </w:r>
    </w:p>
    <w:p>
      <w:pPr>
        <w:jc w:val="center"/>
      </w:pPr>
      <w:r>
        <w:drawing>
          <wp:inline xmlns:a="http://schemas.openxmlformats.org/drawingml/2006/main" xmlns:pic="http://schemas.openxmlformats.org/drawingml/2006/picture">
            <wp:extent cx="5029200" cy="4191000"/>
            <wp:docPr id="3" name="Picture 3"/>
            <wp:cNvGraphicFramePr>
              <a:graphicFrameLocks noChangeAspect="1"/>
            </wp:cNvGraphicFramePr>
            <a:graphic>
              <a:graphicData uri="http://schemas.openxmlformats.org/drawingml/2006/picture">
                <pic:pic>
                  <pic:nvPicPr>
                    <pic:cNvPr id="0" name="appendix_figure_a2_country_gpr_coefficients.png"/>
                    <pic:cNvPicPr/>
                  </pic:nvPicPr>
                  <pic:blipFill>
                    <a:blip r:embed="rId11"/>
                    <a:stretch>
                      <a:fillRect/>
                    </a:stretch>
                  </pic:blipFill>
                  <pic:spPr>
                    <a:xfrm>
                      <a:off x="0" y="0"/>
                      <a:ext cx="5029200" cy="4191000"/>
                    </a:xfrm>
                    <a:prstGeom prst="rect"/>
                  </pic:spPr>
                </pic:pic>
              </a:graphicData>
            </a:graphic>
          </wp:inline>
        </w:drawing>
      </w:r>
    </w:p>
    <w:p>
      <w:pPr>
        <w:spacing w:before="60" w:after="120"/>
        <w:jc w:val="both"/>
      </w:pPr>
      <w:r>
        <w:rPr>
          <w:rFonts w:ascii="Times New Roman" w:hAnsi="Times New Roman"/>
          <w:i/>
          <w:sz w:val="18"/>
        </w:rPr>
        <w:t>Notes: Forest plot comparing estimated GPR × DTA Depth (circles) and GPR × FTA (triangles) interaction effects across four shock specifications: average pair-country GPR, log-average, maximum, and restricted-sample global GPR. Upper panel: trade-link survival (percentage points); lower panel: trade value (percent). Horizontal bars denote 95% confidence intervals under pair-plus-year multiway clustering.</w:t>
      </w:r>
    </w:p>
    <w:p/>
    <w:p>
      <w:pPr>
        <w:pStyle w:val="Heading2"/>
      </w:pPr>
      <w:r>
        <w:t>4.7. Discussion: Mechanism Synthesis and Policy Implications</w:t>
      </w:r>
    </w:p>
    <w:p>
      <w:pPr>
        <w:ind w:firstLine="720"/>
      </w:pPr>
      <w:r>
        <w:t>The empirical findings, taken together, reveal a coherent and previously undocumented mechanism through which geopolitical risk interacts with deep trade agreements to reshape global value chain trade. We synthesize the evidence into three interconnected transmission channels and derive their policy implications.</w:t>
      </w:r>
    </w:p>
    <w:p>
      <w:pPr>
        <w:pStyle w:val="Heading3"/>
      </w:pPr>
      <w:r>
        <w:t>4.7.1. The supply-chain interdependence channel</w:t>
      </w:r>
    </w:p>
    <w:p>
      <w:pPr>
        <w:ind w:firstLine="720"/>
      </w:pPr>
      <w:r>
        <w:t>The first and most prominent mechanism operates through supply-chain interdependence. Preferential trade agreements—particularly those that eliminate tariffs and harmonize standards—encourage firms to organize production across borders in vertically fragmented value chains. This integration creates efficiency gains during normal times but generates vulnerability during geopolitical crises. The sectoral evidence (Section 4.2) demonstrates that this channel is strongest in industries with high asset specificity, extensive cross-border component sourcing, and limited input substitutability—precisely the characteristics that international trade theory associates with hold-up problems under uncertainty (Antràs, 2003; Antràs &amp; Helpman, 2004). When geopolitical events threaten the continuity of cross-border transactions, firms embedded in deep supply-chain relationships face adjustment costs that are proportional to the degree of prior integration.</w:t>
      </w:r>
    </w:p>
    <w:p>
      <w:pPr>
        <w:pStyle w:val="Heading3"/>
      </w:pPr>
      <w:r>
        <w:t>4.7.2. The institutional quality channel</w:t>
      </w:r>
    </w:p>
    <w:p>
      <w:pPr>
        <w:ind w:firstLine="720"/>
      </w:pPr>
      <w:r>
        <w:t>The second mechanism operates through specific institutional provisions that create shock-absorbing capacity. The provision-level analysis (Section 4.3) identifies competition policy, environmental standards, and research-and-technology cooperation as the disciplines that confer measurable resilience. These provisions share a common feature: they create durable institutional infrastructure —regulatory agencies, compliance monitoring systems, joint technology platforms—that continues to function during crises and reduces the transaction costs of maintaining trade relationships under heightened uncertainty. This finding is consistent with the incomplete-contracts theory of trade agreements (Horn, Maggi, &amp; Staiger, 2010), which predicts that enforceable commitments in areas prone to opportunistic behavior are most valuable precisely when external shocks increase the temptation to renege on cooperative arrangements.</w:t>
      </w:r>
    </w:p>
    <w:p>
      <w:pPr>
        <w:pStyle w:val="Heading3"/>
      </w:pPr>
      <w:r>
        <w:t>4.7.3. The fixed-cost adjustment channel</w:t>
      </w:r>
    </w:p>
    <w:p>
      <w:pPr>
        <w:ind w:firstLine="720"/>
      </w:pPr>
      <w:r>
        <w:t>The third mechanism explains the extensive-margin dynamics documented in Sections 4.4 and 4.5. Deep agreements embed substantial fixed costs of compliance—rules of origin, regulatory conformity assessments, and standards certification—that must be maintained to preserve preferential market access. Under normal conditions, these costs are justified by the margin of preference; however, when geopolitical risk rises, the expected present value of future trade declines, causing marginal trade links to fall below the viability threshold. The result is a selective destruction of smaller trade links, which we observe as reduced survival probability (Section 4.4). Critically, the post-exit recovery analysis (Section 4.5) shows that this destruction is not permanent: the institutional infrastructure of deep agreements facilitates re-entry over a two-year horizon, converting what would otherwise be permanent trade destruction into a transitory adjustment.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