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(Section 4.1), followed by sectoral heterogeneity analysis that reveals the economic mechanism of global value chain complexity (Section 4.2). We then investigate the specific DTA policy provisions that serve as transmission channels (Section 4.3), before examining the extensive margin through trade-link survival dynamics (Section 4.4) and post-exit recovery patterns (Section 4.5). Finally, we confirm robustness using country-specific geopolitical risk measures (Section 4.6) and synthesize the evidence into a unified mechanism narrative (Section 4.7).</w:t>
      </w:r>
    </w:p>
    <w:p/>
    <w:p>
      <w:pPr>
        <w:spacing w:after="120"/>
        <w:jc w:val="center"/>
      </w:pPr>
      <w:r>
        <w:rPr>
          <w:rFonts w:ascii="Times New Roman" w:hAnsi="Times New Roman"/>
          <w:b/>
          <w:sz w:val="22"/>
        </w:rPr>
        <w:t>Figure 1. Global Geopolitical Risk (GPR) Index and Major Events (2007–2023)</w:t>
      </w:r>
    </w:p>
    <w:p>
      <w:pPr>
        <w:jc w:val="center"/>
      </w:pPr>
      <w:r>
        <w:drawing>
          <wp:inline xmlns:a="http://schemas.openxmlformats.org/drawingml/2006/main" xmlns:pic="http://schemas.openxmlformats.org/drawingml/2006/picture">
            <wp:extent cx="5486400" cy="2421711"/>
            <wp:docPr id="1" name="Picture 1"/>
            <wp:cNvGraphicFramePr>
              <a:graphicFrameLocks noChangeAspect="1"/>
            </wp:cNvGraphicFramePr>
            <a:graphic>
              <a:graphicData uri="http://schemas.openxmlformats.org/drawingml/2006/picture">
                <pic:pic>
                  <pic:nvPicPr>
                    <pic:cNvPr id="0" name="figure6_gpr_time_series.png"/>
                    <pic:cNvPicPr/>
                  </pic:nvPicPr>
                  <pic:blipFill>
                    <a:blip r:embed="rId9"/>
                    <a:stretch>
                      <a:fillRect/>
                    </a:stretch>
                  </pic:blipFill>
                  <pic:spPr>
                    <a:xfrm>
                      <a:off x="0" y="0"/>
                      <a:ext cx="5486400" cy="2421711"/>
                    </a:xfrm>
                    <a:prstGeom prst="rect"/>
                  </pic:spPr>
                </pic:pic>
              </a:graphicData>
            </a:graphic>
          </wp:inline>
        </w:drawing>
      </w:r>
    </w:p>
    <w:p>
      <w:pPr>
        <w:spacing w:before="60" w:after="120"/>
        <w:jc w:val="both"/>
      </w:pPr>
      <w:r>
        <w:rPr>
          <w:rFonts w:ascii="Times New Roman" w:hAnsi="Times New Roman"/>
          <w:i/>
          <w:sz w:val="18"/>
        </w:rPr>
        <w:t>Notes: Annual mean of the Caldara and Iacoviello (2022) Global Geopolitical Risk index (standardized). Key geopolitical events are annotated.</w:t>
        <w:br/>
        <w:t>Source: Author's calculations based on CEPII BACI, World Bank DTA, and Caldara and Iacoviello (2022).</w:t>
      </w:r>
    </w:p>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PPML estimates with multiway-clustered standard errors in parentheses. Marginal effects in brackets. *** p &lt; 0.01, ** p &lt; 0.05, * p &lt; 0.10.</w:t>
        <w:br/>
        <w:t>Source: Author's calculations based on CEPII BACI, World Bank DTA, and Caldara and Iacoviello (2022).</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2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PPML estimates by sector. Standard errors in parentheses (pair-clustered); marginal effects in brackets.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2. Sectoral Heterogeneity in the Response of Intermediate-Goods Trade to Global GPR</w:t>
      </w:r>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ure3_sector_heterogeneity.png"/>
                    <pic:cNvPicPr/>
                  </pic:nvPicPr>
                  <pic:blipFill>
                    <a:blip r:embed="rId10"/>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Point estimates and 95% confidence intervals. Filled circles indicate significance after Benjamini-Hochberg FDR correction at the 10% level.</w:t>
        <w:br/>
        <w:t>Source: Author's calculations based on CEPII BACI, World Bank DTA, and Caldara and Iacoviello (2022).</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Section 4.1.</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FTA-conditional PPML estimates. *** p &lt; 0.01, ** p &lt; 0.05, * p &lt; 0.10.</w:t>
        <w:br/>
        <w:t>Source: Author's calculations based on CEPII BACI, World Bank DTA, and Caldara and Iacoviello (2022).</w:t>
      </w:r>
    </w:p>
    <w:p>
      <w:pPr>
        <w:pStyle w:val="Heading2"/>
      </w:pPr>
      <w:r>
        <w:t>4.4. Extensive Margin: Trade-Link Survival Under Geopolitical Stress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LPM estimates. Standard errors in parentheses (pair-plus-year multiway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3. Marginal Effect of Geopolitical Risk on Trade-Link Survival Conditional on DTA Depth</w:t>
      </w:r>
    </w:p>
    <w:p>
      <w:pPr>
        <w:jc w:val="center"/>
      </w:pPr>
      <w:r>
        <w:drawing>
          <wp:inline xmlns:a="http://schemas.openxmlformats.org/drawingml/2006/main" xmlns:pic="http://schemas.openxmlformats.org/drawingml/2006/picture">
            <wp:extent cx="5029200" cy="3322458"/>
            <wp:docPr id="3" name="Picture 3"/>
            <wp:cNvGraphicFramePr>
              <a:graphicFrameLocks noChangeAspect="1"/>
            </wp:cNvGraphicFramePr>
            <a:graphic>
              <a:graphicData uri="http://schemas.openxmlformats.org/drawingml/2006/picture">
                <pic:pic>
                  <pic:nvPicPr>
                    <pic:cNvPr id="0" name="figure5_marginal_effect_survival.png"/>
                    <pic:cNvPicPr/>
                  </pic:nvPicPr>
                  <pic:blipFill>
                    <a:blip r:embed="rId11"/>
                    <a:stretch>
                      <a:fillRect/>
                    </a:stretch>
                  </pic:blipFill>
                  <pic:spPr>
                    <a:xfrm>
                      <a:off x="0" y="0"/>
                      <a:ext cx="5029200" cy="3322458"/>
                    </a:xfrm>
                    <a:prstGeom prst="rect"/>
                  </pic:spPr>
                </pic:pic>
              </a:graphicData>
            </a:graphic>
          </wp:inline>
        </w:drawing>
      </w:r>
    </w:p>
    <w:p>
      <w:pPr>
        <w:spacing w:before="60" w:after="120"/>
        <w:jc w:val="both"/>
      </w:pPr>
      <w:r>
        <w:rPr>
          <w:rFonts w:ascii="Times New Roman" w:hAnsi="Times New Roman"/>
          <w:i/>
          <w:sz w:val="18"/>
        </w:rPr>
        <w:t>Notes: Net marginal effect of a 1 SD increase in Global GPR on trade-link survival probability. Shaded area represents the 95% confidence interval.</w:t>
        <w:br/>
        <w:t>Source: Author's calculations based on CEPII BACI, World Bank DTA, and Caldara and Iacoviello (2022).</w:t>
      </w:r>
    </w:p>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Figure 3 plots the marginal effect of GPR on link survival across the continuous range of DTA depth. The effect is mildly positive for shallow FTAs but slopes downward, becoming significantly negative for deep agreements (those with more than 12 enforceable provisions).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Pr>
        <w:pStyle w:val="Heading3"/>
      </w:pPr>
      <w:r>
        <w:t>4.4.1.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Standard errors are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4" name="Picture 4"/>
            <wp:cNvGraphicFramePr>
              <a:graphicFrameLocks noChangeAspect="1"/>
            </wp:cNvGraphicFramePr>
            <a:graphic>
              <a:graphicData uri="http://schemas.openxmlformats.org/drawingml/2006/picture">
                <pic:pic>
                  <pic:nvPicPr>
                    <pic:cNvPr id="0" name="figure4_leave_one_year_out_survival.png"/>
                    <pic:cNvPicPr/>
                  </pic:nvPicPr>
                  <pic:blipFill>
                    <a:blip r:embed="rId12"/>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Leave-one-year-out estimates of the GPR × DTA Depth interaction. Vertical bars denote 95% confidence intervals.</w:t>
        <w:br/>
        <w:t>Source: Author's calculations based on CEPII BACI, World Bank DTA, and Caldara and Iacoviello (2022).</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LPM estimates. Standard errors in parentheses (pair + exit-year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Standard errors derived with pair-plus-year multiway clustering. *** p &lt; 0.01, ** p &lt; 0.05, * p &lt; 0.10.</w:t>
        <w:br/>
        <w:t>Source: Author's calculations based on CEPII BACI, World Bank DTA, and Caldara and Iacoviello (2022).</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 Figure A2 provides a visual comparison of the coefficient estimates across all shock specifications.</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Standard errors in parentheses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Figure A2. Country-Specific GPR Robustness: Trade Value and Link Survival</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3"/>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Point estimates and 95% confidence intervals for country-specific GPR specifications.</w:t>
        <w:br/>
        <w:t>Source: Author's calculations based on CEPII BACI, World Bank DTA, and Caldara and Iacoviello (2022).</w:t>
      </w:r>
    </w:p>
    <w:p/>
    <w:p>
      <w:pPr>
        <w:pStyle w:val="Heading2"/>
      </w:pPr>
      <w:r>
        <w:t>4.7. Discussion: Mechanism Synthesis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(Section 4.2)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(Section 4.3)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in Sections 4.4 and 4.5.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(Section 4.4). Critically, the post-exit recovery analysis (Section 4.5) shows that this destruction is not permanent: the institutional infrastructure of deep agreements facilitates re-entry over a two-year horizon, converting what would otherwise be permanent trade destruction into a transitory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