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E684538" w:rsidP="1E684538" w:rsidRDefault="1E684538" w14:paraId="120642C3" w14:textId="68046B08">
      <w:pPr>
        <w:pStyle w:val="Normal"/>
      </w:pPr>
      <w:r>
        <w:br w:type="page"/>
      </w:r>
    </w:p>
    <w:p w:rsidR="0E37F565" w:rsidP="1E684538" w:rsidRDefault="0E37F565" w14:paraId="50D45FA0" w14:textId="24DBF22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Web Develo</w:t>
      </w:r>
      <w:r w:rsidRPr="1E684538" w:rsidR="17C4405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ment Proposal ACFS Community Education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Rosebank College WEDE5020 ST10515154 Baloyi Vukona</w:t>
      </w:r>
    </w:p>
    <w:p w:rsidR="1E684538" w:rsidP="1E684538" w:rsidRDefault="1E684538" w14:paraId="29093B53" w14:textId="674680A2">
      <w:pPr>
        <w:pStyle w:val="Normal"/>
      </w:pPr>
    </w:p>
    <w:p w:rsidR="0E37F565" w:rsidP="1E684538" w:rsidRDefault="0E37F565" w14:paraId="36B32FEC" w14:textId="149C83C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1. </w:t>
      </w:r>
      <w:r w:rsidRPr="1E684538" w:rsidR="4E03852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Organization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Overview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History: ACFS Community Education is a South African non-profit focused on early childhood development, food security, and skills training in vulnerable communities. Established to uplift children and families through education and nutrition programs (ACFS, 2024).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Mission: To empower communities by providing quality education, nutrition, and life skills that break the cycle of poverty.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Vision: To be a leading community development </w:t>
      </w:r>
      <w:r w:rsidRPr="1E684538" w:rsidR="606B10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organization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valued for impact, integrity, and sustainability.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Target Audience: Caregivers, parents, and young adults aged 18–45 in underserved communities, plus donors, partners, and volunteers seeking to support community upliftment.</w:t>
      </w:r>
      <w:r>
        <w:br/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2. Website Goals and Objectives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Collect details of beneficiaries, volunteers, and donors. Share program updates, success stories, and educational resources to encourage engagement and support. These goals strengthen outreach and build online presence (Chaffey &amp; Ellis-Chadwick, 2022).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KPIs: Monthly site visits, contact/volunteer sign-up forms 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submitted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, average time on resource pages, and online donations or program registrations.</w:t>
      </w:r>
      <w:r>
        <w:br/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3. Current Website Analysis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Strengths: ACFS branding and mission are communicated clearly. Layout adapts to mobile, which suits community members using smartphones (Google, 2023).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Weaknesses: Visual design feels dated, reducing credibility with potential funders. Low accessibility: weak </w:t>
      </w:r>
      <w:r w:rsidRPr="1E684538" w:rsidR="7782B0D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color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contrast and missing alt text limit access for users with disabilities (W3C, 2023).</w:t>
      </w:r>
      <w:r>
        <w:br/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4. Areas for Improvement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Refresh UI to a modern, hopeful style that reflects ACFS’s growth and community focus.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Improve accessibility by boosting contrast, adding alt text to images, and aligning with WCAG 2.2 guidelines.</w:t>
      </w:r>
      <w:r>
        <w:br/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5. Essential Features and Functionality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Homepage: Hero banner with rotating program highlights and “Get Involved” CTA. Quick links to donate, volunteer, or access learning resources.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About Us: ACFS history, mission, vision, and impact stories from South African communities.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Contact Page: Validated contact/volunteer form, Google Maps for </w:t>
      </w:r>
      <w:r w:rsidRPr="1E684538" w:rsidR="497C49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center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locations, phone, email, and social media links.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Programs/Services: Catalogue of ACFS initiatives with filters by category, age group, and location. Detailed program pages with outcomes, images, and “Register” or “Support” CTA.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Additional: Search bar with autocomplete, beneficiary/donor login for </w:t>
      </w:r>
      <w:r w:rsidRPr="1E684538" w:rsidR="2606F8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personalized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updates and resource access.</w:t>
      </w:r>
      <w:r>
        <w:br/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6. Design and User Experience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Website should feel warm, trustworthy, and community-driven while reflecting ACFS’s South African identity.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Colours: ACFS brand primary for headers/CTAs, secondary accent for calls to action, neutral tones for backgrounds/content. Ensure strong text background contrast.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Typography: Bold sans-serif for headings, clean sans-serif for body text. Clear hierarchy: H1 for banners, H2 for sections, H3 for program titles.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Layout: Grid-</w:t>
      </w:r>
      <w:r w:rsidRPr="1E684538" w:rsidR="715D9FD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based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program displays and easy scanning. Prominent hero banner for campaigns. Menu: Home, Programs, Impact, Get Involved, About Us, Contact. Mobile-first to serve SA community members.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UX: Simple menu with dropdowns for program categories and support options.</w:t>
      </w:r>
      <w:r>
        <w:br/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7. Technical Requirements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Tech Stack: HTML5 for structure, CSS3 for styling, JavaScript for interactivity.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Domain/Hosting: Use `acfs.org.za` or suitable subdomain. Reliable South African host with SSL certificate (HTTPS) for security, trust, and SEO (AWS, 2024).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Timeline: 23 March 2026 – Research. 25–29 March 2026 – Complete proposal. 30 March 2026 – Submission.</w:t>
      </w:r>
      <w:r>
        <w:br/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8. Budget – ACFS Community Education Website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 Development: R120,000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_Includes UI/UX design, front-end and back-end build, CMS integration, testing_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 Domain &amp; Hosting (Year 1): R8,400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_Domain registration, SSL certificate, SA-based hosting with daily backups_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 Maintenance &amp; Support (Year 1): R18,000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_Security updates, content changes, bug fixes, R1,500/month_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 Total Estimated Budget: R146,400</w:t>
      </w:r>
      <w:r>
        <w:br/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Reference List 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ACFS. 2024. _About ACFS Community </w:t>
      </w:r>
      <w:r w:rsidRPr="1E684538" w:rsidR="40AD680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Education.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Available at: https://www.acfs.org.za [Accessed 27 March 2026].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AWS. 2024. _Amazon EC2 Pricing </w:t>
      </w:r>
      <w:r w:rsidRPr="1E684538" w:rsidR="17117C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Overview.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Available at: https://aws.amazon.com [Accessed 29 March 2026].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Chaffey, D. &amp; Ellis-Chadwick, F. 2022. </w:t>
      </w:r>
      <w:r w:rsidRPr="1E684538" w:rsidR="66D483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Digital Marketing.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8th ed. Harlow: Pearson.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Google. 2023. _Mobile Usage Trends in </w:t>
      </w:r>
      <w:r w:rsidRPr="1E684538" w:rsidR="4F4CEA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Africa.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Available at: https://www.google.com [Accessed 29 March 2026].</w:t>
      </w:r>
      <w:r>
        <w:br/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W3C. 2023. _Web Content Accessibility Guidelines (WCAG) 2.2</w:t>
      </w:r>
      <w:r w:rsidRPr="1E684538" w:rsidR="309538C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_.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Available at: https://www.w3.org [Accessed 28 March 2026</w:t>
      </w:r>
      <w:r w:rsidRPr="1E684538" w:rsidR="4CB6359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]. [</w:t>
      </w:r>
      <w:r w:rsidRPr="1E684538" w:rsidR="0E37F56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Online]</w:t>
      </w:r>
      <w:r>
        <w:br/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596a7e7e8244589"/>
      <w:footerReference w:type="default" r:id="R3932a2f085624db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84538" w:rsidTr="1E684538" w14:paraId="251AA3FF">
      <w:trPr>
        <w:trHeight w:val="300"/>
      </w:trPr>
      <w:tc>
        <w:tcPr>
          <w:tcW w:w="3120" w:type="dxa"/>
          <w:tcMar/>
        </w:tcPr>
        <w:p w:rsidR="1E684538" w:rsidP="1E684538" w:rsidRDefault="1E684538" w14:paraId="2116FE4F" w14:textId="064D242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684538" w:rsidP="1E684538" w:rsidRDefault="1E684538" w14:paraId="07D146BA" w14:textId="71D0D7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E684538" w:rsidP="1E684538" w:rsidRDefault="1E684538" w14:paraId="2FAAE2A6" w14:textId="48741AF1">
          <w:pPr>
            <w:pStyle w:val="Header"/>
            <w:bidi w:val="0"/>
            <w:ind w:right="-115"/>
            <w:jc w:val="right"/>
          </w:pPr>
        </w:p>
      </w:tc>
    </w:tr>
  </w:tbl>
  <w:p w:rsidR="1E684538" w:rsidP="1E684538" w:rsidRDefault="1E684538" w14:paraId="71AD26E2" w14:textId="44BB20C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E684538" w:rsidTr="1E684538" w14:paraId="18DF231E">
      <w:trPr>
        <w:trHeight w:val="300"/>
      </w:trPr>
      <w:tc>
        <w:tcPr>
          <w:tcW w:w="3120" w:type="dxa"/>
          <w:tcMar/>
        </w:tcPr>
        <w:p w:rsidR="1E684538" w:rsidP="1E684538" w:rsidRDefault="1E684538" w14:paraId="6AA9077A" w14:textId="762796B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E684538" w:rsidP="1E684538" w:rsidRDefault="1E684538" w14:paraId="67891ED8" w14:textId="3A8C41E3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1E684538" w:rsidP="1E684538" w:rsidRDefault="1E684538" w14:paraId="55563849" w14:textId="0C85255A">
          <w:pPr>
            <w:pStyle w:val="Header"/>
            <w:bidi w:val="0"/>
            <w:ind w:right="-115"/>
            <w:jc w:val="right"/>
          </w:pPr>
        </w:p>
      </w:tc>
    </w:tr>
  </w:tbl>
  <w:p w:rsidR="1E684538" w:rsidP="1E684538" w:rsidRDefault="1E684538" w14:paraId="39870448" w14:textId="49C360B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C3609"/>
    <w:rsid w:val="0C4AD88D"/>
    <w:rsid w:val="0E37F565"/>
    <w:rsid w:val="106F7525"/>
    <w:rsid w:val="17117CFB"/>
    <w:rsid w:val="17C44059"/>
    <w:rsid w:val="1E684538"/>
    <w:rsid w:val="2606F85C"/>
    <w:rsid w:val="30590917"/>
    <w:rsid w:val="309538C2"/>
    <w:rsid w:val="324020F7"/>
    <w:rsid w:val="40AD6804"/>
    <w:rsid w:val="44E9003A"/>
    <w:rsid w:val="468C3609"/>
    <w:rsid w:val="497C4968"/>
    <w:rsid w:val="4CB63591"/>
    <w:rsid w:val="4E03852A"/>
    <w:rsid w:val="4F4CEAF5"/>
    <w:rsid w:val="5313E947"/>
    <w:rsid w:val="5B8F2620"/>
    <w:rsid w:val="606B106A"/>
    <w:rsid w:val="661BA160"/>
    <w:rsid w:val="66D48345"/>
    <w:rsid w:val="715D9FD8"/>
    <w:rsid w:val="7782B0D5"/>
    <w:rsid w:val="7863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B396"/>
  <w15:chartTrackingRefBased/>
  <w15:docId w15:val="{BE563773-F0F1-4C7C-AAF8-8DDAB71B93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E6845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6845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596a7e7e8244589" /><Relationship Type="http://schemas.openxmlformats.org/officeDocument/2006/relationships/footer" Target="footer.xml" Id="R3932a2f085624d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2026-04-20T06:53:11.0902037Z</dcterms:created>
  <dcterms:modified xsi:type="dcterms:W3CDTF">2026-04-20T07:01:39.6426479Z</dcterms:modified>
  <dc:creator>Vukona Baloyi</dc:creator>
  <lastModifiedBy>Vukona Baloyi</lastModifiedBy>
</coreProperties>
</file>