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6BC9C6" w14:textId="77777777" w:rsidR="00242B6E" w:rsidRDefault="00242B6E"/>
    <w:p w14:paraId="4AE90FEC" w14:textId="77777777" w:rsidR="00AA3C43" w:rsidRDefault="00AA3C43"/>
    <w:p w14:paraId="2DE8129C" w14:textId="77777777" w:rsidR="00AA3C43" w:rsidRPr="00AA3C43" w:rsidRDefault="00AA3C43" w:rsidP="00AA3C43">
      <w:pPr>
        <w:pStyle w:val="Heading1"/>
        <w:jc w:val="center"/>
        <w:rPr>
          <w:color w:val="00B050"/>
          <w:sz w:val="32"/>
          <w:szCs w:val="32"/>
          <w:lang w:val="en-US"/>
        </w:rPr>
      </w:pPr>
      <w:r w:rsidRPr="00AA3C43">
        <w:rPr>
          <w:color w:val="00B050"/>
          <w:sz w:val="32"/>
          <w:szCs w:val="32"/>
          <w:lang w:val="en-US"/>
        </w:rPr>
        <w:t>Why the need for Third Party Risks assessment?</w:t>
      </w:r>
    </w:p>
    <w:p w14:paraId="3670549C" w14:textId="27D8EE94" w:rsidR="00AA3C43" w:rsidRDefault="00015F01" w:rsidP="00015F01">
      <w:pPr>
        <w:jc w:val="both"/>
        <w:rPr>
          <w:lang w:val="en-US"/>
        </w:rPr>
      </w:pPr>
      <w:r w:rsidRPr="00015F01">
        <w:rPr>
          <w:lang w:val="en-US"/>
        </w:rPr>
        <w:t>As companies embrace new technologies to drive their digital transformation initiatives, cyber risks remain a top priority concern for business leaders. As a consequence of wide-reaching and successful cyberattacks, Third Party Management (TPM) has become companies’ focal point. To maintain a sound security posture, organizations need to assess the vendor ecosystem to ensure that risks of cybersecurity, privacy breach, ethics and compliance are mitigated and environmental, social, and governance goals are achieved.</w:t>
      </w:r>
    </w:p>
    <w:p w14:paraId="06A57E56" w14:textId="77777777" w:rsidR="00015F01" w:rsidRPr="00AA3C43" w:rsidRDefault="00015F01" w:rsidP="00015F01">
      <w:pPr>
        <w:jc w:val="both"/>
      </w:pPr>
    </w:p>
    <w:p w14:paraId="4F148BF7" w14:textId="3D5A6132" w:rsidR="00AA3C43" w:rsidRDefault="00AA3C43" w:rsidP="00015F01">
      <w:pPr>
        <w:jc w:val="both"/>
      </w:pPr>
      <w:r w:rsidRPr="00AA3C43">
        <w:t>Our consultants, with years of expertise, are renowned for conducting and evaluating third-party security assessments on behalf of our esteemed clients. We pride ourselves on our methodology in evaluating third parties’ security controls, leveraging our deep understanding and unparalleled skill set to ensure that third parties’ systems and processes are robust, compliant, and secure.</w:t>
      </w:r>
    </w:p>
    <w:p w14:paraId="072D825A" w14:textId="77777777" w:rsidR="00684502" w:rsidRDefault="00684502" w:rsidP="00015F01">
      <w:pPr>
        <w:jc w:val="both"/>
      </w:pPr>
    </w:p>
    <w:p w14:paraId="0EF07CBB" w14:textId="77777777" w:rsidR="00684502" w:rsidRDefault="00684502" w:rsidP="00015F01">
      <w:pPr>
        <w:jc w:val="both"/>
      </w:pPr>
    </w:p>
    <w:p w14:paraId="76ED5DE4" w14:textId="77777777" w:rsidR="00AA3C43" w:rsidRDefault="00AA3C43"/>
    <w:p w14:paraId="7C2C6D90" w14:textId="09CEA091" w:rsidR="00AA3C43" w:rsidRDefault="00AA3C43" w:rsidP="00AA3C43">
      <w:pPr>
        <w:pStyle w:val="Heading2"/>
        <w:jc w:val="center"/>
        <w:rPr>
          <w:color w:val="00B050"/>
        </w:rPr>
      </w:pPr>
      <w:r w:rsidRPr="00AA3C43">
        <w:rPr>
          <w:color w:val="00B050"/>
        </w:rPr>
        <w:t xml:space="preserve">Our </w:t>
      </w:r>
      <w:r>
        <w:rPr>
          <w:color w:val="00B050"/>
        </w:rPr>
        <w:t>A</w:t>
      </w:r>
      <w:r w:rsidRPr="00AA3C43">
        <w:rPr>
          <w:color w:val="00B050"/>
        </w:rPr>
        <w:t>pproach</w:t>
      </w:r>
    </w:p>
    <w:p w14:paraId="07BC2A4D" w14:textId="5A831D65" w:rsidR="00015F01" w:rsidRDefault="00015F01" w:rsidP="00015F01">
      <w:pPr>
        <w:jc w:val="center"/>
      </w:pPr>
      <w:r>
        <w:rPr>
          <w:noProof/>
        </w:rPr>
        <w:drawing>
          <wp:inline distT="0" distB="0" distL="0" distR="0" wp14:anchorId="730BA54C" wp14:editId="472BD879">
            <wp:extent cx="6481445" cy="3497361"/>
            <wp:effectExtent l="0" t="0" r="0" b="8255"/>
            <wp:docPr id="1228689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2380" cy="3508657"/>
                    </a:xfrm>
                    <a:prstGeom prst="rect">
                      <a:avLst/>
                    </a:prstGeom>
                    <a:noFill/>
                  </pic:spPr>
                </pic:pic>
              </a:graphicData>
            </a:graphic>
          </wp:inline>
        </w:drawing>
      </w:r>
    </w:p>
    <w:p w14:paraId="6079C7C8" w14:textId="2E265425" w:rsidR="00015F01" w:rsidRPr="00015F01" w:rsidRDefault="00015F01" w:rsidP="00015F01"/>
    <w:p w14:paraId="257D23E9" w14:textId="1537DE7C" w:rsidR="00AA3C43" w:rsidRDefault="00AA3C43" w:rsidP="00AA3C43"/>
    <w:p w14:paraId="352E6C6D" w14:textId="32E5A495" w:rsidR="00AA3C43" w:rsidRDefault="00AA3C43" w:rsidP="00AA3C43"/>
    <w:p w14:paraId="622E9865" w14:textId="77777777" w:rsidR="00AA3C43" w:rsidRDefault="00AA3C43" w:rsidP="00AA3C43"/>
    <w:p w14:paraId="04EDA421" w14:textId="29F4EB21" w:rsidR="00AA3C43" w:rsidRPr="00015F01" w:rsidRDefault="00015F01" w:rsidP="00015F01">
      <w:pPr>
        <w:pStyle w:val="Heading2"/>
        <w:jc w:val="center"/>
        <w:rPr>
          <w:color w:val="00B050"/>
          <w:sz w:val="24"/>
          <w:szCs w:val="24"/>
        </w:rPr>
      </w:pPr>
      <w:r w:rsidRPr="00015F01">
        <w:rPr>
          <w:color w:val="00B050"/>
          <w:sz w:val="24"/>
          <w:szCs w:val="24"/>
        </w:rPr>
        <w:lastRenderedPageBreak/>
        <w:t>How does it work?</w:t>
      </w:r>
    </w:p>
    <w:p w14:paraId="39C0F226" w14:textId="77777777" w:rsidR="00AA3C43" w:rsidRDefault="00AA3C43" w:rsidP="00AA3C43"/>
    <w:p w14:paraId="42B101AD" w14:textId="5837D159" w:rsidR="00015F01" w:rsidRDefault="00015F01" w:rsidP="00015F01">
      <w:pPr>
        <w:pStyle w:val="ListParagraph"/>
        <w:numPr>
          <w:ilvl w:val="0"/>
          <w:numId w:val="7"/>
        </w:numPr>
      </w:pPr>
      <w:r>
        <w:t>Third-party risk management is a process of holding enterprises accountable to good risk management practices.</w:t>
      </w:r>
    </w:p>
    <w:p w14:paraId="00A047E9" w14:textId="70671959" w:rsidR="00015F01" w:rsidRDefault="00015F01" w:rsidP="00015F01">
      <w:pPr>
        <w:pStyle w:val="ListParagraph"/>
        <w:numPr>
          <w:ilvl w:val="0"/>
          <w:numId w:val="7"/>
        </w:numPr>
      </w:pPr>
      <w:r>
        <w:t>Improve the risk management capabilities of your third parties to improve the security of the Internet.</w:t>
      </w:r>
    </w:p>
    <w:p w14:paraId="4B28FE8A" w14:textId="77777777" w:rsidR="00015F01" w:rsidRDefault="00015F01" w:rsidP="00015F01">
      <w:pPr>
        <w:pStyle w:val="ListParagraph"/>
        <w:numPr>
          <w:ilvl w:val="0"/>
          <w:numId w:val="7"/>
        </w:numPr>
      </w:pPr>
      <w:r>
        <w:t>Identify and centrally manage all vendors in a single platform. Gaining visibility into your third-party ecosystem is the first and most important step to understanding your risk exposure.</w:t>
      </w:r>
    </w:p>
    <w:p w14:paraId="7EB9D1DD" w14:textId="77777777" w:rsidR="00015F01" w:rsidRDefault="00015F01" w:rsidP="00015F01">
      <w:pPr>
        <w:pStyle w:val="ListParagraph"/>
        <w:numPr>
          <w:ilvl w:val="0"/>
          <w:numId w:val="7"/>
        </w:numPr>
      </w:pPr>
      <w:r>
        <w:t>Extend that visibility to third-party technology usage. When a breach that impacts a specific technology occurs, you can map impacted vendors easily and target risk assessments accordingly.</w:t>
      </w:r>
    </w:p>
    <w:p w14:paraId="39B51468" w14:textId="77777777" w:rsidR="00015F01" w:rsidRDefault="00015F01" w:rsidP="00015F01">
      <w:pPr>
        <w:pStyle w:val="ListParagraph"/>
        <w:numPr>
          <w:ilvl w:val="0"/>
          <w:numId w:val="7"/>
        </w:numPr>
      </w:pPr>
      <w:r>
        <w:t>Automate risk assessments, including questionnaire selection, response workflow and reporting.</w:t>
      </w:r>
    </w:p>
    <w:p w14:paraId="72DC9CD7" w14:textId="77777777" w:rsidR="00015F01" w:rsidRDefault="00015F01" w:rsidP="00015F01">
      <w:pPr>
        <w:pStyle w:val="ListParagraph"/>
        <w:numPr>
          <w:ilvl w:val="0"/>
          <w:numId w:val="7"/>
        </w:numPr>
      </w:pPr>
      <w:r>
        <w:t>Score responses based on specific risk thresholds. This will enable your team to target the most critical risks first.</w:t>
      </w:r>
    </w:p>
    <w:p w14:paraId="26DE372D" w14:textId="07C7F994" w:rsidR="00015F01" w:rsidRDefault="00015F01" w:rsidP="00015F01">
      <w:pPr>
        <w:pStyle w:val="ListParagraph"/>
        <w:numPr>
          <w:ilvl w:val="0"/>
          <w:numId w:val="7"/>
        </w:numPr>
      </w:pPr>
      <w:r>
        <w:t>Offer proactive reports on incident response progress and mitigations to satisfy the needs of regulators, board members, and other stakeholders.</w:t>
      </w:r>
    </w:p>
    <w:p w14:paraId="2BDC84BB" w14:textId="77777777" w:rsidR="00015F01" w:rsidRDefault="00015F01" w:rsidP="00015F01"/>
    <w:p w14:paraId="6D95F4EB" w14:textId="11EDBEF1" w:rsidR="00015F01" w:rsidRPr="00015F01" w:rsidRDefault="00015F01" w:rsidP="00015F01">
      <w:pPr>
        <w:pStyle w:val="Heading2"/>
        <w:jc w:val="center"/>
        <w:rPr>
          <w:color w:val="00B050"/>
          <w:sz w:val="24"/>
          <w:szCs w:val="24"/>
        </w:rPr>
      </w:pPr>
      <w:r w:rsidRPr="00015F01">
        <w:rPr>
          <w:color w:val="00B050"/>
          <w:sz w:val="24"/>
          <w:szCs w:val="24"/>
        </w:rPr>
        <w:t>The benefits</w:t>
      </w:r>
    </w:p>
    <w:tbl>
      <w:tblPr>
        <w:tblpPr w:leftFromText="180" w:rightFromText="180" w:vertAnchor="text" w:horzAnchor="margin" w:tblpXSpec="center" w:tblpY="10"/>
        <w:tblW w:w="11100" w:type="dxa"/>
        <w:tblLayout w:type="fixed"/>
        <w:tblCellMar>
          <w:left w:w="0" w:type="dxa"/>
          <w:right w:w="0" w:type="dxa"/>
        </w:tblCellMar>
        <w:tblLook w:val="0000" w:firstRow="0" w:lastRow="0" w:firstColumn="0" w:lastColumn="0" w:noHBand="0" w:noVBand="0"/>
      </w:tblPr>
      <w:tblGrid>
        <w:gridCol w:w="3420"/>
        <w:gridCol w:w="7680"/>
      </w:tblGrid>
      <w:tr w:rsidR="00EA3AEB" w:rsidRPr="00EA3AEB" w14:paraId="68488AEE" w14:textId="77777777" w:rsidTr="00EA3AEB">
        <w:trPr>
          <w:trHeight w:val="396"/>
        </w:trPr>
        <w:tc>
          <w:tcPr>
            <w:tcW w:w="3420" w:type="dxa"/>
            <w:tcBorders>
              <w:top w:val="single" w:sz="4" w:space="0" w:color="auto"/>
              <w:left w:val="single" w:sz="4" w:space="0" w:color="auto"/>
              <w:right w:val="single" w:sz="8" w:space="0" w:color="191B52"/>
            </w:tcBorders>
            <w:vAlign w:val="bottom"/>
          </w:tcPr>
          <w:p w14:paraId="09BA2808"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Reduce Compliance and</w:t>
            </w:r>
          </w:p>
        </w:tc>
        <w:tc>
          <w:tcPr>
            <w:tcW w:w="7680" w:type="dxa"/>
            <w:tcBorders>
              <w:top w:val="single" w:sz="4" w:space="0" w:color="auto"/>
              <w:right w:val="single" w:sz="4" w:space="0" w:color="auto"/>
            </w:tcBorders>
            <w:vAlign w:val="bottom"/>
          </w:tcPr>
          <w:p w14:paraId="459E62FE" w14:textId="77777777" w:rsidR="00EA3AEB" w:rsidRPr="00EA3AEB" w:rsidRDefault="00EA3AEB" w:rsidP="00EA3AEB">
            <w:pPr>
              <w:spacing w:line="0" w:lineRule="atLeast"/>
              <w:ind w:left="120"/>
              <w:rPr>
                <w:color w:val="2D2A26"/>
                <w:w w:val="95"/>
                <w:sz w:val="16"/>
                <w:szCs w:val="16"/>
                <w:lang w:val="en-GB"/>
              </w:rPr>
            </w:pPr>
            <w:r w:rsidRPr="00EA3AEB">
              <w:rPr>
                <w:color w:val="2D2A26"/>
                <w:w w:val="95"/>
                <w:sz w:val="16"/>
                <w:szCs w:val="16"/>
                <w:lang w:val="en-GB"/>
              </w:rPr>
              <w:t>Risk Management and Compliance/Audit teams want to achieve compliance and</w:t>
            </w:r>
          </w:p>
        </w:tc>
      </w:tr>
      <w:tr w:rsidR="00EA3AEB" w:rsidRPr="00EA3AEB" w14:paraId="72D5FA9E" w14:textId="77777777" w:rsidTr="00EA3AEB">
        <w:trPr>
          <w:trHeight w:val="288"/>
        </w:trPr>
        <w:tc>
          <w:tcPr>
            <w:tcW w:w="3420" w:type="dxa"/>
            <w:tcBorders>
              <w:left w:val="single" w:sz="4" w:space="0" w:color="auto"/>
              <w:right w:val="single" w:sz="8" w:space="0" w:color="191B52"/>
            </w:tcBorders>
            <w:vAlign w:val="bottom"/>
          </w:tcPr>
          <w:p w14:paraId="4206B270"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regulatory pressures</w:t>
            </w:r>
          </w:p>
        </w:tc>
        <w:tc>
          <w:tcPr>
            <w:tcW w:w="7680" w:type="dxa"/>
            <w:tcBorders>
              <w:right w:val="single" w:sz="4" w:space="0" w:color="auto"/>
            </w:tcBorders>
            <w:vAlign w:val="bottom"/>
          </w:tcPr>
          <w:p w14:paraId="15F854B2"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address the risks of working with IT vendors – a different type of reporting.</w:t>
            </w:r>
          </w:p>
        </w:tc>
      </w:tr>
      <w:tr w:rsidR="00EA3AEB" w:rsidRPr="00EA3AEB" w14:paraId="45B68CE0" w14:textId="77777777" w:rsidTr="00EA3AEB">
        <w:trPr>
          <w:trHeight w:val="180"/>
        </w:trPr>
        <w:tc>
          <w:tcPr>
            <w:tcW w:w="3420" w:type="dxa"/>
            <w:tcBorders>
              <w:left w:val="single" w:sz="4" w:space="0" w:color="auto"/>
              <w:bottom w:val="single" w:sz="8" w:space="0" w:color="191B52"/>
              <w:right w:val="single" w:sz="8" w:space="0" w:color="191B52"/>
            </w:tcBorders>
            <w:vAlign w:val="bottom"/>
          </w:tcPr>
          <w:p w14:paraId="15FC63F5"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bottom w:val="single" w:sz="8" w:space="0" w:color="191B52"/>
              <w:right w:val="single" w:sz="4" w:space="0" w:color="auto"/>
            </w:tcBorders>
            <w:vAlign w:val="bottom"/>
          </w:tcPr>
          <w:p w14:paraId="0E93587E"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2C5A6CD6" w14:textId="77777777" w:rsidTr="00EA3AEB">
        <w:trPr>
          <w:trHeight w:val="336"/>
        </w:trPr>
        <w:tc>
          <w:tcPr>
            <w:tcW w:w="3420" w:type="dxa"/>
            <w:tcBorders>
              <w:left w:val="single" w:sz="4" w:space="0" w:color="auto"/>
              <w:right w:val="single" w:sz="8" w:space="0" w:color="191B52"/>
            </w:tcBorders>
            <w:vAlign w:val="bottom"/>
          </w:tcPr>
          <w:p w14:paraId="07474292"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right w:val="single" w:sz="4" w:space="0" w:color="auto"/>
            </w:tcBorders>
            <w:vAlign w:val="bottom"/>
          </w:tcPr>
          <w:p w14:paraId="53D1A2AB" w14:textId="77777777" w:rsidR="00EA3AEB" w:rsidRPr="00EA3AEB" w:rsidRDefault="00EA3AEB" w:rsidP="00EA3AEB">
            <w:pPr>
              <w:spacing w:line="0" w:lineRule="atLeast"/>
              <w:ind w:left="120"/>
              <w:rPr>
                <w:color w:val="2D2A26"/>
                <w:w w:val="95"/>
                <w:sz w:val="16"/>
                <w:szCs w:val="16"/>
                <w:lang w:val="en-GB"/>
              </w:rPr>
            </w:pPr>
            <w:r w:rsidRPr="00EA3AEB">
              <w:rPr>
                <w:color w:val="2D2A26"/>
                <w:w w:val="95"/>
                <w:sz w:val="16"/>
                <w:szCs w:val="16"/>
                <w:lang w:val="en-GB"/>
              </w:rPr>
              <w:t>Ensure that third parties protect the privacy of any personal information collected</w:t>
            </w:r>
          </w:p>
        </w:tc>
      </w:tr>
      <w:tr w:rsidR="00EA3AEB" w:rsidRPr="00EA3AEB" w14:paraId="484312B9" w14:textId="77777777" w:rsidTr="00EA3AEB">
        <w:trPr>
          <w:trHeight w:val="277"/>
        </w:trPr>
        <w:tc>
          <w:tcPr>
            <w:tcW w:w="3420" w:type="dxa"/>
            <w:tcBorders>
              <w:left w:val="single" w:sz="4" w:space="0" w:color="auto"/>
              <w:right w:val="single" w:sz="8" w:space="0" w:color="191B52"/>
            </w:tcBorders>
            <w:vAlign w:val="bottom"/>
          </w:tcPr>
          <w:p w14:paraId="240E2B1B" w14:textId="529BC5C4"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 xml:space="preserve">Enforce </w:t>
            </w:r>
            <w:r w:rsidR="007C7FC6">
              <w:rPr>
                <w:color w:val="191B52"/>
                <w:sz w:val="16"/>
                <w:szCs w:val="16"/>
                <w:lang w:val="en-GB"/>
              </w:rPr>
              <w:t>Privacy</w:t>
            </w:r>
            <w:r w:rsidRPr="00EA3AEB">
              <w:rPr>
                <w:color w:val="191B52"/>
                <w:sz w:val="16"/>
                <w:szCs w:val="16"/>
                <w:lang w:val="en-GB"/>
              </w:rPr>
              <w:t xml:space="preserve"> requirements</w:t>
            </w:r>
          </w:p>
        </w:tc>
        <w:tc>
          <w:tcPr>
            <w:tcW w:w="7680" w:type="dxa"/>
            <w:tcBorders>
              <w:right w:val="single" w:sz="4" w:space="0" w:color="auto"/>
            </w:tcBorders>
            <w:vAlign w:val="bottom"/>
          </w:tcPr>
          <w:p w14:paraId="4E986AB9" w14:textId="77777777" w:rsidR="00EA3AEB" w:rsidRPr="00EA3AEB" w:rsidRDefault="00EA3AEB" w:rsidP="00EA3AEB">
            <w:pPr>
              <w:spacing w:line="0" w:lineRule="atLeast"/>
              <w:ind w:left="120"/>
              <w:rPr>
                <w:color w:val="2D2A26"/>
                <w:w w:val="93"/>
                <w:sz w:val="16"/>
                <w:szCs w:val="16"/>
                <w:lang w:val="en-GB"/>
              </w:rPr>
            </w:pPr>
            <w:r w:rsidRPr="00EA3AEB">
              <w:rPr>
                <w:color w:val="2D2A26"/>
                <w:w w:val="93"/>
                <w:sz w:val="16"/>
                <w:szCs w:val="16"/>
                <w:lang w:val="en-GB"/>
              </w:rPr>
              <w:t>and/or processed by ensuring that appropriate controls are in place to mitigate risk</w:t>
            </w:r>
          </w:p>
        </w:tc>
      </w:tr>
      <w:tr w:rsidR="00EA3AEB" w:rsidRPr="00EA3AEB" w14:paraId="2A944E8D" w14:textId="77777777" w:rsidTr="00EA3AEB">
        <w:trPr>
          <w:trHeight w:val="252"/>
        </w:trPr>
        <w:tc>
          <w:tcPr>
            <w:tcW w:w="3420" w:type="dxa"/>
            <w:tcBorders>
              <w:left w:val="single" w:sz="4" w:space="0" w:color="auto"/>
              <w:right w:val="single" w:sz="8" w:space="0" w:color="191B52"/>
            </w:tcBorders>
            <w:vAlign w:val="bottom"/>
          </w:tcPr>
          <w:p w14:paraId="5032230A"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right w:val="single" w:sz="4" w:space="0" w:color="auto"/>
            </w:tcBorders>
            <w:vAlign w:val="bottom"/>
          </w:tcPr>
          <w:p w14:paraId="2E771CB0"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to avoid regulatory, financial, and reputational exposures.</w:t>
            </w:r>
          </w:p>
        </w:tc>
      </w:tr>
      <w:tr w:rsidR="00EA3AEB" w:rsidRPr="00EA3AEB" w14:paraId="533291A1" w14:textId="77777777" w:rsidTr="00EA3AEB">
        <w:trPr>
          <w:trHeight w:val="72"/>
        </w:trPr>
        <w:tc>
          <w:tcPr>
            <w:tcW w:w="3420" w:type="dxa"/>
            <w:tcBorders>
              <w:left w:val="single" w:sz="4" w:space="0" w:color="auto"/>
              <w:bottom w:val="single" w:sz="8" w:space="0" w:color="191B52"/>
              <w:right w:val="single" w:sz="8" w:space="0" w:color="191B52"/>
            </w:tcBorders>
            <w:vAlign w:val="bottom"/>
          </w:tcPr>
          <w:p w14:paraId="16963D0F"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bottom w:val="single" w:sz="8" w:space="0" w:color="191B52"/>
              <w:right w:val="single" w:sz="4" w:space="0" w:color="auto"/>
            </w:tcBorders>
            <w:vAlign w:val="bottom"/>
          </w:tcPr>
          <w:p w14:paraId="1CB12704"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5044F8CC" w14:textId="77777777" w:rsidTr="00EA3AEB">
        <w:trPr>
          <w:trHeight w:val="468"/>
        </w:trPr>
        <w:tc>
          <w:tcPr>
            <w:tcW w:w="3420" w:type="dxa"/>
            <w:vMerge w:val="restart"/>
            <w:tcBorders>
              <w:left w:val="single" w:sz="4" w:space="0" w:color="auto"/>
              <w:right w:val="single" w:sz="8" w:space="0" w:color="191B52"/>
            </w:tcBorders>
            <w:vAlign w:val="bottom"/>
          </w:tcPr>
          <w:p w14:paraId="5609AAC6"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Manage multiple parties</w:t>
            </w:r>
          </w:p>
        </w:tc>
        <w:tc>
          <w:tcPr>
            <w:tcW w:w="7680" w:type="dxa"/>
            <w:tcBorders>
              <w:right w:val="single" w:sz="4" w:space="0" w:color="auto"/>
            </w:tcBorders>
            <w:vAlign w:val="bottom"/>
          </w:tcPr>
          <w:p w14:paraId="4BE94D3D"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Unified internal teams with a single set of workflows, third-party risk profiles,</w:t>
            </w:r>
          </w:p>
        </w:tc>
      </w:tr>
      <w:tr w:rsidR="00EA3AEB" w:rsidRPr="00EA3AEB" w14:paraId="2CA59378" w14:textId="77777777" w:rsidTr="00EA3AEB">
        <w:trPr>
          <w:trHeight w:val="184"/>
        </w:trPr>
        <w:tc>
          <w:tcPr>
            <w:tcW w:w="3420" w:type="dxa"/>
            <w:vMerge/>
            <w:tcBorders>
              <w:left w:val="single" w:sz="4" w:space="0" w:color="auto"/>
              <w:right w:val="single" w:sz="8" w:space="0" w:color="191B52"/>
            </w:tcBorders>
            <w:vAlign w:val="bottom"/>
          </w:tcPr>
          <w:p w14:paraId="01098992"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vMerge w:val="restart"/>
            <w:tcBorders>
              <w:right w:val="single" w:sz="4" w:space="0" w:color="auto"/>
            </w:tcBorders>
            <w:vAlign w:val="bottom"/>
          </w:tcPr>
          <w:p w14:paraId="65EF693F"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assessments, and reporting.</w:t>
            </w:r>
          </w:p>
        </w:tc>
      </w:tr>
      <w:tr w:rsidR="00EA3AEB" w:rsidRPr="00EA3AEB" w14:paraId="50467439" w14:textId="77777777" w:rsidTr="00EA3AEB">
        <w:trPr>
          <w:trHeight w:val="120"/>
        </w:trPr>
        <w:tc>
          <w:tcPr>
            <w:tcW w:w="3420" w:type="dxa"/>
            <w:tcBorders>
              <w:left w:val="single" w:sz="4" w:space="0" w:color="auto"/>
              <w:right w:val="single" w:sz="8" w:space="0" w:color="191B52"/>
            </w:tcBorders>
            <w:vAlign w:val="bottom"/>
          </w:tcPr>
          <w:p w14:paraId="67173204"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vMerge/>
            <w:tcBorders>
              <w:right w:val="single" w:sz="4" w:space="0" w:color="auto"/>
            </w:tcBorders>
            <w:vAlign w:val="bottom"/>
          </w:tcPr>
          <w:p w14:paraId="7FE6B1F8"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2DB8EB8E" w14:textId="77777777" w:rsidTr="00EA3AEB">
        <w:trPr>
          <w:trHeight w:val="204"/>
        </w:trPr>
        <w:tc>
          <w:tcPr>
            <w:tcW w:w="3420" w:type="dxa"/>
            <w:tcBorders>
              <w:left w:val="single" w:sz="4" w:space="0" w:color="auto"/>
              <w:bottom w:val="single" w:sz="8" w:space="0" w:color="191B52"/>
              <w:right w:val="single" w:sz="8" w:space="0" w:color="191B52"/>
            </w:tcBorders>
            <w:vAlign w:val="bottom"/>
          </w:tcPr>
          <w:p w14:paraId="39E595BC"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bottom w:val="single" w:sz="8" w:space="0" w:color="191B52"/>
              <w:right w:val="single" w:sz="4" w:space="0" w:color="auto"/>
            </w:tcBorders>
            <w:vAlign w:val="bottom"/>
          </w:tcPr>
          <w:p w14:paraId="37AE1DC5"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28982E26" w14:textId="77777777" w:rsidTr="00EA3AEB">
        <w:trPr>
          <w:trHeight w:val="468"/>
        </w:trPr>
        <w:tc>
          <w:tcPr>
            <w:tcW w:w="3420" w:type="dxa"/>
            <w:tcBorders>
              <w:left w:val="single" w:sz="4" w:space="0" w:color="auto"/>
              <w:right w:val="single" w:sz="8" w:space="0" w:color="191B52"/>
            </w:tcBorders>
            <w:vAlign w:val="bottom"/>
          </w:tcPr>
          <w:p w14:paraId="2A316A06" w14:textId="77777777" w:rsidR="00EA3AEB" w:rsidRPr="00EA3AEB" w:rsidRDefault="00EA3AEB" w:rsidP="00EA3AEB">
            <w:pPr>
              <w:spacing w:line="0" w:lineRule="atLeast"/>
              <w:ind w:left="140"/>
              <w:rPr>
                <w:color w:val="191B52"/>
                <w:w w:val="94"/>
                <w:sz w:val="16"/>
                <w:szCs w:val="16"/>
                <w:lang w:val="en-GB"/>
              </w:rPr>
            </w:pPr>
            <w:r w:rsidRPr="00EA3AEB">
              <w:rPr>
                <w:color w:val="191B52"/>
                <w:w w:val="94"/>
                <w:sz w:val="16"/>
                <w:szCs w:val="16"/>
                <w:lang w:val="en-GB"/>
              </w:rPr>
              <w:t>Clear-cut onboarding workflows,</w:t>
            </w:r>
          </w:p>
        </w:tc>
        <w:tc>
          <w:tcPr>
            <w:tcW w:w="7680" w:type="dxa"/>
            <w:tcBorders>
              <w:right w:val="single" w:sz="4" w:space="0" w:color="auto"/>
            </w:tcBorders>
            <w:vAlign w:val="bottom"/>
          </w:tcPr>
          <w:p w14:paraId="44BD2DF0" w14:textId="77777777" w:rsidR="00EA3AEB" w:rsidRPr="00EA3AEB" w:rsidRDefault="00EA3AEB" w:rsidP="00EA3AEB">
            <w:pPr>
              <w:spacing w:line="0" w:lineRule="atLeast"/>
              <w:ind w:left="120"/>
              <w:rPr>
                <w:color w:val="2D2A26"/>
                <w:w w:val="91"/>
                <w:sz w:val="16"/>
                <w:szCs w:val="16"/>
                <w:lang w:val="en-GB"/>
              </w:rPr>
            </w:pPr>
            <w:r w:rsidRPr="00EA3AEB">
              <w:rPr>
                <w:color w:val="2D2A26"/>
                <w:w w:val="91"/>
                <w:sz w:val="16"/>
                <w:szCs w:val="16"/>
                <w:lang w:val="en-GB"/>
              </w:rPr>
              <w:t>The Procurement team owns the third-party vendor/ supplier relationship but not the</w:t>
            </w:r>
          </w:p>
        </w:tc>
      </w:tr>
      <w:tr w:rsidR="00EA3AEB" w:rsidRPr="00EA3AEB" w14:paraId="2F25C0E4" w14:textId="77777777" w:rsidTr="00EA3AEB">
        <w:trPr>
          <w:trHeight w:val="289"/>
        </w:trPr>
        <w:tc>
          <w:tcPr>
            <w:tcW w:w="3420" w:type="dxa"/>
            <w:tcBorders>
              <w:left w:val="single" w:sz="4" w:space="0" w:color="auto"/>
              <w:right w:val="single" w:sz="8" w:space="0" w:color="191B52"/>
            </w:tcBorders>
            <w:vAlign w:val="bottom"/>
          </w:tcPr>
          <w:p w14:paraId="712F3919" w14:textId="77777777" w:rsidR="00EA3AEB" w:rsidRPr="00EA3AEB" w:rsidRDefault="00EA3AEB" w:rsidP="00EA3AEB">
            <w:pPr>
              <w:spacing w:line="0" w:lineRule="atLeast"/>
              <w:ind w:left="140"/>
              <w:rPr>
                <w:color w:val="191B52"/>
                <w:w w:val="91"/>
                <w:sz w:val="16"/>
                <w:szCs w:val="16"/>
                <w:lang w:val="en-GB"/>
              </w:rPr>
            </w:pPr>
            <w:r w:rsidRPr="00EA3AEB">
              <w:rPr>
                <w:color w:val="191B52"/>
                <w:w w:val="91"/>
                <w:sz w:val="16"/>
                <w:szCs w:val="16"/>
                <w:lang w:val="en-GB"/>
              </w:rPr>
              <w:t>assessment processes, and risks</w:t>
            </w:r>
          </w:p>
        </w:tc>
        <w:tc>
          <w:tcPr>
            <w:tcW w:w="7680" w:type="dxa"/>
            <w:tcBorders>
              <w:right w:val="single" w:sz="4" w:space="0" w:color="auto"/>
            </w:tcBorders>
            <w:vAlign w:val="bottom"/>
          </w:tcPr>
          <w:p w14:paraId="3BAE775B"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program and is driven by speeding and simplifying new vendor onboarding.</w:t>
            </w:r>
          </w:p>
        </w:tc>
      </w:tr>
      <w:tr w:rsidR="00EA3AEB" w:rsidRPr="00EA3AEB" w14:paraId="1FED1B6D" w14:textId="77777777" w:rsidTr="00EA3AEB">
        <w:trPr>
          <w:trHeight w:val="180"/>
        </w:trPr>
        <w:tc>
          <w:tcPr>
            <w:tcW w:w="3420" w:type="dxa"/>
            <w:tcBorders>
              <w:left w:val="single" w:sz="4" w:space="0" w:color="auto"/>
              <w:bottom w:val="single" w:sz="8" w:space="0" w:color="191B52"/>
              <w:right w:val="single" w:sz="8" w:space="0" w:color="191B52"/>
            </w:tcBorders>
            <w:vAlign w:val="bottom"/>
          </w:tcPr>
          <w:p w14:paraId="5665B4B5"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bottom w:val="single" w:sz="8" w:space="0" w:color="191B52"/>
              <w:right w:val="single" w:sz="4" w:space="0" w:color="auto"/>
            </w:tcBorders>
            <w:vAlign w:val="bottom"/>
          </w:tcPr>
          <w:p w14:paraId="16D26158"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7024F03D" w14:textId="77777777" w:rsidTr="00EA3AEB">
        <w:trPr>
          <w:trHeight w:val="468"/>
        </w:trPr>
        <w:tc>
          <w:tcPr>
            <w:tcW w:w="3420" w:type="dxa"/>
            <w:tcBorders>
              <w:left w:val="single" w:sz="4" w:space="0" w:color="auto"/>
              <w:right w:val="single" w:sz="8" w:space="0" w:color="191B52"/>
            </w:tcBorders>
            <w:vAlign w:val="bottom"/>
          </w:tcPr>
          <w:p w14:paraId="6641EFC0" w14:textId="77777777" w:rsidR="00EA3AEB" w:rsidRPr="00EA3AEB" w:rsidRDefault="00EA3AEB" w:rsidP="00EA3AEB">
            <w:pPr>
              <w:spacing w:line="0" w:lineRule="atLeast"/>
              <w:ind w:left="140"/>
              <w:rPr>
                <w:color w:val="191B52"/>
                <w:w w:val="93"/>
                <w:sz w:val="16"/>
                <w:szCs w:val="16"/>
                <w:lang w:val="en-GB"/>
              </w:rPr>
            </w:pPr>
            <w:r w:rsidRPr="00EA3AEB">
              <w:rPr>
                <w:color w:val="191B52"/>
                <w:w w:val="93"/>
                <w:sz w:val="16"/>
                <w:szCs w:val="16"/>
                <w:lang w:val="en-GB"/>
              </w:rPr>
              <w:t>Improve visibility into Third Party</w:t>
            </w:r>
          </w:p>
        </w:tc>
        <w:tc>
          <w:tcPr>
            <w:tcW w:w="7680" w:type="dxa"/>
            <w:tcBorders>
              <w:right w:val="single" w:sz="4" w:space="0" w:color="auto"/>
            </w:tcBorders>
            <w:vAlign w:val="bottom"/>
          </w:tcPr>
          <w:p w14:paraId="0A9779B6" w14:textId="77777777" w:rsidR="00EA3AEB" w:rsidRPr="00EA3AEB" w:rsidRDefault="00EA3AEB" w:rsidP="00EA3AEB">
            <w:pPr>
              <w:spacing w:line="0" w:lineRule="atLeast"/>
              <w:ind w:left="120"/>
              <w:rPr>
                <w:color w:val="2D2A26"/>
                <w:w w:val="91"/>
                <w:sz w:val="16"/>
                <w:szCs w:val="16"/>
                <w:lang w:val="en-GB"/>
              </w:rPr>
            </w:pPr>
            <w:r w:rsidRPr="00EA3AEB">
              <w:rPr>
                <w:color w:val="2D2A26"/>
                <w:w w:val="91"/>
                <w:sz w:val="16"/>
                <w:szCs w:val="16"/>
                <w:lang w:val="en-GB"/>
              </w:rPr>
              <w:t>Analytics and reports to prioritized third-party risks and to measure the effectiveness</w:t>
            </w:r>
          </w:p>
        </w:tc>
      </w:tr>
      <w:tr w:rsidR="00EA3AEB" w:rsidRPr="00EA3AEB" w14:paraId="71238907" w14:textId="77777777" w:rsidTr="00EA3AEB">
        <w:trPr>
          <w:trHeight w:val="288"/>
        </w:trPr>
        <w:tc>
          <w:tcPr>
            <w:tcW w:w="3420" w:type="dxa"/>
            <w:tcBorders>
              <w:left w:val="single" w:sz="4" w:space="0" w:color="auto"/>
              <w:right w:val="single" w:sz="8" w:space="0" w:color="191B52"/>
            </w:tcBorders>
            <w:vAlign w:val="bottom"/>
          </w:tcPr>
          <w:p w14:paraId="54214C0B"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risk</w:t>
            </w:r>
          </w:p>
        </w:tc>
        <w:tc>
          <w:tcPr>
            <w:tcW w:w="7680" w:type="dxa"/>
            <w:tcBorders>
              <w:right w:val="single" w:sz="4" w:space="0" w:color="auto"/>
            </w:tcBorders>
            <w:vAlign w:val="bottom"/>
          </w:tcPr>
          <w:p w14:paraId="1C6F33D1"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of the program.</w:t>
            </w:r>
          </w:p>
        </w:tc>
      </w:tr>
      <w:tr w:rsidR="00EA3AEB" w:rsidRPr="00EA3AEB" w14:paraId="4A0D386F" w14:textId="77777777" w:rsidTr="00EA3AEB">
        <w:trPr>
          <w:trHeight w:val="180"/>
        </w:trPr>
        <w:tc>
          <w:tcPr>
            <w:tcW w:w="3420" w:type="dxa"/>
            <w:tcBorders>
              <w:left w:val="single" w:sz="4" w:space="0" w:color="auto"/>
              <w:bottom w:val="single" w:sz="8" w:space="0" w:color="191B52"/>
              <w:right w:val="single" w:sz="8" w:space="0" w:color="191B52"/>
            </w:tcBorders>
            <w:vAlign w:val="bottom"/>
          </w:tcPr>
          <w:p w14:paraId="7B4CC2E8"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bottom w:val="single" w:sz="8" w:space="0" w:color="191B52"/>
              <w:right w:val="single" w:sz="4" w:space="0" w:color="auto"/>
            </w:tcBorders>
            <w:vAlign w:val="bottom"/>
          </w:tcPr>
          <w:p w14:paraId="4ADE37BD"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0729CF01" w14:textId="77777777" w:rsidTr="00EA3AEB">
        <w:trPr>
          <w:trHeight w:val="468"/>
        </w:trPr>
        <w:tc>
          <w:tcPr>
            <w:tcW w:w="3420" w:type="dxa"/>
            <w:tcBorders>
              <w:left w:val="single" w:sz="4" w:space="0" w:color="auto"/>
              <w:right w:val="single" w:sz="8" w:space="0" w:color="191B52"/>
            </w:tcBorders>
            <w:vAlign w:val="bottom"/>
          </w:tcPr>
          <w:p w14:paraId="514C1D00" w14:textId="77777777" w:rsidR="007C7FC6" w:rsidRDefault="007C7FC6" w:rsidP="00EA3AEB">
            <w:pPr>
              <w:spacing w:line="0" w:lineRule="atLeast"/>
              <w:ind w:left="140"/>
              <w:rPr>
                <w:color w:val="191B52"/>
                <w:sz w:val="16"/>
                <w:szCs w:val="16"/>
                <w:lang w:val="en-GB"/>
              </w:rPr>
            </w:pPr>
          </w:p>
          <w:p w14:paraId="00FD1AFD" w14:textId="77777777" w:rsidR="007C7FC6" w:rsidRDefault="007C7FC6" w:rsidP="00EA3AEB">
            <w:pPr>
              <w:spacing w:line="0" w:lineRule="atLeast"/>
              <w:ind w:left="140"/>
              <w:rPr>
                <w:color w:val="191B52"/>
                <w:sz w:val="16"/>
                <w:szCs w:val="16"/>
                <w:lang w:val="en-GB"/>
              </w:rPr>
            </w:pPr>
          </w:p>
          <w:p w14:paraId="0D462DC1" w14:textId="77777777" w:rsidR="007C7FC6" w:rsidRDefault="007C7FC6" w:rsidP="00EA3AEB">
            <w:pPr>
              <w:spacing w:line="0" w:lineRule="atLeast"/>
              <w:ind w:left="140"/>
              <w:rPr>
                <w:color w:val="191B52"/>
                <w:sz w:val="16"/>
                <w:szCs w:val="16"/>
                <w:lang w:val="en-GB"/>
              </w:rPr>
            </w:pPr>
          </w:p>
          <w:p w14:paraId="06435C6C" w14:textId="77777777" w:rsidR="007C7FC6" w:rsidRDefault="007C7FC6" w:rsidP="00EA3AEB">
            <w:pPr>
              <w:spacing w:line="0" w:lineRule="atLeast"/>
              <w:ind w:left="140"/>
              <w:rPr>
                <w:color w:val="191B52"/>
                <w:sz w:val="16"/>
                <w:szCs w:val="16"/>
                <w:lang w:val="en-GB"/>
              </w:rPr>
            </w:pPr>
          </w:p>
          <w:p w14:paraId="783ACDF1" w14:textId="0FC150BF"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Inculcate Third Party code of</w:t>
            </w:r>
          </w:p>
        </w:tc>
        <w:tc>
          <w:tcPr>
            <w:tcW w:w="7680" w:type="dxa"/>
            <w:tcBorders>
              <w:right w:val="single" w:sz="4" w:space="0" w:color="auto"/>
            </w:tcBorders>
            <w:vAlign w:val="bottom"/>
          </w:tcPr>
          <w:p w14:paraId="06EC2F55" w14:textId="77777777" w:rsidR="007C7FC6" w:rsidRDefault="007C7FC6" w:rsidP="00EA3AEB">
            <w:pPr>
              <w:spacing w:line="0" w:lineRule="atLeast"/>
              <w:ind w:left="120"/>
              <w:rPr>
                <w:color w:val="2D2A26"/>
                <w:w w:val="91"/>
                <w:sz w:val="16"/>
                <w:szCs w:val="16"/>
                <w:lang w:val="en-GB"/>
              </w:rPr>
            </w:pPr>
          </w:p>
          <w:p w14:paraId="1BD7FC3E" w14:textId="77777777" w:rsidR="007C7FC6" w:rsidRDefault="007C7FC6" w:rsidP="00EA3AEB">
            <w:pPr>
              <w:spacing w:line="0" w:lineRule="atLeast"/>
              <w:ind w:left="120"/>
              <w:rPr>
                <w:color w:val="2D2A26"/>
                <w:w w:val="91"/>
                <w:sz w:val="16"/>
                <w:szCs w:val="16"/>
                <w:lang w:val="en-GB"/>
              </w:rPr>
            </w:pPr>
          </w:p>
          <w:p w14:paraId="76C99808" w14:textId="77777777" w:rsidR="007C7FC6" w:rsidRDefault="007C7FC6" w:rsidP="00EA3AEB">
            <w:pPr>
              <w:spacing w:line="0" w:lineRule="atLeast"/>
              <w:ind w:left="120"/>
              <w:rPr>
                <w:color w:val="2D2A26"/>
                <w:w w:val="91"/>
                <w:sz w:val="16"/>
                <w:szCs w:val="16"/>
                <w:lang w:val="en-GB"/>
              </w:rPr>
            </w:pPr>
          </w:p>
          <w:p w14:paraId="0A26DB8C" w14:textId="77777777" w:rsidR="007C7FC6" w:rsidRDefault="007C7FC6" w:rsidP="00EA3AEB">
            <w:pPr>
              <w:spacing w:line="0" w:lineRule="atLeast"/>
              <w:ind w:left="120"/>
              <w:rPr>
                <w:color w:val="2D2A26"/>
                <w:w w:val="91"/>
                <w:sz w:val="16"/>
                <w:szCs w:val="16"/>
                <w:lang w:val="en-GB"/>
              </w:rPr>
            </w:pPr>
          </w:p>
          <w:p w14:paraId="02FB8BAB" w14:textId="2EDA5CCC" w:rsidR="00EA3AEB" w:rsidRPr="00EA3AEB" w:rsidRDefault="00EA3AEB" w:rsidP="00EA3AEB">
            <w:pPr>
              <w:spacing w:line="0" w:lineRule="atLeast"/>
              <w:ind w:left="120"/>
              <w:rPr>
                <w:color w:val="2D2A26"/>
                <w:w w:val="91"/>
                <w:sz w:val="16"/>
                <w:szCs w:val="16"/>
                <w:lang w:val="en-GB"/>
              </w:rPr>
            </w:pPr>
            <w:r w:rsidRPr="00EA3AEB">
              <w:rPr>
                <w:color w:val="2D2A26"/>
                <w:w w:val="91"/>
                <w:sz w:val="16"/>
                <w:szCs w:val="16"/>
                <w:lang w:val="en-GB"/>
              </w:rPr>
              <w:t>Work within a framework of ethical and professional standards, regulations, policies,</w:t>
            </w:r>
          </w:p>
        </w:tc>
      </w:tr>
      <w:tr w:rsidR="00EA3AEB" w:rsidRPr="00EA3AEB" w14:paraId="4BC3F324" w14:textId="77777777" w:rsidTr="00EA3AEB">
        <w:trPr>
          <w:trHeight w:val="288"/>
        </w:trPr>
        <w:tc>
          <w:tcPr>
            <w:tcW w:w="3420" w:type="dxa"/>
            <w:tcBorders>
              <w:left w:val="single" w:sz="4" w:space="0" w:color="auto"/>
              <w:right w:val="single" w:sz="8" w:space="0" w:color="191B52"/>
            </w:tcBorders>
            <w:vAlign w:val="bottom"/>
          </w:tcPr>
          <w:p w14:paraId="69F70F76"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conduct</w:t>
            </w:r>
          </w:p>
        </w:tc>
        <w:tc>
          <w:tcPr>
            <w:tcW w:w="7680" w:type="dxa"/>
            <w:tcBorders>
              <w:right w:val="single" w:sz="4" w:space="0" w:color="auto"/>
            </w:tcBorders>
            <w:vAlign w:val="bottom"/>
          </w:tcPr>
          <w:p w14:paraId="4619183F"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and values.</w:t>
            </w:r>
          </w:p>
        </w:tc>
      </w:tr>
      <w:tr w:rsidR="00EA3AEB" w:rsidRPr="00EA3AEB" w14:paraId="3C6F6F0F" w14:textId="77777777" w:rsidTr="00EA3AEB">
        <w:trPr>
          <w:trHeight w:val="180"/>
        </w:trPr>
        <w:tc>
          <w:tcPr>
            <w:tcW w:w="3420" w:type="dxa"/>
            <w:tcBorders>
              <w:left w:val="single" w:sz="4" w:space="0" w:color="auto"/>
              <w:bottom w:val="single" w:sz="8" w:space="0" w:color="191B52"/>
              <w:right w:val="single" w:sz="8" w:space="0" w:color="191B52"/>
            </w:tcBorders>
            <w:vAlign w:val="bottom"/>
          </w:tcPr>
          <w:p w14:paraId="37538625"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bottom w:val="single" w:sz="8" w:space="0" w:color="191B52"/>
              <w:right w:val="single" w:sz="4" w:space="0" w:color="auto"/>
            </w:tcBorders>
            <w:vAlign w:val="bottom"/>
          </w:tcPr>
          <w:p w14:paraId="1A4DF9A8"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75F44C48" w14:textId="77777777" w:rsidTr="00EA3AEB">
        <w:trPr>
          <w:trHeight w:val="336"/>
        </w:trPr>
        <w:tc>
          <w:tcPr>
            <w:tcW w:w="3420" w:type="dxa"/>
            <w:vMerge w:val="restart"/>
            <w:tcBorders>
              <w:left w:val="single" w:sz="4" w:space="0" w:color="auto"/>
              <w:right w:val="single" w:sz="8" w:space="0" w:color="191B52"/>
            </w:tcBorders>
            <w:vAlign w:val="bottom"/>
          </w:tcPr>
          <w:p w14:paraId="1A0461CD" w14:textId="573EE07A"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 xml:space="preserve">Align audit reports to </w:t>
            </w:r>
          </w:p>
        </w:tc>
        <w:tc>
          <w:tcPr>
            <w:tcW w:w="7680" w:type="dxa"/>
            <w:tcBorders>
              <w:right w:val="single" w:sz="4" w:space="0" w:color="auto"/>
            </w:tcBorders>
            <w:vAlign w:val="bottom"/>
          </w:tcPr>
          <w:p w14:paraId="3528B6A9" w14:textId="08F5C2CD" w:rsidR="00EA3AEB" w:rsidRPr="00EA3AEB" w:rsidRDefault="007C7FC6" w:rsidP="00EA3AEB">
            <w:pPr>
              <w:spacing w:line="0" w:lineRule="atLeast"/>
              <w:ind w:left="120"/>
              <w:rPr>
                <w:color w:val="2D2A26"/>
                <w:w w:val="94"/>
                <w:sz w:val="16"/>
                <w:szCs w:val="16"/>
                <w:lang w:val="en-GB"/>
              </w:rPr>
            </w:pPr>
            <w:r w:rsidRPr="00EA3AEB">
              <w:rPr>
                <w:color w:val="2D2A26"/>
                <w:w w:val="94"/>
                <w:sz w:val="16"/>
                <w:szCs w:val="16"/>
                <w:lang w:val="en-GB"/>
              </w:rPr>
              <w:t>Instil</w:t>
            </w:r>
            <w:r w:rsidR="00EA3AEB" w:rsidRPr="00EA3AEB">
              <w:rPr>
                <w:color w:val="2D2A26"/>
                <w:w w:val="94"/>
                <w:sz w:val="16"/>
                <w:szCs w:val="16"/>
                <w:lang w:val="en-GB"/>
              </w:rPr>
              <w:t xml:space="preserve"> trust by demonstrating due diligence and a strong security posture to clients</w:t>
            </w:r>
          </w:p>
        </w:tc>
      </w:tr>
      <w:tr w:rsidR="00EA3AEB" w:rsidRPr="00EA3AEB" w14:paraId="7F59F69B" w14:textId="77777777" w:rsidTr="00EA3AEB">
        <w:trPr>
          <w:trHeight w:val="184"/>
        </w:trPr>
        <w:tc>
          <w:tcPr>
            <w:tcW w:w="3420" w:type="dxa"/>
            <w:vMerge/>
            <w:tcBorders>
              <w:left w:val="single" w:sz="4" w:space="0" w:color="auto"/>
              <w:right w:val="single" w:sz="8" w:space="0" w:color="191B52"/>
            </w:tcBorders>
            <w:vAlign w:val="bottom"/>
          </w:tcPr>
          <w:p w14:paraId="381F4CA9"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vMerge w:val="restart"/>
            <w:tcBorders>
              <w:right w:val="single" w:sz="4" w:space="0" w:color="auto"/>
            </w:tcBorders>
            <w:vAlign w:val="bottom"/>
          </w:tcPr>
          <w:p w14:paraId="23CCB574" w14:textId="77777777" w:rsidR="00EA3AEB" w:rsidRPr="00EA3AEB" w:rsidRDefault="00EA3AEB" w:rsidP="00EA3AEB">
            <w:pPr>
              <w:spacing w:line="0" w:lineRule="atLeast"/>
              <w:ind w:left="120"/>
              <w:rPr>
                <w:color w:val="2D2A26"/>
                <w:w w:val="97"/>
                <w:sz w:val="16"/>
                <w:szCs w:val="16"/>
                <w:lang w:val="en-GB"/>
              </w:rPr>
            </w:pPr>
            <w:r w:rsidRPr="00EA3AEB">
              <w:rPr>
                <w:color w:val="2D2A26"/>
                <w:w w:val="97"/>
                <w:sz w:val="16"/>
                <w:szCs w:val="16"/>
                <w:lang w:val="en-GB"/>
              </w:rPr>
              <w:t>and be proactive with auditors in measuring compliance against data protection</w:t>
            </w:r>
          </w:p>
        </w:tc>
      </w:tr>
      <w:tr w:rsidR="00EA3AEB" w:rsidRPr="00EA3AEB" w14:paraId="4F208323" w14:textId="77777777" w:rsidTr="00EA3AEB">
        <w:trPr>
          <w:trHeight w:val="276"/>
        </w:trPr>
        <w:tc>
          <w:tcPr>
            <w:tcW w:w="3420" w:type="dxa"/>
            <w:vMerge w:val="restart"/>
            <w:tcBorders>
              <w:left w:val="single" w:sz="4" w:space="0" w:color="auto"/>
              <w:right w:val="single" w:sz="8" w:space="0" w:color="191B52"/>
            </w:tcBorders>
            <w:vAlign w:val="bottom"/>
          </w:tcPr>
          <w:p w14:paraId="3956A5D9"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standards</w:t>
            </w:r>
          </w:p>
        </w:tc>
        <w:tc>
          <w:tcPr>
            <w:tcW w:w="7680" w:type="dxa"/>
            <w:vMerge/>
            <w:tcBorders>
              <w:right w:val="single" w:sz="4" w:space="0" w:color="auto"/>
            </w:tcBorders>
            <w:vAlign w:val="bottom"/>
          </w:tcPr>
          <w:p w14:paraId="4C255451"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544CB6FF" w14:textId="77777777" w:rsidTr="00EA3AEB">
        <w:trPr>
          <w:trHeight w:val="184"/>
        </w:trPr>
        <w:tc>
          <w:tcPr>
            <w:tcW w:w="3420" w:type="dxa"/>
            <w:vMerge/>
            <w:tcBorders>
              <w:left w:val="single" w:sz="4" w:space="0" w:color="auto"/>
              <w:right w:val="single" w:sz="8" w:space="0" w:color="191B52"/>
            </w:tcBorders>
            <w:vAlign w:val="bottom"/>
          </w:tcPr>
          <w:p w14:paraId="2D53BC25"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vMerge w:val="restart"/>
            <w:tcBorders>
              <w:right w:val="single" w:sz="4" w:space="0" w:color="auto"/>
            </w:tcBorders>
            <w:vAlign w:val="bottom"/>
          </w:tcPr>
          <w:p w14:paraId="00659689"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regulations.</w:t>
            </w:r>
          </w:p>
        </w:tc>
      </w:tr>
      <w:tr w:rsidR="00EA3AEB" w:rsidRPr="00EA3AEB" w14:paraId="2E8992EB" w14:textId="77777777" w:rsidTr="00EA3AEB">
        <w:trPr>
          <w:trHeight w:val="108"/>
        </w:trPr>
        <w:tc>
          <w:tcPr>
            <w:tcW w:w="3420" w:type="dxa"/>
            <w:tcBorders>
              <w:left w:val="single" w:sz="4" w:space="0" w:color="auto"/>
              <w:right w:val="single" w:sz="8" w:space="0" w:color="191B52"/>
            </w:tcBorders>
            <w:vAlign w:val="bottom"/>
          </w:tcPr>
          <w:p w14:paraId="1E153B71"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vMerge/>
            <w:tcBorders>
              <w:right w:val="single" w:sz="4" w:space="0" w:color="auto"/>
            </w:tcBorders>
            <w:vAlign w:val="bottom"/>
          </w:tcPr>
          <w:p w14:paraId="2F962802"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3BC2519D" w14:textId="77777777" w:rsidTr="00EA3AEB">
        <w:trPr>
          <w:trHeight w:val="72"/>
        </w:trPr>
        <w:tc>
          <w:tcPr>
            <w:tcW w:w="3420" w:type="dxa"/>
            <w:tcBorders>
              <w:left w:val="single" w:sz="4" w:space="0" w:color="auto"/>
              <w:bottom w:val="single" w:sz="8" w:space="0" w:color="191B52"/>
              <w:right w:val="single" w:sz="8" w:space="0" w:color="191B52"/>
            </w:tcBorders>
            <w:vAlign w:val="bottom"/>
          </w:tcPr>
          <w:p w14:paraId="6ED61211"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tcBorders>
              <w:bottom w:val="single" w:sz="8" w:space="0" w:color="191B52"/>
              <w:right w:val="single" w:sz="4" w:space="0" w:color="auto"/>
            </w:tcBorders>
            <w:vAlign w:val="bottom"/>
          </w:tcPr>
          <w:p w14:paraId="25800812"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6986EB69" w14:textId="77777777" w:rsidTr="00EA3AEB">
        <w:trPr>
          <w:trHeight w:val="336"/>
        </w:trPr>
        <w:tc>
          <w:tcPr>
            <w:tcW w:w="3420" w:type="dxa"/>
            <w:vMerge w:val="restart"/>
            <w:tcBorders>
              <w:left w:val="single" w:sz="4" w:space="0" w:color="auto"/>
              <w:right w:val="single" w:sz="8" w:space="0" w:color="191B52"/>
            </w:tcBorders>
            <w:vAlign w:val="bottom"/>
          </w:tcPr>
          <w:p w14:paraId="28C1BAEB"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Produce insightful reports to</w:t>
            </w:r>
          </w:p>
        </w:tc>
        <w:tc>
          <w:tcPr>
            <w:tcW w:w="7680" w:type="dxa"/>
            <w:tcBorders>
              <w:right w:val="single" w:sz="4" w:space="0" w:color="auto"/>
            </w:tcBorders>
            <w:vAlign w:val="bottom"/>
          </w:tcPr>
          <w:p w14:paraId="2B2C9CC5"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Reports on risks mitigation, threat management, compliance and supplier’s</w:t>
            </w:r>
          </w:p>
        </w:tc>
      </w:tr>
      <w:tr w:rsidR="00EA3AEB" w:rsidRPr="00EA3AEB" w14:paraId="2D27EE34" w14:textId="77777777" w:rsidTr="00EA3AEB">
        <w:trPr>
          <w:trHeight w:val="184"/>
        </w:trPr>
        <w:tc>
          <w:tcPr>
            <w:tcW w:w="3420" w:type="dxa"/>
            <w:vMerge/>
            <w:tcBorders>
              <w:left w:val="single" w:sz="4" w:space="0" w:color="auto"/>
              <w:right w:val="single" w:sz="8" w:space="0" w:color="191B52"/>
            </w:tcBorders>
            <w:vAlign w:val="bottom"/>
          </w:tcPr>
          <w:p w14:paraId="7801FDAC"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vMerge w:val="restart"/>
            <w:tcBorders>
              <w:right w:val="single" w:sz="4" w:space="0" w:color="auto"/>
            </w:tcBorders>
            <w:vAlign w:val="bottom"/>
          </w:tcPr>
          <w:p w14:paraId="7F6DAA37" w14:textId="77777777" w:rsidR="00EA3AEB" w:rsidRPr="00EA3AEB" w:rsidRDefault="00EA3AEB" w:rsidP="00EA3AEB">
            <w:pPr>
              <w:spacing w:line="0" w:lineRule="atLeast"/>
              <w:ind w:left="120"/>
              <w:rPr>
                <w:color w:val="2D2A26"/>
                <w:w w:val="92"/>
                <w:sz w:val="16"/>
                <w:szCs w:val="16"/>
                <w:lang w:val="en-GB"/>
              </w:rPr>
            </w:pPr>
            <w:r w:rsidRPr="00EA3AEB">
              <w:rPr>
                <w:color w:val="2D2A26"/>
                <w:w w:val="92"/>
                <w:sz w:val="16"/>
                <w:szCs w:val="16"/>
                <w:lang w:val="en-GB"/>
              </w:rPr>
              <w:t xml:space="preserve">ecosystem coverage </w:t>
            </w:r>
            <w:proofErr w:type="gramStart"/>
            <w:r w:rsidRPr="00EA3AEB">
              <w:rPr>
                <w:color w:val="2D2A26"/>
                <w:w w:val="92"/>
                <w:sz w:val="16"/>
                <w:szCs w:val="16"/>
                <w:lang w:val="en-GB"/>
              </w:rPr>
              <w:t>are</w:t>
            </w:r>
            <w:proofErr w:type="gramEnd"/>
            <w:r w:rsidRPr="00EA3AEB">
              <w:rPr>
                <w:color w:val="2D2A26"/>
                <w:w w:val="92"/>
                <w:sz w:val="16"/>
                <w:szCs w:val="16"/>
                <w:lang w:val="en-GB"/>
              </w:rPr>
              <w:t xml:space="preserve"> easily available, including the respective Key Performance</w:t>
            </w:r>
          </w:p>
        </w:tc>
      </w:tr>
      <w:tr w:rsidR="00EA3AEB" w:rsidRPr="00EA3AEB" w14:paraId="29922DE5" w14:textId="77777777" w:rsidTr="00EA3AEB">
        <w:trPr>
          <w:trHeight w:val="276"/>
        </w:trPr>
        <w:tc>
          <w:tcPr>
            <w:tcW w:w="3420" w:type="dxa"/>
            <w:vMerge w:val="restart"/>
            <w:tcBorders>
              <w:left w:val="single" w:sz="4" w:space="0" w:color="auto"/>
              <w:right w:val="single" w:sz="8" w:space="0" w:color="191B52"/>
            </w:tcBorders>
            <w:vAlign w:val="bottom"/>
          </w:tcPr>
          <w:p w14:paraId="6FE9FBDB" w14:textId="77777777" w:rsidR="00EA3AEB" w:rsidRPr="00EA3AEB" w:rsidRDefault="00EA3AEB" w:rsidP="00EA3AEB">
            <w:pPr>
              <w:spacing w:line="0" w:lineRule="atLeast"/>
              <w:ind w:left="140"/>
              <w:rPr>
                <w:color w:val="191B52"/>
                <w:sz w:val="16"/>
                <w:szCs w:val="16"/>
                <w:lang w:val="en-GB"/>
              </w:rPr>
            </w:pPr>
            <w:r w:rsidRPr="00EA3AEB">
              <w:rPr>
                <w:color w:val="191B52"/>
                <w:sz w:val="16"/>
                <w:szCs w:val="16"/>
                <w:lang w:val="en-GB"/>
              </w:rPr>
              <w:t>Business and Board members</w:t>
            </w:r>
          </w:p>
        </w:tc>
        <w:tc>
          <w:tcPr>
            <w:tcW w:w="7680" w:type="dxa"/>
            <w:vMerge/>
            <w:tcBorders>
              <w:right w:val="single" w:sz="4" w:space="0" w:color="auto"/>
            </w:tcBorders>
            <w:vAlign w:val="bottom"/>
          </w:tcPr>
          <w:p w14:paraId="7E6FFEE2" w14:textId="77777777" w:rsidR="00EA3AEB" w:rsidRPr="00EA3AEB" w:rsidRDefault="00EA3AEB" w:rsidP="00EA3AEB">
            <w:pPr>
              <w:spacing w:line="0" w:lineRule="atLeast"/>
              <w:rPr>
                <w:rFonts w:ascii="Times New Roman" w:eastAsia="Times New Roman" w:hAnsi="Times New Roman"/>
                <w:sz w:val="16"/>
                <w:szCs w:val="16"/>
                <w:lang w:val="en-GB"/>
              </w:rPr>
            </w:pPr>
          </w:p>
        </w:tc>
      </w:tr>
      <w:tr w:rsidR="00EA3AEB" w:rsidRPr="00EA3AEB" w14:paraId="7B1D64F7" w14:textId="77777777" w:rsidTr="00EA3AEB">
        <w:trPr>
          <w:trHeight w:val="184"/>
        </w:trPr>
        <w:tc>
          <w:tcPr>
            <w:tcW w:w="3420" w:type="dxa"/>
            <w:vMerge/>
            <w:tcBorders>
              <w:left w:val="single" w:sz="4" w:space="0" w:color="auto"/>
              <w:bottom w:val="single" w:sz="4" w:space="0" w:color="auto"/>
              <w:right w:val="single" w:sz="8" w:space="0" w:color="191B52"/>
            </w:tcBorders>
            <w:vAlign w:val="bottom"/>
          </w:tcPr>
          <w:p w14:paraId="67F78587" w14:textId="77777777" w:rsidR="00EA3AEB" w:rsidRPr="00EA3AEB" w:rsidRDefault="00EA3AEB" w:rsidP="00EA3AEB">
            <w:pPr>
              <w:spacing w:line="0" w:lineRule="atLeast"/>
              <w:rPr>
                <w:rFonts w:ascii="Times New Roman" w:eastAsia="Times New Roman" w:hAnsi="Times New Roman"/>
                <w:sz w:val="16"/>
                <w:szCs w:val="16"/>
                <w:lang w:val="en-GB"/>
              </w:rPr>
            </w:pPr>
          </w:p>
        </w:tc>
        <w:tc>
          <w:tcPr>
            <w:tcW w:w="7680" w:type="dxa"/>
            <w:vMerge w:val="restart"/>
            <w:tcBorders>
              <w:bottom w:val="single" w:sz="4" w:space="0" w:color="auto"/>
              <w:right w:val="single" w:sz="4" w:space="0" w:color="auto"/>
            </w:tcBorders>
            <w:vAlign w:val="bottom"/>
          </w:tcPr>
          <w:p w14:paraId="1DCA75FE" w14:textId="77777777" w:rsidR="00EA3AEB" w:rsidRPr="00EA3AEB" w:rsidRDefault="00EA3AEB" w:rsidP="00EA3AEB">
            <w:pPr>
              <w:spacing w:line="0" w:lineRule="atLeast"/>
              <w:ind w:left="120"/>
              <w:rPr>
                <w:color w:val="2D2A26"/>
                <w:sz w:val="16"/>
                <w:szCs w:val="16"/>
                <w:lang w:val="en-GB"/>
              </w:rPr>
            </w:pPr>
            <w:r w:rsidRPr="00EA3AEB">
              <w:rPr>
                <w:color w:val="2D2A26"/>
                <w:sz w:val="16"/>
                <w:szCs w:val="16"/>
                <w:lang w:val="en-GB"/>
              </w:rPr>
              <w:t>Indicators (KPIs) and Key Risk Indicators (KRIs).</w:t>
            </w:r>
          </w:p>
        </w:tc>
      </w:tr>
      <w:tr w:rsidR="00EA3AEB" w:rsidRPr="00EA3AEB" w14:paraId="4FE44A8A" w14:textId="77777777" w:rsidTr="00EA3AEB">
        <w:trPr>
          <w:trHeight w:val="108"/>
        </w:trPr>
        <w:tc>
          <w:tcPr>
            <w:tcW w:w="3420" w:type="dxa"/>
            <w:tcBorders>
              <w:top w:val="single" w:sz="4" w:space="0" w:color="auto"/>
              <w:left w:val="single" w:sz="8" w:space="0" w:color="191B52"/>
              <w:right w:val="single" w:sz="8" w:space="0" w:color="191B52"/>
            </w:tcBorders>
            <w:vAlign w:val="bottom"/>
          </w:tcPr>
          <w:p w14:paraId="31B753D0" w14:textId="77777777" w:rsidR="00EA3AEB" w:rsidRPr="00EA3AEB" w:rsidRDefault="00EA3AEB" w:rsidP="00EA3AEB">
            <w:pPr>
              <w:spacing w:line="0" w:lineRule="atLeast"/>
              <w:rPr>
                <w:rFonts w:ascii="Times New Roman" w:eastAsia="Times New Roman" w:hAnsi="Times New Roman"/>
                <w:sz w:val="9"/>
                <w:szCs w:val="20"/>
                <w:lang w:val="en-GB"/>
              </w:rPr>
            </w:pPr>
          </w:p>
        </w:tc>
        <w:tc>
          <w:tcPr>
            <w:tcW w:w="7680" w:type="dxa"/>
            <w:vMerge/>
            <w:tcBorders>
              <w:top w:val="single" w:sz="4" w:space="0" w:color="auto"/>
              <w:right w:val="single" w:sz="8" w:space="0" w:color="191B52"/>
            </w:tcBorders>
            <w:vAlign w:val="bottom"/>
          </w:tcPr>
          <w:p w14:paraId="6117249B" w14:textId="77777777" w:rsidR="00EA3AEB" w:rsidRPr="00EA3AEB" w:rsidRDefault="00EA3AEB" w:rsidP="00EA3AEB">
            <w:pPr>
              <w:spacing w:line="0" w:lineRule="atLeast"/>
              <w:rPr>
                <w:rFonts w:ascii="Times New Roman" w:eastAsia="Times New Roman" w:hAnsi="Times New Roman"/>
                <w:sz w:val="9"/>
                <w:szCs w:val="20"/>
                <w:lang w:val="en-GB"/>
              </w:rPr>
            </w:pPr>
          </w:p>
        </w:tc>
      </w:tr>
      <w:tr w:rsidR="00EA3AEB" w:rsidRPr="00EA3AEB" w14:paraId="6E258169" w14:textId="77777777" w:rsidTr="00EA3AEB">
        <w:trPr>
          <w:trHeight w:val="72"/>
        </w:trPr>
        <w:tc>
          <w:tcPr>
            <w:tcW w:w="3420" w:type="dxa"/>
            <w:tcBorders>
              <w:left w:val="single" w:sz="8" w:space="0" w:color="191B52"/>
              <w:bottom w:val="single" w:sz="8" w:space="0" w:color="191B52"/>
              <w:right w:val="single" w:sz="8" w:space="0" w:color="191B52"/>
            </w:tcBorders>
            <w:vAlign w:val="bottom"/>
          </w:tcPr>
          <w:p w14:paraId="040C701F" w14:textId="77777777" w:rsidR="00EA3AEB" w:rsidRPr="00EA3AEB" w:rsidRDefault="00EA3AEB" w:rsidP="00EA3AEB">
            <w:pPr>
              <w:spacing w:line="0" w:lineRule="atLeast"/>
              <w:rPr>
                <w:rFonts w:ascii="Times New Roman" w:eastAsia="Times New Roman" w:hAnsi="Times New Roman"/>
                <w:sz w:val="6"/>
                <w:szCs w:val="20"/>
                <w:lang w:val="en-GB"/>
              </w:rPr>
            </w:pPr>
          </w:p>
        </w:tc>
        <w:tc>
          <w:tcPr>
            <w:tcW w:w="7680" w:type="dxa"/>
            <w:tcBorders>
              <w:bottom w:val="single" w:sz="8" w:space="0" w:color="191B52"/>
              <w:right w:val="single" w:sz="8" w:space="0" w:color="191B52"/>
            </w:tcBorders>
            <w:vAlign w:val="bottom"/>
          </w:tcPr>
          <w:p w14:paraId="6C35FC86" w14:textId="77777777" w:rsidR="00EA3AEB" w:rsidRPr="00EA3AEB" w:rsidRDefault="00EA3AEB" w:rsidP="00EA3AEB">
            <w:pPr>
              <w:spacing w:line="0" w:lineRule="atLeast"/>
              <w:rPr>
                <w:rFonts w:ascii="Times New Roman" w:eastAsia="Times New Roman" w:hAnsi="Times New Roman"/>
                <w:sz w:val="6"/>
                <w:szCs w:val="20"/>
                <w:lang w:val="en-GB"/>
              </w:rPr>
            </w:pPr>
          </w:p>
        </w:tc>
      </w:tr>
    </w:tbl>
    <w:p w14:paraId="20A980CA" w14:textId="181528A3" w:rsidR="00015F01" w:rsidRDefault="00015F01" w:rsidP="00015F01"/>
    <w:p w14:paraId="3F38FE58" w14:textId="77777777" w:rsidR="00EA3AEB" w:rsidRDefault="00EA3AEB" w:rsidP="00015F01"/>
    <w:p w14:paraId="60E0D6A5" w14:textId="7D133C59" w:rsidR="00A9274A" w:rsidRDefault="00EA3AEB" w:rsidP="00A9274A">
      <w:pPr>
        <w:pStyle w:val="Heading2"/>
        <w:jc w:val="center"/>
        <w:rPr>
          <w:color w:val="00B050"/>
        </w:rPr>
      </w:pPr>
      <w:r>
        <w:rPr>
          <w:color w:val="00B050"/>
        </w:rPr>
        <w:t>A</w:t>
      </w:r>
      <w:r w:rsidR="00A9274A" w:rsidRPr="00A9274A">
        <w:rPr>
          <w:color w:val="00B050"/>
        </w:rPr>
        <w:t>bout us</w:t>
      </w:r>
    </w:p>
    <w:p w14:paraId="4DA38F4E" w14:textId="77777777" w:rsidR="00A9274A" w:rsidRDefault="00A9274A" w:rsidP="00A9274A"/>
    <w:p w14:paraId="7F1611E7" w14:textId="04CEF443" w:rsidR="00A9274A" w:rsidRDefault="00A9274A" w:rsidP="00A9274A">
      <w:r w:rsidRPr="00A9274A">
        <w:t>We specialize in assisting C-level executives in navigating the complexity of security governance, risk management and regulatory compliance requirements while bridging the gap between management objectives and technical teams. Our team of consultants and engineers are focused problem solvers with deep technical knowledge and broad industry experience with coverage ranging from government and tier one financial services to telco and mining sectors.</w:t>
      </w:r>
    </w:p>
    <w:p w14:paraId="6FEA776A" w14:textId="77777777" w:rsidR="00A9274A" w:rsidRDefault="00A9274A" w:rsidP="00A9274A"/>
    <w:p w14:paraId="7C78AB13" w14:textId="77777777" w:rsidR="00A9274A" w:rsidRDefault="00A9274A" w:rsidP="00A9274A"/>
    <w:p w14:paraId="30AF8E00" w14:textId="77777777" w:rsidR="00A9274A" w:rsidRDefault="00A9274A" w:rsidP="00A9274A"/>
    <w:sectPr w:rsidR="00A9274A">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2781" w14:textId="77777777" w:rsidR="00B2022F" w:rsidRDefault="00B2022F" w:rsidP="00FB2AF8">
      <w:pPr>
        <w:spacing w:line="240" w:lineRule="auto"/>
      </w:pPr>
      <w:r>
        <w:separator/>
      </w:r>
    </w:p>
  </w:endnote>
  <w:endnote w:type="continuationSeparator" w:id="0">
    <w:p w14:paraId="45DF0D71" w14:textId="77777777" w:rsidR="00B2022F" w:rsidRDefault="00B2022F" w:rsidP="00FB2A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DEDA" w14:textId="77777777" w:rsidR="00B2022F" w:rsidRDefault="00B2022F" w:rsidP="00FB2AF8">
      <w:pPr>
        <w:spacing w:line="240" w:lineRule="auto"/>
      </w:pPr>
      <w:r>
        <w:separator/>
      </w:r>
    </w:p>
  </w:footnote>
  <w:footnote w:type="continuationSeparator" w:id="0">
    <w:p w14:paraId="1D202DBC" w14:textId="77777777" w:rsidR="00B2022F" w:rsidRDefault="00B2022F" w:rsidP="00FB2A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082"/>
    <w:multiLevelType w:val="hybridMultilevel"/>
    <w:tmpl w:val="857C4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255293"/>
    <w:multiLevelType w:val="hybridMultilevel"/>
    <w:tmpl w:val="37620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9A16FF"/>
    <w:multiLevelType w:val="hybridMultilevel"/>
    <w:tmpl w:val="EE56D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2674A9"/>
    <w:multiLevelType w:val="hybridMultilevel"/>
    <w:tmpl w:val="A300AE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4341454"/>
    <w:multiLevelType w:val="hybridMultilevel"/>
    <w:tmpl w:val="2034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5D13B0"/>
    <w:multiLevelType w:val="hybridMultilevel"/>
    <w:tmpl w:val="D118FE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5B57B2C"/>
    <w:multiLevelType w:val="hybridMultilevel"/>
    <w:tmpl w:val="548C0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6908364">
    <w:abstractNumId w:val="1"/>
  </w:num>
  <w:num w:numId="2" w16cid:durableId="438916762">
    <w:abstractNumId w:val="3"/>
  </w:num>
  <w:num w:numId="3" w16cid:durableId="324237497">
    <w:abstractNumId w:val="5"/>
  </w:num>
  <w:num w:numId="4" w16cid:durableId="6058789">
    <w:abstractNumId w:val="4"/>
  </w:num>
  <w:num w:numId="5" w16cid:durableId="145829497">
    <w:abstractNumId w:val="0"/>
  </w:num>
  <w:num w:numId="6" w16cid:durableId="1471050633">
    <w:abstractNumId w:val="2"/>
  </w:num>
  <w:num w:numId="7" w16cid:durableId="1591159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E40"/>
    <w:rsid w:val="00002E40"/>
    <w:rsid w:val="00015F01"/>
    <w:rsid w:val="000568A5"/>
    <w:rsid w:val="0018289F"/>
    <w:rsid w:val="00242B6E"/>
    <w:rsid w:val="00496C26"/>
    <w:rsid w:val="004D68D1"/>
    <w:rsid w:val="005473F0"/>
    <w:rsid w:val="005D63BA"/>
    <w:rsid w:val="00684502"/>
    <w:rsid w:val="007A6229"/>
    <w:rsid w:val="007A65BE"/>
    <w:rsid w:val="007C7FC6"/>
    <w:rsid w:val="009736B2"/>
    <w:rsid w:val="009921B3"/>
    <w:rsid w:val="00A9274A"/>
    <w:rsid w:val="00AA3C43"/>
    <w:rsid w:val="00B2022F"/>
    <w:rsid w:val="00D05C02"/>
    <w:rsid w:val="00D61E53"/>
    <w:rsid w:val="00D75317"/>
    <w:rsid w:val="00E202B0"/>
    <w:rsid w:val="00E8728C"/>
    <w:rsid w:val="00EA3AEB"/>
    <w:rsid w:val="00FB2AF8"/>
    <w:rsid w:val="00FB508B"/>
    <w:rsid w:val="00FD53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9978B"/>
  <w15:docId w15:val="{F2F4861B-3C3D-4723-B6E6-EB7CC589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B2AF8"/>
    <w:pPr>
      <w:tabs>
        <w:tab w:val="center" w:pos="4513"/>
        <w:tab w:val="right" w:pos="9026"/>
      </w:tabs>
      <w:spacing w:line="240" w:lineRule="auto"/>
    </w:pPr>
  </w:style>
  <w:style w:type="character" w:customStyle="1" w:styleId="HeaderChar">
    <w:name w:val="Header Char"/>
    <w:basedOn w:val="DefaultParagraphFont"/>
    <w:link w:val="Header"/>
    <w:uiPriority w:val="99"/>
    <w:rsid w:val="00FB2AF8"/>
  </w:style>
  <w:style w:type="paragraph" w:styleId="Footer">
    <w:name w:val="footer"/>
    <w:basedOn w:val="Normal"/>
    <w:link w:val="FooterChar"/>
    <w:uiPriority w:val="99"/>
    <w:unhideWhenUsed/>
    <w:rsid w:val="00FB2AF8"/>
    <w:pPr>
      <w:tabs>
        <w:tab w:val="center" w:pos="4513"/>
        <w:tab w:val="right" w:pos="9026"/>
      </w:tabs>
      <w:spacing w:line="240" w:lineRule="auto"/>
    </w:pPr>
  </w:style>
  <w:style w:type="character" w:customStyle="1" w:styleId="FooterChar">
    <w:name w:val="Footer Char"/>
    <w:basedOn w:val="DefaultParagraphFont"/>
    <w:link w:val="Footer"/>
    <w:uiPriority w:val="99"/>
    <w:rsid w:val="00FB2AF8"/>
  </w:style>
  <w:style w:type="paragraph" w:styleId="ListParagraph">
    <w:name w:val="List Paragraph"/>
    <w:basedOn w:val="Normal"/>
    <w:uiPriority w:val="34"/>
    <w:qFormat/>
    <w:rsid w:val="00AA3C43"/>
    <w:pPr>
      <w:ind w:left="720"/>
      <w:contextualSpacing/>
    </w:pPr>
  </w:style>
  <w:style w:type="character" w:styleId="Hyperlink">
    <w:name w:val="Hyperlink"/>
    <w:basedOn w:val="DefaultParagraphFont"/>
    <w:uiPriority w:val="99"/>
    <w:unhideWhenUsed/>
    <w:rsid w:val="00A9274A"/>
    <w:rPr>
      <w:color w:val="0000FF" w:themeColor="hyperlink"/>
      <w:u w:val="single"/>
    </w:rPr>
  </w:style>
  <w:style w:type="character" w:styleId="UnresolvedMention">
    <w:name w:val="Unresolved Mention"/>
    <w:basedOn w:val="DefaultParagraphFont"/>
    <w:uiPriority w:val="99"/>
    <w:semiHidden/>
    <w:unhideWhenUsed/>
    <w:rsid w:val="00A92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despard</dc:creator>
  <cp:keywords/>
  <dc:description/>
  <cp:lastModifiedBy>William Despard</cp:lastModifiedBy>
  <cp:revision>2</cp:revision>
  <dcterms:created xsi:type="dcterms:W3CDTF">2026-02-23T12:56:00Z</dcterms:created>
  <dcterms:modified xsi:type="dcterms:W3CDTF">2026-02-23T12:56:00Z</dcterms:modified>
</cp:coreProperties>
</file>