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8797" w14:textId="77777777" w:rsidR="00133BAA" w:rsidRDefault="007D7087">
      <w:pPr>
        <w:spacing w:after="30"/>
        <w:jc w:val="center"/>
      </w:pPr>
      <w:r>
        <w:rPr>
          <w:b/>
          <w:bCs/>
          <w:color w:val="1F3864"/>
          <w:sz w:val="34"/>
          <w:szCs w:val="34"/>
        </w:rPr>
        <w:t>[PLATFORM NAME]</w:t>
      </w:r>
    </w:p>
    <w:p w14:paraId="0B829309" w14:textId="77777777" w:rsidR="00133BAA" w:rsidRDefault="007D7087"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>AI-powered privacy &amp; compliance operations for SMBs — and the advisors who serve them</w:t>
      </w:r>
    </w:p>
    <w:p w14:paraId="2B4F7851" w14:textId="77777777" w:rsidR="00133BAA" w:rsidRDefault="007D7087">
      <w:pPr>
        <w:spacing w:after="60"/>
        <w:jc w:val="center"/>
      </w:pPr>
      <w:r>
        <w:rPr>
          <w:color w:val="808080"/>
          <w:sz w:val="15"/>
          <w:szCs w:val="15"/>
        </w:rPr>
        <w:t xml:space="preserve">POPIA-native  |  Channel-first  |  </w:t>
      </w:r>
      <w:proofErr w:type="gramStart"/>
      <w:r>
        <w:rPr>
          <w:color w:val="808080"/>
          <w:sz w:val="15"/>
          <w:szCs w:val="15"/>
        </w:rPr>
        <w:t>Multi-tenant</w:t>
      </w:r>
      <w:proofErr w:type="gramEnd"/>
      <w:r>
        <w:rPr>
          <w:color w:val="808080"/>
          <w:sz w:val="15"/>
          <w:szCs w:val="15"/>
        </w:rPr>
        <w:t xml:space="preserve">  |  Investor Summary — July 2026  |  Confidential</w:t>
      </w:r>
    </w:p>
    <w:p w14:paraId="22C7902C" w14:textId="77777777" w:rsidR="00133BAA" w:rsidRDefault="00133BAA">
      <w:pPr>
        <w:pBdr>
          <w:bottom w:val="single" w:sz="6" w:space="0" w:color="D9E2F3"/>
        </w:pBdr>
        <w:spacing w:before="40" w:after="90"/>
      </w:pPr>
    </w:p>
    <w:tbl>
      <w:tblPr>
        <w:tblW w:w="9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0"/>
        <w:gridCol w:w="4620"/>
      </w:tblGrid>
      <w:tr w:rsidR="00133BAA" w14:paraId="65EB6B4F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5CF2AC2B" w14:textId="77777777" w:rsidR="00133BAA" w:rsidRDefault="007D7087">
            <w:pPr>
              <w:spacing w:before="90" w:after="50"/>
            </w:pPr>
            <w:r>
              <w:rPr>
                <w:b/>
                <w:bCs/>
                <w:color w:val="2E74B5"/>
                <w:spacing w:val="20"/>
              </w:rPr>
              <w:t>THE PROBLEM</w:t>
            </w:r>
          </w:p>
          <w:p w14:paraId="64C3D2B3" w14:textId="77777777" w:rsidR="00133BAA" w:rsidRDefault="007D7087">
            <w:pPr>
              <w:spacing w:after="60"/>
            </w:pPr>
            <w:r>
              <w:t>Every South African business must comply with POPIA — but SMBs cannot afford compliance staff, and the advisors who serve them run their practices on Word, Excel and memory. The result: compliance programmes that exist on paper, monthly retainers that are hard to evidence, and advisors whose capacity caps out at a handful of clients.</w:t>
            </w:r>
          </w:p>
          <w:p w14:paraId="4776F824" w14:textId="77777777" w:rsidR="00133BAA" w:rsidRDefault="007D7087">
            <w:pPr>
              <w:spacing w:after="60"/>
            </w:pPr>
            <w:r>
              <w:t xml:space="preserve">Meanwhile the pressure is rising: </w:t>
            </w:r>
            <w:r>
              <w:rPr>
                <w:b/>
                <w:bCs/>
              </w:rPr>
              <w:t>amended POPIA Regulations (2025), mandatory eServices breach notification, active enforcement, cyber-insurance scrutiny, and client due-diligence demands</w:t>
            </w:r>
            <w:r>
              <w:t xml:space="preserve"> are turning privacy posture into a condition of doing business.</w:t>
            </w:r>
          </w:p>
        </w:tc>
        <w:tc>
          <w:tcPr>
            <w:tcW w:w="46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3A1A521F" w14:textId="77777777" w:rsidR="00133BAA" w:rsidRDefault="007D7087">
            <w:pPr>
              <w:spacing w:before="90" w:after="50"/>
            </w:pPr>
            <w:r>
              <w:rPr>
                <w:b/>
                <w:bCs/>
                <w:color w:val="2E74B5"/>
                <w:spacing w:val="20"/>
              </w:rPr>
              <w:t>THE SOLUTION</w:t>
            </w:r>
          </w:p>
          <w:p w14:paraId="1ECD4F52" w14:textId="77777777" w:rsidR="00133BAA" w:rsidRDefault="007D7087">
            <w:pPr>
              <w:spacing w:after="60"/>
            </w:pPr>
            <w:r>
              <w:t>A multi-tenant compliance operations platform that acts as an outsourced compliance department:</w:t>
            </w:r>
          </w:p>
          <w:p w14:paraId="4568D162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Privacy Framework Management — </w:t>
            </w:r>
            <w:r>
              <w:t>ROPA, DPIAs, DSARs, vendors, breaches, policies as one evidence-linked system of record.</w:t>
            </w:r>
          </w:p>
          <w:p w14:paraId="61357936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DIO Management — </w:t>
            </w:r>
            <w:r>
              <w:t>the outsourced Information Officer model as a product primitive: one console, many clients.</w:t>
            </w:r>
          </w:p>
          <w:p w14:paraId="5B77F9F0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Monthly Reporting — </w:t>
            </w:r>
            <w:r>
              <w:t>AI-drafted, board-legible compliance reports produced in under an hour of advisor time.</w:t>
            </w:r>
          </w:p>
          <w:p w14:paraId="24BC468E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Framework Mapping — </w:t>
            </w:r>
            <w:r>
              <w:t>CIS, NIST CSF, ISO 27001 and Cyber Essentials mapped to POPIA s.19: answer once, satisfy many.</w:t>
            </w:r>
          </w:p>
        </w:tc>
      </w:tr>
    </w:tbl>
    <w:p w14:paraId="1380989C" w14:textId="77777777" w:rsidR="00133BAA" w:rsidRDefault="00133BAA">
      <w:pPr>
        <w:pBdr>
          <w:bottom w:val="single" w:sz="6" w:space="0" w:color="D9E2F3"/>
        </w:pBdr>
        <w:spacing w:before="40" w:after="90"/>
      </w:pPr>
    </w:p>
    <w:tbl>
      <w:tblPr>
        <w:tblW w:w="9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0"/>
        <w:gridCol w:w="4620"/>
      </w:tblGrid>
      <w:tr w:rsidR="00133BAA" w14:paraId="57771ADC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476B4328" w14:textId="77777777" w:rsidR="00133BAA" w:rsidRDefault="007D7087">
            <w:pPr>
              <w:spacing w:before="90" w:after="50"/>
            </w:pPr>
            <w:r>
              <w:rPr>
                <w:b/>
                <w:bCs/>
                <w:color w:val="2E74B5"/>
                <w:spacing w:val="20"/>
              </w:rPr>
              <w:t>WHY NOW</w:t>
            </w:r>
          </w:p>
          <w:p w14:paraId="78FC2EFE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POPIA enforcement has matured from awareness to action; regulatory obligations were amended and extended in 2025.</w:t>
            </w:r>
          </w:p>
          <w:p w14:paraId="7DA3C1D4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AI makes advisor-grade drafting economical for 10-seat clients for the first time.</w:t>
            </w:r>
          </w:p>
          <w:p w14:paraId="0E4FD017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Incumbents (</w:t>
            </w:r>
            <w:proofErr w:type="spellStart"/>
            <w:r>
              <w:t>OneTrust</w:t>
            </w:r>
            <w:proofErr w:type="spellEnd"/>
            <w:r>
              <w:t xml:space="preserve">, Vanta, </w:t>
            </w:r>
            <w:proofErr w:type="spellStart"/>
            <w:r>
              <w:t>Drata</w:t>
            </w:r>
            <w:proofErr w:type="spellEnd"/>
            <w:r>
              <w:t>) design and price for in-house teams up-market — the advisor-serving-many-SMBs buyer is structurally underserved.</w:t>
            </w:r>
          </w:p>
        </w:tc>
        <w:tc>
          <w:tcPr>
            <w:tcW w:w="46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26EEAF64" w14:textId="77777777" w:rsidR="00133BAA" w:rsidRDefault="007D7087">
            <w:pPr>
              <w:spacing w:before="90" w:after="50"/>
            </w:pPr>
            <w:r>
              <w:rPr>
                <w:b/>
                <w:bCs/>
                <w:color w:val="2E74B5"/>
                <w:spacing w:val="20"/>
              </w:rPr>
              <w:t>MARKET</w:t>
            </w:r>
          </w:p>
          <w:p w14:paraId="2DCB492D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South Africa: ~700,000+ formally registered SMMEs, </w:t>
            </w:r>
            <w:proofErr w:type="gramStart"/>
            <w:r>
              <w:t>every one</w:t>
            </w:r>
            <w:proofErr w:type="gramEnd"/>
            <w:r>
              <w:t xml:space="preserve"> subject to POPIA and required to have an Information Officer; a growing ecosystem of compliance advisors, MSPs and accounting firms is the distribution layer.</w:t>
            </w:r>
          </w:p>
          <w:p w14:paraId="6AC2FF83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UK second market: millions of SMEs under UK GDPR and Cyber Essentials, reachable with the same product and channel motion.</w:t>
            </w:r>
          </w:p>
          <w:p w14:paraId="55D13F52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Beachhead: outsourced DIO practices and MSPs at 5–50 clients each — one channel win lands dozens of end clients.</w:t>
            </w:r>
          </w:p>
        </w:tc>
      </w:tr>
    </w:tbl>
    <w:p w14:paraId="0F4E3D3F" w14:textId="77777777" w:rsidR="00133BAA" w:rsidRDefault="00133BAA">
      <w:pPr>
        <w:pBdr>
          <w:bottom w:val="single" w:sz="6" w:space="0" w:color="D9E2F3"/>
        </w:pBdr>
        <w:spacing w:before="40" w:after="90"/>
      </w:pPr>
    </w:p>
    <w:tbl>
      <w:tblPr>
        <w:tblW w:w="9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0"/>
        <w:gridCol w:w="4620"/>
      </w:tblGrid>
      <w:tr w:rsidR="00133BAA" w14:paraId="08126FA1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47904CC3" w14:textId="77777777" w:rsidR="00133BAA" w:rsidRDefault="007D7087">
            <w:pPr>
              <w:spacing w:before="90" w:after="50"/>
            </w:pPr>
            <w:r>
              <w:rPr>
                <w:b/>
                <w:bCs/>
                <w:color w:val="2E74B5"/>
                <w:spacing w:val="20"/>
              </w:rPr>
              <w:t>BUSINESS MODEL</w:t>
            </w:r>
          </w:p>
          <w:p w14:paraId="05DDBB7F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Channel (core): </w:t>
            </w:r>
            <w:r>
              <w:t>per-managed-client SaaS pricing with volume bands, white-label add-on, and partner certification.</w:t>
            </w:r>
          </w:p>
          <w:p w14:paraId="266EA4C5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SMB direct: </w:t>
            </w:r>
            <w:r>
              <w:t>tiered subscriptions anchored well below the cost of a part-time compliance hire; direct signups routed to partners via a referral marketplace.</w:t>
            </w:r>
          </w:p>
          <w:p w14:paraId="7DB3E4CA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Expansion: </w:t>
            </w:r>
            <w:r>
              <w:t>template packs, framework add-ons, insurance/due-diligence mode, UK localisation.</w:t>
            </w:r>
          </w:p>
        </w:tc>
        <w:tc>
          <w:tcPr>
            <w:tcW w:w="462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795D27AB" w14:textId="77777777" w:rsidR="00133BAA" w:rsidRDefault="007D7087">
            <w:pPr>
              <w:spacing w:before="90" w:after="50"/>
            </w:pPr>
            <w:r>
              <w:rPr>
                <w:b/>
                <w:bCs/>
                <w:color w:val="2E74B5"/>
                <w:spacing w:val="20"/>
              </w:rPr>
              <w:t>COMPETITIVE MOAT</w:t>
            </w:r>
          </w:p>
          <w:p w14:paraId="05C7C8EE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SA-first regulatory depth: </w:t>
            </w:r>
            <w:r>
              <w:t>IO/DIO registration, PAIA manuals and returns, eServices breach workflow, s.72 transfers — treated as footnotes by global tools.</w:t>
            </w:r>
          </w:p>
          <w:p w14:paraId="5C740509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The monthly report is the product: </w:t>
            </w:r>
            <w:r>
              <w:t>automatic, evidence-linked, board-legible — the artefact that renews retainers.</w:t>
            </w:r>
          </w:p>
          <w:p w14:paraId="69F21B69" w14:textId="77777777" w:rsidR="00133BAA" w:rsidRDefault="007D708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Governed AI: </w:t>
            </w:r>
            <w:r>
              <w:t>human-approval gates, tenant isolation, and a published platform DPIA — compliance credibility as a sales asset.</w:t>
            </w:r>
          </w:p>
        </w:tc>
      </w:tr>
    </w:tbl>
    <w:p w14:paraId="465116DB" w14:textId="77777777" w:rsidR="00133BAA" w:rsidRDefault="00133BAA">
      <w:pPr>
        <w:pBdr>
          <w:bottom w:val="single" w:sz="6" w:space="0" w:color="D9E2F3"/>
        </w:pBdr>
        <w:spacing w:before="40" w:after="90"/>
      </w:pPr>
    </w:p>
    <w:p w14:paraId="2FE69F35" w14:textId="77777777" w:rsidR="00133BAA" w:rsidRDefault="007D7087">
      <w:pPr>
        <w:spacing w:before="90" w:after="50"/>
      </w:pPr>
      <w:r>
        <w:rPr>
          <w:b/>
          <w:bCs/>
          <w:color w:val="2E74B5"/>
          <w:spacing w:val="20"/>
        </w:rPr>
        <w:t>ROADMAP &amp; STATUS</w:t>
      </w:r>
    </w:p>
    <w:tbl>
      <w:tblPr>
        <w:tblW w:w="92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0"/>
        <w:gridCol w:w="2310"/>
        <w:gridCol w:w="2310"/>
        <w:gridCol w:w="2310"/>
      </w:tblGrid>
      <w:tr w:rsidR="00133BAA" w14:paraId="2D4E2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69151" w14:textId="77777777" w:rsidR="00133BAA" w:rsidRDefault="007D7087">
            <w:r>
              <w:rPr>
                <w:b/>
                <w:bCs/>
                <w:color w:val="FFFFFF"/>
                <w:sz w:val="16"/>
                <w:szCs w:val="16"/>
              </w:rPr>
              <w:t>Phase 1 · M1–4</w:t>
            </w:r>
          </w:p>
        </w:tc>
        <w:tc>
          <w:tcPr>
            <w:tcW w:w="231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19AD5" w14:textId="77777777" w:rsidR="00133BAA" w:rsidRDefault="007D7087">
            <w:r>
              <w:rPr>
                <w:b/>
                <w:bCs/>
                <w:color w:val="FFFFFF"/>
                <w:sz w:val="16"/>
                <w:szCs w:val="16"/>
              </w:rPr>
              <w:t>Phase 2 · M5–8</w:t>
            </w:r>
          </w:p>
        </w:tc>
        <w:tc>
          <w:tcPr>
            <w:tcW w:w="231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D9F05" w14:textId="77777777" w:rsidR="00133BAA" w:rsidRDefault="007D7087">
            <w:r>
              <w:rPr>
                <w:b/>
                <w:bCs/>
                <w:color w:val="FFFFFF"/>
                <w:sz w:val="16"/>
                <w:szCs w:val="16"/>
              </w:rPr>
              <w:t>Phase 3 · M9–12</w:t>
            </w:r>
          </w:p>
        </w:tc>
        <w:tc>
          <w:tcPr>
            <w:tcW w:w="231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A3AC9" w14:textId="77777777" w:rsidR="00133BAA" w:rsidRDefault="007D7087">
            <w:r>
              <w:rPr>
                <w:b/>
                <w:bCs/>
                <w:color w:val="FFFFFF"/>
                <w:sz w:val="16"/>
                <w:szCs w:val="16"/>
              </w:rPr>
              <w:t>Phase 4 · M12+</w:t>
            </w:r>
          </w:p>
        </w:tc>
      </w:tr>
      <w:tr w:rsidR="00133BAA" w14:paraId="2D94FD94" w14:textId="77777777">
        <w:tblPrEx>
          <w:tblCellMar>
            <w:top w:w="0" w:type="dxa"/>
            <w:bottom w:w="0" w:type="dxa"/>
          </w:tblCellMar>
        </w:tblPrEx>
        <w:tc>
          <w:tcPr>
            <w:tcW w:w="23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45E5A" w14:textId="77777777" w:rsidR="00133BAA" w:rsidRDefault="007D7087">
            <w:pPr>
              <w:spacing w:line="230" w:lineRule="auto"/>
            </w:pPr>
            <w:r>
              <w:rPr>
                <w:sz w:val="15"/>
                <w:szCs w:val="15"/>
              </w:rPr>
              <w:t>MVP: multi-tenant core, ROPA, policies, DSAR, tasks, AI monthly report generator. 3–5 design partners live.</w:t>
            </w:r>
          </w:p>
        </w:tc>
        <w:tc>
          <w:tcPr>
            <w:tcW w:w="23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D46EFA" w14:textId="77777777" w:rsidR="00133BAA" w:rsidRDefault="007D7087">
            <w:pPr>
              <w:spacing w:line="230" w:lineRule="auto"/>
            </w:pPr>
            <w:r>
              <w:rPr>
                <w:sz w:val="15"/>
                <w:szCs w:val="15"/>
              </w:rPr>
              <w:t>DPIA workflows, vendor/DPA management, breach module, statutory DIO duties engine, PAIA automation.</w:t>
            </w:r>
          </w:p>
        </w:tc>
        <w:tc>
          <w:tcPr>
            <w:tcW w:w="23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21CD9" w14:textId="77777777" w:rsidR="00133BAA" w:rsidRDefault="007D7087">
            <w:pPr>
              <w:spacing w:line="230" w:lineRule="auto"/>
            </w:pPr>
            <w:r>
              <w:rPr>
                <w:sz w:val="15"/>
                <w:szCs w:val="15"/>
              </w:rPr>
              <w:t>Framework library &amp; cross-mapping, risk register, gap analysis, insurance mode, white-label, benchmarking.</w:t>
            </w:r>
          </w:p>
        </w:tc>
        <w:tc>
          <w:tcPr>
            <w:tcW w:w="23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99B3C" w14:textId="77777777" w:rsidR="00133BAA" w:rsidRDefault="007D7087">
            <w:pPr>
              <w:spacing w:line="230" w:lineRule="auto"/>
            </w:pPr>
            <w:r>
              <w:rPr>
                <w:sz w:val="15"/>
                <w:szCs w:val="15"/>
              </w:rPr>
              <w:t>UK GDPR / Cyber Essentials localisation, M365 integration, advisor copilot, partner marketplace.</w:t>
            </w:r>
          </w:p>
        </w:tc>
      </w:tr>
    </w:tbl>
    <w:p w14:paraId="47D0D3C2" w14:textId="77777777" w:rsidR="00133BAA" w:rsidRDefault="00133BAA">
      <w:pPr>
        <w:spacing w:after="70"/>
      </w:pPr>
    </w:p>
    <w:p w14:paraId="31588DC6" w14:textId="77777777" w:rsidR="00133BAA" w:rsidRDefault="007D7087">
      <w:pPr>
        <w:spacing w:after="60"/>
      </w:pPr>
      <w:r>
        <w:rPr>
          <w:b/>
          <w:bCs/>
        </w:rPr>
        <w:t xml:space="preserve">Validation gate: </w:t>
      </w:r>
      <w:r>
        <w:t>two consecutive monthly cycles across 3+ design-partner clients hitting the under-60-minute report target, with at least one partner converting to paid per-client subscription — proving unit economics before scale investment.</w:t>
      </w:r>
    </w:p>
    <w:p w14:paraId="2D43A5AB" w14:textId="77777777" w:rsidR="00133BAA" w:rsidRDefault="00133BAA">
      <w:pPr>
        <w:pBdr>
          <w:bottom w:val="single" w:sz="6" w:space="0" w:color="D9E2F3"/>
        </w:pBdr>
        <w:spacing w:before="40" w:after="90"/>
      </w:pPr>
    </w:p>
    <w:p w14:paraId="17376891" w14:textId="77777777" w:rsidR="00133BAA" w:rsidRDefault="007D7087">
      <w:pPr>
        <w:spacing w:before="90" w:after="50"/>
      </w:pPr>
      <w:r>
        <w:rPr>
          <w:b/>
          <w:bCs/>
          <w:color w:val="2E74B5"/>
          <w:spacing w:val="20"/>
        </w:rPr>
        <w:t>THE OPPORTUNITY</w:t>
      </w:r>
    </w:p>
    <w:p w14:paraId="43B3352D" w14:textId="77777777" w:rsidR="00133BAA" w:rsidRDefault="007D7087">
      <w:pPr>
        <w:spacing w:after="60"/>
      </w:pPr>
      <w:r>
        <w:t xml:space="preserve">We are seeking </w:t>
      </w:r>
      <w:r>
        <w:rPr>
          <w:b/>
          <w:bCs/>
          <w:color w:val="1F3864"/>
        </w:rPr>
        <w:t>[funding amount / strategic partners]</w:t>
      </w:r>
      <w:r>
        <w:t xml:space="preserve"> to fund the 12-month roadmap: MVP build and design-partner validation, Phase 2–3 feature depth, and channel programme launch. The founding team combines </w:t>
      </w:r>
      <w:r>
        <w:rPr>
          <w:b/>
          <w:bCs/>
        </w:rPr>
        <w:t>hands-on outsourced DIO practice experience, cybersecurity channel distribution across SA and the UK, and POPIA/UK GDPR regulatory depth</w:t>
      </w:r>
      <w:r>
        <w:t xml:space="preserve"> — the product is a systematisation of a compliance delivery model already proven manually with paying clients.</w:t>
      </w:r>
    </w:p>
    <w:p w14:paraId="4D0BE985" w14:textId="77777777" w:rsidR="00133BAA" w:rsidRDefault="007D7087">
      <w:pPr>
        <w:spacing w:after="60"/>
      </w:pPr>
      <w:r>
        <w:rPr>
          <w:b/>
          <w:bCs/>
        </w:rPr>
        <w:t xml:space="preserve">Contact: </w:t>
      </w:r>
      <w:r>
        <w:rPr>
          <w:color w:val="595959"/>
        </w:rPr>
        <w:t>[Name]  ·  [email]  ·  [phone]  ·  [website]</w:t>
      </w:r>
    </w:p>
    <w:sectPr w:rsidR="00133BAA">
      <w:pgSz w:w="11906" w:h="16838"/>
      <w:pgMar w:top="620" w:right="800" w:bottom="6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3ADE"/>
    <w:multiLevelType w:val="hybridMultilevel"/>
    <w:tmpl w:val="2DE639A6"/>
    <w:lvl w:ilvl="0" w:tplc="DE88B91A">
      <w:start w:val="1"/>
      <w:numFmt w:val="bullet"/>
      <w:lvlText w:val="•"/>
      <w:lvlJc w:val="left"/>
      <w:pPr>
        <w:ind w:left="230" w:hanging="201"/>
      </w:pPr>
    </w:lvl>
    <w:lvl w:ilvl="1" w:tplc="AE36D136">
      <w:numFmt w:val="decimal"/>
      <w:lvlText w:val=""/>
      <w:lvlJc w:val="left"/>
    </w:lvl>
    <w:lvl w:ilvl="2" w:tplc="93D6154C">
      <w:numFmt w:val="decimal"/>
      <w:lvlText w:val=""/>
      <w:lvlJc w:val="left"/>
    </w:lvl>
    <w:lvl w:ilvl="3" w:tplc="7E2E2EDE">
      <w:numFmt w:val="decimal"/>
      <w:lvlText w:val=""/>
      <w:lvlJc w:val="left"/>
    </w:lvl>
    <w:lvl w:ilvl="4" w:tplc="76AADA40">
      <w:numFmt w:val="decimal"/>
      <w:lvlText w:val=""/>
      <w:lvlJc w:val="left"/>
    </w:lvl>
    <w:lvl w:ilvl="5" w:tplc="6F860BA8">
      <w:numFmt w:val="decimal"/>
      <w:lvlText w:val=""/>
      <w:lvlJc w:val="left"/>
    </w:lvl>
    <w:lvl w:ilvl="6" w:tplc="8C60C2CC">
      <w:numFmt w:val="decimal"/>
      <w:lvlText w:val=""/>
      <w:lvlJc w:val="left"/>
    </w:lvl>
    <w:lvl w:ilvl="7" w:tplc="7E169E84">
      <w:numFmt w:val="decimal"/>
      <w:lvlText w:val=""/>
      <w:lvlJc w:val="left"/>
    </w:lvl>
    <w:lvl w:ilvl="8" w:tplc="9EC80E16">
      <w:numFmt w:val="decimal"/>
      <w:lvlText w:val=""/>
      <w:lvlJc w:val="left"/>
    </w:lvl>
  </w:abstractNum>
  <w:abstractNum w:abstractNumId="1" w15:restartNumberingAfterBreak="0">
    <w:nsid w:val="581C7772"/>
    <w:multiLevelType w:val="hybridMultilevel"/>
    <w:tmpl w:val="23DC328A"/>
    <w:lvl w:ilvl="0" w:tplc="50D69460">
      <w:start w:val="1"/>
      <w:numFmt w:val="bullet"/>
      <w:lvlText w:val="●"/>
      <w:lvlJc w:val="left"/>
      <w:pPr>
        <w:ind w:left="720" w:hanging="360"/>
      </w:pPr>
    </w:lvl>
    <w:lvl w:ilvl="1" w:tplc="97BED912">
      <w:start w:val="1"/>
      <w:numFmt w:val="bullet"/>
      <w:lvlText w:val="○"/>
      <w:lvlJc w:val="left"/>
      <w:pPr>
        <w:ind w:left="1440" w:hanging="360"/>
      </w:pPr>
    </w:lvl>
    <w:lvl w:ilvl="2" w:tplc="1F765FF0">
      <w:start w:val="1"/>
      <w:numFmt w:val="bullet"/>
      <w:lvlText w:val="■"/>
      <w:lvlJc w:val="left"/>
      <w:pPr>
        <w:ind w:left="2160" w:hanging="360"/>
      </w:pPr>
    </w:lvl>
    <w:lvl w:ilvl="3" w:tplc="1368CDF0">
      <w:start w:val="1"/>
      <w:numFmt w:val="bullet"/>
      <w:lvlText w:val="●"/>
      <w:lvlJc w:val="left"/>
      <w:pPr>
        <w:ind w:left="2880" w:hanging="360"/>
      </w:pPr>
    </w:lvl>
    <w:lvl w:ilvl="4" w:tplc="ED5EE338">
      <w:start w:val="1"/>
      <w:numFmt w:val="bullet"/>
      <w:lvlText w:val="○"/>
      <w:lvlJc w:val="left"/>
      <w:pPr>
        <w:ind w:left="3600" w:hanging="360"/>
      </w:pPr>
    </w:lvl>
    <w:lvl w:ilvl="5" w:tplc="61E405E0">
      <w:start w:val="1"/>
      <w:numFmt w:val="bullet"/>
      <w:lvlText w:val="■"/>
      <w:lvlJc w:val="left"/>
      <w:pPr>
        <w:ind w:left="4320" w:hanging="360"/>
      </w:pPr>
    </w:lvl>
    <w:lvl w:ilvl="6" w:tplc="CE401924">
      <w:start w:val="1"/>
      <w:numFmt w:val="bullet"/>
      <w:lvlText w:val="●"/>
      <w:lvlJc w:val="left"/>
      <w:pPr>
        <w:ind w:left="5040" w:hanging="360"/>
      </w:pPr>
    </w:lvl>
    <w:lvl w:ilvl="7" w:tplc="01AEBC66">
      <w:start w:val="1"/>
      <w:numFmt w:val="bullet"/>
      <w:lvlText w:val="●"/>
      <w:lvlJc w:val="left"/>
      <w:pPr>
        <w:ind w:left="5760" w:hanging="360"/>
      </w:pPr>
    </w:lvl>
    <w:lvl w:ilvl="8" w:tplc="1A64CFE6">
      <w:start w:val="1"/>
      <w:numFmt w:val="bullet"/>
      <w:lvlText w:val="●"/>
      <w:lvlJc w:val="left"/>
      <w:pPr>
        <w:ind w:left="6480" w:hanging="360"/>
      </w:pPr>
    </w:lvl>
  </w:abstractNum>
  <w:num w:numId="1" w16cid:durableId="2145850114">
    <w:abstractNumId w:val="1"/>
    <w:lvlOverride w:ilvl="0">
      <w:startOverride w:val="1"/>
    </w:lvlOverride>
  </w:num>
  <w:num w:numId="2" w16cid:durableId="232664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BAA"/>
    <w:rsid w:val="00133BAA"/>
    <w:rsid w:val="005F5056"/>
    <w:rsid w:val="006F75D2"/>
    <w:rsid w:val="007D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A557A"/>
  <w15:docId w15:val="{C8ABE988-5B06-4A22-A3E4-3A2CC569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589</Words>
  <Characters>3632</Characters>
  <Application>Microsoft Office Word</Application>
  <DocSecurity>0</DocSecurity>
  <Lines>98</Lines>
  <Paragraphs>41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Despard</cp:lastModifiedBy>
  <cp:revision>2</cp:revision>
  <dcterms:created xsi:type="dcterms:W3CDTF">2026-07-17T05:26:00Z</dcterms:created>
  <dcterms:modified xsi:type="dcterms:W3CDTF">2026-07-17T05:26:00Z</dcterms:modified>
</cp:coreProperties>
</file>