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CD47C" w14:textId="77777777" w:rsidR="00F55F31" w:rsidRDefault="00514B31">
      <w:pPr>
        <w:spacing w:after="60"/>
        <w:jc w:val="center"/>
      </w:pPr>
      <w:r>
        <w:rPr>
          <w:b/>
          <w:bCs/>
          <w:color w:val="1F3864"/>
          <w:sz w:val="30"/>
          <w:szCs w:val="30"/>
        </w:rPr>
        <w:t>MVP Data Model — Entity Relationship Diagram</w:t>
      </w:r>
    </w:p>
    <w:p w14:paraId="60708026" w14:textId="77777777" w:rsidR="00F55F31" w:rsidRDefault="00514B31">
      <w:pPr>
        <w:spacing w:after="120"/>
        <w:jc w:val="center"/>
      </w:pPr>
      <w:r>
        <w:rPr>
          <w:color w:val="595959"/>
          <w:sz w:val="18"/>
          <w:szCs w:val="18"/>
        </w:rPr>
        <w:t>AI-Powered Privacy &amp; Compliance Management Platform  ·  Phase 1 (F1–F8)  ·  v1.0 July 2026  ·  Confidential</w:t>
      </w:r>
    </w:p>
    <w:p w14:paraId="56F1093F" w14:textId="77777777" w:rsidR="00F55F31" w:rsidRDefault="00514B31">
      <w:pPr>
        <w:jc w:val="center"/>
      </w:pPr>
      <w:r>
        <w:rPr>
          <w:noProof/>
        </w:rPr>
        <w:drawing>
          <wp:inline distT="0" distB="0" distL="0" distR="0" wp14:anchorId="420B9DA1" wp14:editId="52AAF82A">
            <wp:extent cx="7096125" cy="59912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6125" cy="599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FC8EC0" w14:textId="77777777" w:rsidR="00F55F31" w:rsidRDefault="00514B31">
      <w:pPr>
        <w:spacing w:before="80"/>
        <w:jc w:val="center"/>
      </w:pPr>
      <w:r>
        <w:rPr>
          <w:i/>
          <w:iCs/>
          <w:color w:val="595959"/>
          <w:sz w:val="17"/>
          <w:szCs w:val="17"/>
        </w:rPr>
        <w:lastRenderedPageBreak/>
        <w:t>Dark-blue entities are aggregate roots; mid-blue are dependent/child entities; amber is the cross-cutting AI assurance layer. Dashed edges are optional links.</w:t>
      </w:r>
    </w:p>
    <w:p w14:paraId="2EFD45ED" w14:textId="77777777" w:rsidR="00F55F31" w:rsidRDefault="00F55F31">
      <w:pPr>
        <w:sectPr w:rsidR="00F55F31">
          <w:footerReference w:type="default" r:id="rId8"/>
          <w:pgSz w:w="16838" w:h="11906" w:orient="landscape"/>
          <w:pgMar w:top="700" w:right="800" w:bottom="700" w:left="800" w:header="708" w:footer="708" w:gutter="0"/>
          <w:cols w:space="720"/>
          <w:docGrid w:linePitch="360"/>
        </w:sectPr>
      </w:pPr>
    </w:p>
    <w:p w14:paraId="45705769" w14:textId="77777777" w:rsidR="00F55F31" w:rsidRDefault="00514B31">
      <w:pPr>
        <w:pStyle w:val="Heading1"/>
        <w:spacing w:before="300" w:after="160"/>
      </w:pPr>
      <w:r>
        <w:rPr>
          <w:b/>
          <w:bCs/>
          <w:color w:val="1F3864"/>
          <w:sz w:val="28"/>
          <w:szCs w:val="28"/>
        </w:rPr>
        <w:lastRenderedPageBreak/>
        <w:t>Entity Dictionary</w:t>
      </w:r>
    </w:p>
    <w:p w14:paraId="01D62779" w14:textId="77777777" w:rsidR="00F55F31" w:rsidRDefault="00514B31">
      <w:pPr>
        <w:spacing w:after="140" w:line="290" w:lineRule="auto"/>
      </w:pPr>
      <w:r>
        <w:t xml:space="preserve">Key design decisions are noted per entity. All entities carry </w:t>
      </w:r>
      <w:proofErr w:type="spellStart"/>
      <w:r>
        <w:t>created_at</w:t>
      </w:r>
      <w:proofErr w:type="spellEnd"/>
      <w:r>
        <w:t xml:space="preserve"> / </w:t>
      </w:r>
      <w:proofErr w:type="spellStart"/>
      <w:r>
        <w:t>updated_at</w:t>
      </w:r>
      <w:proofErr w:type="spellEnd"/>
      <w:r>
        <w:t xml:space="preserve"> and are tenant-scoped; every state change writes to AUDIT_LOG.</w:t>
      </w:r>
    </w:p>
    <w:p w14:paraId="0FB4F5A5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F1 — Tenancy and Access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450F50D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40869F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795DC6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29BB73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9E299D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PRACTICE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AF6B7E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The advisor tenant and top-level isolation boundary. Holds branding (applied to issued reports), SSO configuration, and the data-region flag (ZA for MVP). Nothing is shared across practices.</w:t>
            </w:r>
          </w:p>
        </w:tc>
      </w:tr>
      <w:tr w:rsidR="00F55F31" w14:paraId="3C3C1E0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3F4EBC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USER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BC48A7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One identity per person per practice, carrying one of the five fixed MVP roles. MFA enrolment is tracked here and enforced practice-side.</w:t>
            </w:r>
          </w:p>
        </w:tc>
      </w:tr>
      <w:tr w:rsidR="00F55F31" w14:paraId="143FB41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582FEE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CONSULTANT_ASSIGNMENT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3AB4E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Join table scoping a consultant to specific clients within their practice — the mechanism behind “consultants see only assigned clients”.</w:t>
            </w:r>
          </w:p>
        </w:tc>
      </w:tr>
      <w:tr w:rsidR="00F55F31" w14:paraId="5379D8F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EDA236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CLIENT_ORG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4DE1D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The client workspace. All compliance content hangs off this entity; a Client Admin’s visibility is bounded here.</w:t>
            </w:r>
          </w:p>
        </w:tc>
      </w:tr>
      <w:tr w:rsidR="00F55F31" w14:paraId="1A1BF71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85AB84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AUDIT_LOG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119F61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Append-only. References actor, action, object type and id. No application path can update or delete entries; export to CSV only.</w:t>
            </w:r>
          </w:p>
        </w:tc>
      </w:tr>
    </w:tbl>
    <w:p w14:paraId="3DE35006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F2 — Onboarding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3531F4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81DD21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0D2ADC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149AF24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84072E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INTAKE_SESSION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145F5A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Stores the structured intake answers (JSON) with save-and-resume. It is the grounding context for AI-drafted candidate ROPA entries and the onboarding gap summary, and is retained so any AI draft can be traced to the answers that produced it.</w:t>
            </w:r>
          </w:p>
        </w:tc>
      </w:tr>
    </w:tbl>
    <w:p w14:paraId="174CC3C4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F3 — ROPA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193BA6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FEFE5B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70E631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5212D5A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6DF3B5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PROCESSING_ACTIVITY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2B1D61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The register of record. POPIA-native flags (s.26 special PI, s.34 children’s PI, cross-border) are first-class columns so reporting and future framework mapping can query them directly. Status lifecycle: Draft → Confirmed → Retired.</w:t>
            </w:r>
          </w:p>
        </w:tc>
      </w:tr>
      <w:tr w:rsidR="00F55F31" w14:paraId="6355CB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9C139B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PA_VERSION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8FF44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Full-field JSON snapshot per confirmed change, with confirmer identity. Month-over-month register diffs for the report are computed between snapshots — cheap, exact, and immune to schema drift.</w:t>
            </w:r>
          </w:p>
        </w:tc>
      </w:tr>
    </w:tbl>
    <w:p w14:paraId="6D678BC5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F4 — Policy Library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02550F3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69EE5E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EA51E8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2678FD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68ED3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TEMPLATE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11EB35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 xml:space="preserve">Practice-level </w:t>
            </w:r>
            <w:proofErr w:type="gramStart"/>
            <w:r>
              <w:rPr>
                <w:sz w:val="19"/>
                <w:szCs w:val="19"/>
              </w:rPr>
              <w:t>masters</w:t>
            </w:r>
            <w:proofErr w:type="gramEnd"/>
            <w:r>
              <w:rPr>
                <w:sz w:val="19"/>
                <w:szCs w:val="19"/>
              </w:rPr>
              <w:t xml:space="preserve"> for policies, report sections, task packs, and letters. Instantiation records provenance (template id + version), enabling “which clients are on an outdated template” queries.</w:t>
            </w:r>
          </w:p>
        </w:tc>
      </w:tr>
      <w:tr w:rsidR="00F55F31" w14:paraId="603EC5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C999A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POLICY_DOCUMENT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BD60FE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 xml:space="preserve">Per-client governance document with status and review dates. Overdue </w:t>
            </w:r>
            <w:proofErr w:type="spellStart"/>
            <w:r>
              <w:rPr>
                <w:sz w:val="19"/>
                <w:szCs w:val="19"/>
              </w:rPr>
              <w:t>next_review</w:t>
            </w:r>
            <w:proofErr w:type="spellEnd"/>
            <w:r>
              <w:rPr>
                <w:sz w:val="19"/>
                <w:szCs w:val="19"/>
              </w:rPr>
              <w:t xml:space="preserve"> raises tasks automatically.</w:t>
            </w:r>
          </w:p>
        </w:tc>
      </w:tr>
      <w:tr w:rsidR="00F55F31" w14:paraId="56EF886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91500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DOC_VERSION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478614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File reference plus content hash per version — the hash supports evidence integrity claims.</w:t>
            </w:r>
          </w:p>
        </w:tc>
      </w:tr>
      <w:tr w:rsidR="00F55F31" w14:paraId="01BA4A9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4FC648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lastRenderedPageBreak/>
              <w:t>EXPECTED_DOC_ITEM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769838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The per-client checklist of documents that should exist (Present / Missing / Stale). Drives the report’s document-status table; a POLICY_DOCUMENT optionally satisfies an item.</w:t>
            </w:r>
          </w:p>
        </w:tc>
      </w:tr>
    </w:tbl>
    <w:p w14:paraId="62CBC603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F5 — DSAR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46448B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84E6A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650383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7473854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CC367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DSAR_CASE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D11731" w14:textId="77777777" w:rsidR="00F55F31" w:rsidRDefault="00514B31">
            <w:pPr>
              <w:spacing w:line="270" w:lineRule="auto"/>
            </w:pPr>
            <w:proofErr w:type="spellStart"/>
            <w:r>
              <w:rPr>
                <w:sz w:val="19"/>
                <w:szCs w:val="19"/>
              </w:rPr>
              <w:t>received_on</w:t>
            </w:r>
            <w:proofErr w:type="spellEnd"/>
            <w:r>
              <w:rPr>
                <w:sz w:val="19"/>
                <w:szCs w:val="19"/>
              </w:rPr>
              <w:t xml:space="preserve"> starts the statutory clock and supports backdating for requests received outside the form. </w:t>
            </w:r>
            <w:proofErr w:type="spellStart"/>
            <w:r>
              <w:rPr>
                <w:sz w:val="19"/>
                <w:szCs w:val="19"/>
              </w:rPr>
              <w:t>statutory_due</w:t>
            </w:r>
            <w:proofErr w:type="spellEnd"/>
            <w:r>
              <w:rPr>
                <w:sz w:val="19"/>
                <w:szCs w:val="19"/>
              </w:rPr>
              <w:t xml:space="preserve"> is stored, not derived at read time, so deadline history survives configuration changes.</w:t>
            </w:r>
          </w:p>
        </w:tc>
      </w:tr>
      <w:tr w:rsidR="00F55F31" w14:paraId="3A4466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CD8DED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CASE_EVENT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CA845A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 xml:space="preserve">Event-sourced state transitions with actor and timestamp. The full lifecycle is </w:t>
            </w:r>
            <w:proofErr w:type="spellStart"/>
            <w:r>
              <w:rPr>
                <w:sz w:val="19"/>
                <w:szCs w:val="19"/>
              </w:rPr>
              <w:t>reconstructable</w:t>
            </w:r>
            <w:proofErr w:type="spellEnd"/>
            <w:r>
              <w:rPr>
                <w:sz w:val="19"/>
                <w:szCs w:val="19"/>
              </w:rPr>
              <w:t xml:space="preserve"> for regulator or court scrutiny — the defensibility requirement expressed as schema.</w:t>
            </w:r>
          </w:p>
        </w:tc>
      </w:tr>
    </w:tbl>
    <w:p w14:paraId="6D2DAA93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F6 — Tasks and Calendar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706F8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F5BBBF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30490E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6A3A763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A3220D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TASK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5E0034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The operational unit. category aligns 1:1 with monthly report sections so the actions section is a pure query. Polymorphic link (</w:t>
            </w:r>
            <w:proofErr w:type="spellStart"/>
            <w:r>
              <w:rPr>
                <w:sz w:val="19"/>
                <w:szCs w:val="19"/>
              </w:rPr>
              <w:t>linked_object_type</w:t>
            </w:r>
            <w:proofErr w:type="spellEnd"/>
            <w:r>
              <w:rPr>
                <w:sz w:val="19"/>
                <w:szCs w:val="19"/>
              </w:rPr>
              <w:t xml:space="preserve"> + id) attaches a task to a ROPA activity, document, or DSAR case.</w:t>
            </w:r>
          </w:p>
        </w:tc>
      </w:tr>
      <w:tr w:rsidR="00F55F31" w14:paraId="6340EB7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D5676B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TASK_EVIDENCE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ED50C9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Immutable attachments and completion notes — citable from issued reports.</w:t>
            </w:r>
          </w:p>
        </w:tc>
      </w:tr>
      <w:tr w:rsidR="00F55F31" w14:paraId="25D7786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96E44A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RECURRING_TEMPLATE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C0C878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Practice-level recurrence rules (RRULE) that instantiate the per-client annual compliance calendar at onboarding.</w:t>
            </w:r>
          </w:p>
        </w:tc>
      </w:tr>
    </w:tbl>
    <w:p w14:paraId="563345A9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F7 — Monthly Report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4A010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04455B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E5692F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4DB876A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A71609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MONTHLY_REPORT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052DBC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 xml:space="preserve">One row per client per period per version. On issue: DOCX/PDF artefacts stored, </w:t>
            </w:r>
            <w:proofErr w:type="spellStart"/>
            <w:r>
              <w:rPr>
                <w:sz w:val="19"/>
                <w:szCs w:val="19"/>
              </w:rPr>
              <w:t>content_hash</w:t>
            </w:r>
            <w:proofErr w:type="spellEnd"/>
            <w:r>
              <w:rPr>
                <w:sz w:val="19"/>
                <w:szCs w:val="19"/>
              </w:rPr>
              <w:t xml:space="preserve"> computed, row becomes immutable. Corrections create a new version with a visible note — never an edit.</w:t>
            </w:r>
          </w:p>
        </w:tc>
      </w:tr>
      <w:tr w:rsidR="00F55F31" w14:paraId="7E8DCE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AD2AC7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REPORT_SECTION</w:t>
            </w:r>
          </w:p>
        </w:tc>
        <w:tc>
          <w:tcPr>
            <w:tcW w:w="66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4EF805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 xml:space="preserve">Carries both the </w:t>
            </w:r>
            <w:proofErr w:type="spellStart"/>
            <w:r>
              <w:rPr>
                <w:sz w:val="19"/>
                <w:szCs w:val="19"/>
              </w:rPr>
              <w:t>compiled_data</w:t>
            </w:r>
            <w:proofErr w:type="spellEnd"/>
            <w:r>
              <w:rPr>
                <w:sz w:val="19"/>
                <w:szCs w:val="19"/>
              </w:rPr>
              <w:t xml:space="preserve"> (the structured figures, reconcilable to the registers by automated test) and the narrative, with an </w:t>
            </w:r>
            <w:proofErr w:type="spellStart"/>
            <w:r>
              <w:rPr>
                <w:sz w:val="19"/>
                <w:szCs w:val="19"/>
              </w:rPr>
              <w:t>advisor_edited</w:t>
            </w:r>
            <w:proofErr w:type="spellEnd"/>
            <w:r>
              <w:rPr>
                <w:sz w:val="19"/>
                <w:szCs w:val="19"/>
              </w:rPr>
              <w:t xml:space="preserve"> flag distinguishing AI draft from human-edited text.</w:t>
            </w:r>
          </w:p>
        </w:tc>
      </w:tr>
    </w:tbl>
    <w:p w14:paraId="21493924" w14:textId="77777777" w:rsidR="00F55F31" w:rsidRDefault="00514B31">
      <w:pPr>
        <w:pStyle w:val="Heading2"/>
        <w:spacing w:before="220" w:after="120"/>
      </w:pPr>
      <w:r>
        <w:rPr>
          <w:b/>
          <w:bCs/>
          <w:sz w:val="24"/>
          <w:szCs w:val="24"/>
        </w:rPr>
        <w:t>F8 — AI Assurance Layer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640"/>
      </w:tblGrid>
      <w:tr w:rsidR="00F55F31" w14:paraId="4B6C4C0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1CD1C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Entity</w:t>
            </w:r>
          </w:p>
        </w:tc>
        <w:tc>
          <w:tcPr>
            <w:tcW w:w="66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C65308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Purpose and key decisions</w:t>
            </w:r>
          </w:p>
        </w:tc>
      </w:tr>
      <w:tr w:rsidR="00F55F31" w14:paraId="1EB9F80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AD4E29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AI_GENERATION</w:t>
            </w:r>
          </w:p>
        </w:tc>
        <w:tc>
          <w:tcPr>
            <w:tcW w:w="66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9C356A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 xml:space="preserve">One row per model call, from any feature. Stores the full </w:t>
            </w:r>
            <w:proofErr w:type="spellStart"/>
            <w:r>
              <w:rPr>
                <w:sz w:val="19"/>
                <w:szCs w:val="19"/>
              </w:rPr>
              <w:t>context_snapshot</w:t>
            </w:r>
            <w:proofErr w:type="spellEnd"/>
            <w:r>
              <w:rPr>
                <w:sz w:val="19"/>
                <w:szCs w:val="19"/>
              </w:rPr>
              <w:t xml:space="preserve"> (audit and grounding verification), provider, and the Draft → Approved / Rejected state with approver identity. This single entity is what makes the platform’s governed-AI claims demonstrable: every AI output in the system has a traceable context and a named human approver, and nothing in Draft state is ever client-visible or issuable.</w:t>
            </w:r>
          </w:p>
        </w:tc>
      </w:tr>
    </w:tbl>
    <w:p w14:paraId="5F6CFA2F" w14:textId="77777777" w:rsidR="00F55F31" w:rsidRDefault="00514B31">
      <w:pPr>
        <w:pStyle w:val="Heading1"/>
        <w:spacing w:before="300" w:after="160"/>
      </w:pPr>
      <w:r>
        <w:rPr>
          <w:b/>
          <w:bCs/>
          <w:color w:val="1F3864"/>
          <w:sz w:val="28"/>
          <w:szCs w:val="28"/>
        </w:rPr>
        <w:t>Cross-Cutting Schema Rules</w:t>
      </w:r>
    </w:p>
    <w:tbl>
      <w:tblPr>
        <w:tblW w:w="924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00"/>
        <w:gridCol w:w="6140"/>
      </w:tblGrid>
      <w:tr w:rsidR="00F55F31" w14:paraId="641F38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0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C6CE83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Rule</w:t>
            </w:r>
          </w:p>
        </w:tc>
        <w:tc>
          <w:tcPr>
            <w:tcW w:w="6140" w:type="dxa"/>
            <w:shd w:val="clear" w:color="auto" w:fill="1F3864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ED77F1" w14:textId="77777777" w:rsidR="00F55F31" w:rsidRDefault="00514B31">
            <w:r>
              <w:rPr>
                <w:b/>
                <w:bCs/>
                <w:color w:val="FFFFFF"/>
                <w:sz w:val="19"/>
                <w:szCs w:val="19"/>
              </w:rPr>
              <w:t>Rationale</w:t>
            </w:r>
          </w:p>
        </w:tc>
      </w:tr>
      <w:tr w:rsidR="00F55F31" w14:paraId="63D3C75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BD2DEA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Tenant isolation at the data layer</w:t>
            </w:r>
          </w:p>
        </w:tc>
        <w:tc>
          <w:tcPr>
            <w:tcW w:w="6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9734DD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Every table carries the tenancy chain (</w:t>
            </w:r>
            <w:proofErr w:type="spellStart"/>
            <w:r>
              <w:rPr>
                <w:sz w:val="19"/>
                <w:szCs w:val="19"/>
              </w:rPr>
              <w:t>practice_id</w:t>
            </w:r>
            <w:proofErr w:type="spellEnd"/>
            <w:r>
              <w:rPr>
                <w:sz w:val="19"/>
                <w:szCs w:val="19"/>
              </w:rPr>
              <w:t xml:space="preserve">, and </w:t>
            </w:r>
            <w:proofErr w:type="spellStart"/>
            <w:r>
              <w:rPr>
                <w:sz w:val="19"/>
                <w:szCs w:val="19"/>
              </w:rPr>
              <w:t>client_org_id</w:t>
            </w:r>
            <w:proofErr w:type="spellEnd"/>
            <w:r>
              <w:rPr>
                <w:sz w:val="19"/>
                <w:szCs w:val="19"/>
              </w:rPr>
              <w:t xml:space="preserve"> where applicable) with row-level security or per-tenant schema enforcement — isolation is not left to application code (spec F1.1).</w:t>
            </w:r>
          </w:p>
        </w:tc>
      </w:tr>
      <w:tr w:rsidR="00F55F31" w14:paraId="2A16C00F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944D1F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Immutability where evidence matters</w:t>
            </w:r>
          </w:p>
        </w:tc>
        <w:tc>
          <w:tcPr>
            <w:tcW w:w="61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5F6E49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AUDIT_LOG, TASK_EVIDENCE, issued MONTHLY_REPORT versions, and AI_GENERATION context snapshots are append-only.</w:t>
            </w:r>
          </w:p>
        </w:tc>
      </w:tr>
      <w:tr w:rsidR="00F55F31" w14:paraId="3D899C96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2DB9C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Soft lifecycle, never hard delete</w:t>
            </w:r>
          </w:p>
        </w:tc>
        <w:tc>
          <w:tcPr>
            <w:tcW w:w="6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FD98C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Register entries retire; documents supersede; cases close. Hard deletion exists only as an administrative data-erasure procedure, itself logged.</w:t>
            </w:r>
          </w:p>
        </w:tc>
      </w:tr>
      <w:tr w:rsidR="00F55F31" w14:paraId="17CF909D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90054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Reconciliation by construction</w:t>
            </w:r>
          </w:p>
        </w:tc>
        <w:tc>
          <w:tcPr>
            <w:tcW w:w="614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9E8E8E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 xml:space="preserve">Report figures are stored as </w:t>
            </w:r>
            <w:proofErr w:type="spellStart"/>
            <w:r>
              <w:rPr>
                <w:sz w:val="19"/>
                <w:szCs w:val="19"/>
              </w:rPr>
              <w:t>compiled_data</w:t>
            </w:r>
            <w:proofErr w:type="spellEnd"/>
            <w:r>
              <w:rPr>
                <w:sz w:val="19"/>
                <w:szCs w:val="19"/>
              </w:rPr>
              <w:t xml:space="preserve"> snapshots whose derivation queries are re-runnable — the automated reconciliation test in spec F7 acceptance criteria.</w:t>
            </w:r>
          </w:p>
        </w:tc>
      </w:tr>
      <w:tr w:rsidR="00F55F31" w14:paraId="366827FE" w14:textId="77777777">
        <w:tblPrEx>
          <w:tblCellMar>
            <w:top w:w="0" w:type="dxa"/>
            <w:bottom w:w="0" w:type="dxa"/>
          </w:tblCellMar>
        </w:tblPrEx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EBA544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GDPR readiness without schema change</w:t>
            </w:r>
          </w:p>
        </w:tc>
        <w:tc>
          <w:tcPr>
            <w:tcW w:w="614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2FDE19" w14:textId="77777777" w:rsidR="00F55F31" w:rsidRDefault="00514B31">
            <w:pPr>
              <w:spacing w:line="270" w:lineRule="auto"/>
            </w:pPr>
            <w:r>
              <w:rPr>
                <w:sz w:val="19"/>
                <w:szCs w:val="19"/>
              </w:rPr>
              <w:t>POPIA-native fields map to GDPR Article 30 concepts; the UK localisation in Phase 4 is a presentation view over the same model, not a migration.</w:t>
            </w:r>
          </w:p>
        </w:tc>
      </w:tr>
    </w:tbl>
    <w:p w14:paraId="54D31CFB" w14:textId="77777777" w:rsidR="00514B31" w:rsidRDefault="00514B31"/>
    <w:sectPr w:rsidR="00514B31">
      <w:headerReference w:type="default" r:id="rId9"/>
      <w:footerReference w:type="default" r:id="rId10"/>
      <w:pgSz w:w="11906" w:h="16838"/>
      <w:pgMar w:top="1000" w:right="1180" w:bottom="1000" w:left="11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E853D9" w14:textId="77777777" w:rsidR="00514B31" w:rsidRDefault="00514B31">
      <w:r>
        <w:separator/>
      </w:r>
    </w:p>
  </w:endnote>
  <w:endnote w:type="continuationSeparator" w:id="0">
    <w:p w14:paraId="5148521C" w14:textId="77777777" w:rsidR="00514B31" w:rsidRDefault="00514B3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EA6BB" w14:textId="77777777" w:rsidR="00F55F31" w:rsidRDefault="00514B31">
    <w:pPr>
      <w:jc w:val="center"/>
    </w:pPr>
    <w:r>
      <w:rPr>
        <w:color w:val="808080"/>
        <w:sz w:val="16"/>
        <w:szCs w:val="16"/>
      </w:rPr>
      <w:t xml:space="preserve">Confidential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01EEB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B2152" w14:textId="70362354" w:rsidR="00F55F31" w:rsidRDefault="00514B31">
    <w:pPr>
      <w:jc w:val="center"/>
    </w:pPr>
    <w:r>
      <w:rPr>
        <w:color w:val="808080"/>
        <w:sz w:val="16"/>
        <w:szCs w:val="16"/>
      </w:rPr>
      <w:t xml:space="preserve">Confidential  |  Page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001EEB">
      <w:rPr>
        <w:noProof/>
        <w:color w:val="808080"/>
        <w:sz w:val="16"/>
        <w:szCs w:val="16"/>
      </w:rPr>
      <w:t>3</w:t>
    </w:r>
    <w:r>
      <w:rPr>
        <w:color w:val="8080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CD719C" w14:textId="77777777" w:rsidR="00514B31" w:rsidRDefault="00514B31">
      <w:r>
        <w:separator/>
      </w:r>
    </w:p>
  </w:footnote>
  <w:footnote w:type="continuationSeparator" w:id="0">
    <w:p w14:paraId="678F560E" w14:textId="77777777" w:rsidR="00514B31" w:rsidRDefault="00514B3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54809D" w14:textId="77777777" w:rsidR="00F55F31" w:rsidRDefault="00514B31">
    <w:pPr>
      <w:pBdr>
        <w:bottom w:val="single" w:sz="4" w:space="0" w:color="D9E2F3"/>
      </w:pBdr>
      <w:jc w:val="right"/>
    </w:pPr>
    <w:r>
      <w:rPr>
        <w:color w:val="808080"/>
        <w:sz w:val="16"/>
        <w:szCs w:val="16"/>
      </w:rPr>
      <w:t>MVP Data Model — Entity Dictionary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D5500D"/>
    <w:multiLevelType w:val="hybridMultilevel"/>
    <w:tmpl w:val="87B2256A"/>
    <w:lvl w:ilvl="0" w:tplc="99B089E4">
      <w:start w:val="1"/>
      <w:numFmt w:val="bullet"/>
      <w:lvlText w:val="●"/>
      <w:lvlJc w:val="left"/>
      <w:pPr>
        <w:ind w:left="720" w:hanging="360"/>
      </w:pPr>
    </w:lvl>
    <w:lvl w:ilvl="1" w:tplc="86421F48">
      <w:start w:val="1"/>
      <w:numFmt w:val="bullet"/>
      <w:lvlText w:val="○"/>
      <w:lvlJc w:val="left"/>
      <w:pPr>
        <w:ind w:left="1440" w:hanging="360"/>
      </w:pPr>
    </w:lvl>
    <w:lvl w:ilvl="2" w:tplc="7D185E56">
      <w:start w:val="1"/>
      <w:numFmt w:val="bullet"/>
      <w:lvlText w:val="■"/>
      <w:lvlJc w:val="left"/>
      <w:pPr>
        <w:ind w:left="2160" w:hanging="360"/>
      </w:pPr>
    </w:lvl>
    <w:lvl w:ilvl="3" w:tplc="6BB0BE8E">
      <w:start w:val="1"/>
      <w:numFmt w:val="bullet"/>
      <w:lvlText w:val="●"/>
      <w:lvlJc w:val="left"/>
      <w:pPr>
        <w:ind w:left="2880" w:hanging="360"/>
      </w:pPr>
    </w:lvl>
    <w:lvl w:ilvl="4" w:tplc="EA12330A">
      <w:start w:val="1"/>
      <w:numFmt w:val="bullet"/>
      <w:lvlText w:val="○"/>
      <w:lvlJc w:val="left"/>
      <w:pPr>
        <w:ind w:left="3600" w:hanging="360"/>
      </w:pPr>
    </w:lvl>
    <w:lvl w:ilvl="5" w:tplc="71B6B8FE">
      <w:start w:val="1"/>
      <w:numFmt w:val="bullet"/>
      <w:lvlText w:val="■"/>
      <w:lvlJc w:val="left"/>
      <w:pPr>
        <w:ind w:left="4320" w:hanging="360"/>
      </w:pPr>
    </w:lvl>
    <w:lvl w:ilvl="6" w:tplc="6FFEBB28">
      <w:start w:val="1"/>
      <w:numFmt w:val="bullet"/>
      <w:lvlText w:val="●"/>
      <w:lvlJc w:val="left"/>
      <w:pPr>
        <w:ind w:left="5040" w:hanging="360"/>
      </w:pPr>
    </w:lvl>
    <w:lvl w:ilvl="7" w:tplc="A0A8F406">
      <w:start w:val="1"/>
      <w:numFmt w:val="bullet"/>
      <w:lvlText w:val="●"/>
      <w:lvlJc w:val="left"/>
      <w:pPr>
        <w:ind w:left="5760" w:hanging="360"/>
      </w:pPr>
    </w:lvl>
    <w:lvl w:ilvl="8" w:tplc="0AB665A6">
      <w:start w:val="1"/>
      <w:numFmt w:val="bullet"/>
      <w:lvlText w:val="●"/>
      <w:lvlJc w:val="left"/>
      <w:pPr>
        <w:ind w:left="6480" w:hanging="360"/>
      </w:pPr>
    </w:lvl>
  </w:abstractNum>
  <w:num w:numId="1" w16cid:durableId="17150367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5F31"/>
    <w:rsid w:val="00001EEB"/>
    <w:rsid w:val="00514B31"/>
    <w:rsid w:val="005F5056"/>
    <w:rsid w:val="00F55F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9646D"/>
  <w15:docId w15:val="{C8ABE988-5B06-4A22-A3E4-3A2CC569B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781</Words>
  <Characters>4942</Characters>
  <Application>Microsoft Office Word</Application>
  <DocSecurity>0</DocSecurity>
  <Lines>100</Lines>
  <Paragraphs>70</Paragraphs>
  <ScaleCrop>false</ScaleCrop>
  <Company/>
  <LinksUpToDate>false</LinksUpToDate>
  <CharactersWithSpaces>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William Despard</cp:lastModifiedBy>
  <cp:revision>2</cp:revision>
  <dcterms:created xsi:type="dcterms:W3CDTF">2026-07-17T05:26:00Z</dcterms:created>
  <dcterms:modified xsi:type="dcterms:W3CDTF">2026-07-17T05:26:00Z</dcterms:modified>
</cp:coreProperties>
</file>