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7412" w14:textId="77777777" w:rsidR="00AD76AC" w:rsidRDefault="002657CA">
      <w:pPr>
        <w:spacing w:before="2400" w:after="200"/>
        <w:jc w:val="center"/>
      </w:pPr>
      <w:r>
        <w:rPr>
          <w:caps/>
          <w:color w:val="2E74B5"/>
          <w:spacing w:val="40"/>
          <w:sz w:val="26"/>
          <w:szCs w:val="26"/>
        </w:rPr>
        <w:t>PRODUCT SCOPE DOCUMENT</w:t>
      </w:r>
    </w:p>
    <w:p w14:paraId="08E6D82B" w14:textId="77777777" w:rsidR="00AD76AC" w:rsidRDefault="002657CA">
      <w:pPr>
        <w:spacing w:after="240"/>
        <w:jc w:val="center"/>
      </w:pPr>
      <w:r>
        <w:rPr>
          <w:b/>
          <w:bCs/>
          <w:color w:val="1F3864"/>
          <w:sz w:val="48"/>
          <w:szCs w:val="48"/>
        </w:rPr>
        <w:t>AI-Powered Privacy &amp; Compliance Management Platform</w:t>
      </w:r>
    </w:p>
    <w:p w14:paraId="1AFFA664" w14:textId="77777777" w:rsidR="00AD76AC" w:rsidRDefault="002657CA">
      <w:pPr>
        <w:spacing w:after="1600"/>
        <w:jc w:val="center"/>
      </w:pPr>
      <w:r>
        <w:rPr>
          <w:i/>
          <w:iCs/>
          <w:color w:val="595959"/>
        </w:rPr>
        <w:t>Privacy Framework Management  |  DIO Management  |  Monthly Reporting  |  Cybersecurity Framework Mapping</w:t>
      </w:r>
    </w:p>
    <w:p w14:paraId="5C9F09B7" w14:textId="77777777" w:rsidR="00AD76AC" w:rsidRDefault="002657CA">
      <w:pPr>
        <w:spacing w:after="80"/>
        <w:jc w:val="center"/>
      </w:pPr>
      <w:r>
        <w:t>Version 1.1  —  July 2026</w:t>
      </w:r>
    </w:p>
    <w:p w14:paraId="5C44A4F2" w14:textId="77777777" w:rsidR="00AD76AC" w:rsidRDefault="002657CA">
      <w:pPr>
        <w:jc w:val="center"/>
      </w:pPr>
      <w:r>
        <w:rPr>
          <w:color w:val="595959"/>
        </w:rPr>
        <w:t>Prepared for internal scoping and market validation</w:t>
      </w:r>
    </w:p>
    <w:p w14:paraId="5078AE3B" w14:textId="77777777" w:rsidR="00AD76AC" w:rsidRDefault="002657CA">
      <w:pPr>
        <w:spacing w:before="200"/>
        <w:jc w:val="center"/>
      </w:pPr>
      <w:r>
        <w:rPr>
          <w:b/>
          <w:bCs/>
          <w:color w:val="C00000"/>
          <w:sz w:val="18"/>
          <w:szCs w:val="18"/>
        </w:rPr>
        <w:t>CONFIDENTIAL — COMMERCIAL IN CONFIDENCE</w:t>
      </w:r>
    </w:p>
    <w:p w14:paraId="40C0F0DD" w14:textId="77777777" w:rsidR="00AD76AC" w:rsidRDefault="002657CA">
      <w:r>
        <w:br w:type="page"/>
      </w:r>
    </w:p>
    <w:p w14:paraId="44E5298C" w14:textId="77777777" w:rsidR="00AD76AC" w:rsidRDefault="002657CA">
      <w:pPr>
        <w:pStyle w:val="Heading1"/>
        <w:spacing w:before="360" w:after="200"/>
      </w:pPr>
      <w:bookmarkStart w:id="0" w:name="_Toc235165441"/>
      <w:r>
        <w:rPr>
          <w:b/>
          <w:bCs/>
          <w:color w:val="1F3864"/>
          <w:sz w:val="30"/>
          <w:szCs w:val="30"/>
        </w:rPr>
        <w:lastRenderedPageBreak/>
        <w:t>Contents</w:t>
      </w:r>
      <w:bookmarkEnd w:id="0"/>
    </w:p>
    <w:sdt>
      <w:sdtPr>
        <w:alias w:val="Table of Contents"/>
        <w:id w:val="262354826"/>
      </w:sdtPr>
      <w:sdtEndPr/>
      <w:sdtContent>
        <w:p w14:paraId="2677C2D7" w14:textId="77777777" w:rsidR="00211D13" w:rsidRDefault="002657CA">
          <w:pPr>
            <w:pStyle w:val="TOC1"/>
            <w:tabs>
              <w:tab w:val="right" w:leader="dot" w:pos="9536"/>
            </w:tabs>
            <w:rPr>
              <w:noProof/>
            </w:rPr>
          </w:pPr>
          <w:r>
            <w:fldChar w:fldCharType="begin"/>
          </w:r>
          <w:r>
            <w:instrText>TOC \h \o "1-2"</w:instrText>
          </w:r>
          <w:r>
            <w:fldChar w:fldCharType="separate"/>
          </w:r>
          <w:hyperlink w:anchor="_Toc235165441" w:history="1">
            <w:r w:rsidR="00211D13" w:rsidRPr="009C7C42">
              <w:rPr>
                <w:rStyle w:val="Hyperlink"/>
                <w:b/>
                <w:bCs/>
                <w:noProof/>
              </w:rPr>
              <w:t>Contents</w:t>
            </w:r>
            <w:r w:rsidR="00211D13">
              <w:rPr>
                <w:noProof/>
              </w:rPr>
              <w:tab/>
            </w:r>
            <w:r w:rsidR="00211D13">
              <w:rPr>
                <w:noProof/>
              </w:rPr>
              <w:fldChar w:fldCharType="begin"/>
            </w:r>
            <w:r w:rsidR="00211D13">
              <w:rPr>
                <w:noProof/>
              </w:rPr>
              <w:instrText xml:space="preserve"> PAGEREF _Toc235165441 \h </w:instrText>
            </w:r>
            <w:r w:rsidR="00211D13">
              <w:rPr>
                <w:noProof/>
              </w:rPr>
            </w:r>
            <w:r w:rsidR="00211D13">
              <w:rPr>
                <w:noProof/>
              </w:rPr>
              <w:fldChar w:fldCharType="separate"/>
            </w:r>
            <w:r w:rsidR="00211D13">
              <w:rPr>
                <w:noProof/>
              </w:rPr>
              <w:t>1</w:t>
            </w:r>
            <w:r w:rsidR="00211D13">
              <w:rPr>
                <w:noProof/>
              </w:rPr>
              <w:fldChar w:fldCharType="end"/>
            </w:r>
          </w:hyperlink>
        </w:p>
        <w:p w14:paraId="5B7A89EC" w14:textId="77777777" w:rsidR="00211D13" w:rsidRDefault="00211D13">
          <w:pPr>
            <w:pStyle w:val="TOC1"/>
            <w:tabs>
              <w:tab w:val="right" w:leader="dot" w:pos="9536"/>
            </w:tabs>
            <w:rPr>
              <w:noProof/>
            </w:rPr>
          </w:pPr>
          <w:hyperlink w:anchor="_Toc235165442" w:history="1">
            <w:r w:rsidRPr="009C7C42">
              <w:rPr>
                <w:rStyle w:val="Hyperlink"/>
                <w:b/>
                <w:bCs/>
                <w:noProof/>
              </w:rPr>
              <w:t>1. Product Vision</w:t>
            </w:r>
            <w:r>
              <w:rPr>
                <w:noProof/>
              </w:rPr>
              <w:tab/>
            </w:r>
            <w:r>
              <w:rPr>
                <w:noProof/>
              </w:rPr>
              <w:fldChar w:fldCharType="begin"/>
            </w:r>
            <w:r>
              <w:rPr>
                <w:noProof/>
              </w:rPr>
              <w:instrText xml:space="preserve"> PAGEREF _Toc235165442 \h </w:instrText>
            </w:r>
            <w:r>
              <w:rPr>
                <w:noProof/>
              </w:rPr>
            </w:r>
            <w:r>
              <w:rPr>
                <w:noProof/>
              </w:rPr>
              <w:fldChar w:fldCharType="separate"/>
            </w:r>
            <w:r>
              <w:rPr>
                <w:noProof/>
              </w:rPr>
              <w:t>1</w:t>
            </w:r>
            <w:r>
              <w:rPr>
                <w:noProof/>
              </w:rPr>
              <w:fldChar w:fldCharType="end"/>
            </w:r>
          </w:hyperlink>
        </w:p>
        <w:p w14:paraId="0709F815" w14:textId="77777777" w:rsidR="00211D13" w:rsidRDefault="00211D13">
          <w:pPr>
            <w:pStyle w:val="TOC1"/>
            <w:tabs>
              <w:tab w:val="right" w:leader="dot" w:pos="9536"/>
            </w:tabs>
            <w:rPr>
              <w:noProof/>
            </w:rPr>
          </w:pPr>
          <w:hyperlink w:anchor="_Toc235165443" w:history="1">
            <w:r w:rsidRPr="009C7C42">
              <w:rPr>
                <w:rStyle w:val="Hyperlink"/>
                <w:b/>
                <w:bCs/>
                <w:noProof/>
              </w:rPr>
              <w:t>2. Target Market and Ideal Customer Profile</w:t>
            </w:r>
            <w:r>
              <w:rPr>
                <w:noProof/>
              </w:rPr>
              <w:tab/>
            </w:r>
            <w:r>
              <w:rPr>
                <w:noProof/>
              </w:rPr>
              <w:fldChar w:fldCharType="begin"/>
            </w:r>
            <w:r>
              <w:rPr>
                <w:noProof/>
              </w:rPr>
              <w:instrText xml:space="preserve"> PAGEREF _Toc235165443 \h </w:instrText>
            </w:r>
            <w:r>
              <w:rPr>
                <w:noProof/>
              </w:rPr>
            </w:r>
            <w:r>
              <w:rPr>
                <w:noProof/>
              </w:rPr>
              <w:fldChar w:fldCharType="separate"/>
            </w:r>
            <w:r>
              <w:rPr>
                <w:noProof/>
              </w:rPr>
              <w:t>1</w:t>
            </w:r>
            <w:r>
              <w:rPr>
                <w:noProof/>
              </w:rPr>
              <w:fldChar w:fldCharType="end"/>
            </w:r>
          </w:hyperlink>
        </w:p>
        <w:p w14:paraId="247EECD6" w14:textId="77777777" w:rsidR="00211D13" w:rsidRDefault="00211D13">
          <w:pPr>
            <w:pStyle w:val="TOC2"/>
            <w:tabs>
              <w:tab w:val="right" w:leader="dot" w:pos="9536"/>
            </w:tabs>
            <w:rPr>
              <w:noProof/>
            </w:rPr>
          </w:pPr>
          <w:hyperlink w:anchor="_Toc235165444" w:history="1">
            <w:r w:rsidRPr="009C7C42">
              <w:rPr>
                <w:rStyle w:val="Hyperlink"/>
                <w:b/>
                <w:bCs/>
                <w:noProof/>
              </w:rPr>
              <w:t>2.1 Primary ICP — SMB Direct</w:t>
            </w:r>
            <w:r>
              <w:rPr>
                <w:noProof/>
              </w:rPr>
              <w:tab/>
            </w:r>
            <w:r>
              <w:rPr>
                <w:noProof/>
              </w:rPr>
              <w:fldChar w:fldCharType="begin"/>
            </w:r>
            <w:r>
              <w:rPr>
                <w:noProof/>
              </w:rPr>
              <w:instrText xml:space="preserve"> PAGEREF _Toc235165444 \h </w:instrText>
            </w:r>
            <w:r>
              <w:rPr>
                <w:noProof/>
              </w:rPr>
            </w:r>
            <w:r>
              <w:rPr>
                <w:noProof/>
              </w:rPr>
              <w:fldChar w:fldCharType="separate"/>
            </w:r>
            <w:r>
              <w:rPr>
                <w:noProof/>
              </w:rPr>
              <w:t>1</w:t>
            </w:r>
            <w:r>
              <w:rPr>
                <w:noProof/>
              </w:rPr>
              <w:fldChar w:fldCharType="end"/>
            </w:r>
          </w:hyperlink>
        </w:p>
        <w:p w14:paraId="345091DA" w14:textId="77777777" w:rsidR="00211D13" w:rsidRDefault="00211D13">
          <w:pPr>
            <w:pStyle w:val="TOC2"/>
            <w:tabs>
              <w:tab w:val="right" w:leader="dot" w:pos="9536"/>
            </w:tabs>
            <w:rPr>
              <w:noProof/>
            </w:rPr>
          </w:pPr>
          <w:hyperlink w:anchor="_Toc235165445" w:history="1">
            <w:r w:rsidRPr="009C7C42">
              <w:rPr>
                <w:rStyle w:val="Hyperlink"/>
                <w:b/>
                <w:bCs/>
                <w:noProof/>
              </w:rPr>
              <w:t>2.2 Secondary ICP — The Channel (the go-to-market wedge)</w:t>
            </w:r>
            <w:r>
              <w:rPr>
                <w:noProof/>
              </w:rPr>
              <w:tab/>
            </w:r>
            <w:r>
              <w:rPr>
                <w:noProof/>
              </w:rPr>
              <w:fldChar w:fldCharType="begin"/>
            </w:r>
            <w:r>
              <w:rPr>
                <w:noProof/>
              </w:rPr>
              <w:instrText xml:space="preserve"> PAGEREF _Toc235165445 \h </w:instrText>
            </w:r>
            <w:r>
              <w:rPr>
                <w:noProof/>
              </w:rPr>
            </w:r>
            <w:r>
              <w:rPr>
                <w:noProof/>
              </w:rPr>
              <w:fldChar w:fldCharType="separate"/>
            </w:r>
            <w:r>
              <w:rPr>
                <w:noProof/>
              </w:rPr>
              <w:t>1</w:t>
            </w:r>
            <w:r>
              <w:rPr>
                <w:noProof/>
              </w:rPr>
              <w:fldChar w:fldCharType="end"/>
            </w:r>
          </w:hyperlink>
        </w:p>
        <w:p w14:paraId="11F8364F" w14:textId="77777777" w:rsidR="00211D13" w:rsidRDefault="00211D13">
          <w:pPr>
            <w:pStyle w:val="TOC2"/>
            <w:tabs>
              <w:tab w:val="right" w:leader="dot" w:pos="9536"/>
            </w:tabs>
            <w:rPr>
              <w:noProof/>
            </w:rPr>
          </w:pPr>
          <w:hyperlink w:anchor="_Toc235165446" w:history="1">
            <w:r w:rsidRPr="009C7C42">
              <w:rPr>
                <w:rStyle w:val="Hyperlink"/>
                <w:b/>
                <w:bCs/>
                <w:noProof/>
              </w:rPr>
              <w:t>2.3 Geographic Sequencing</w:t>
            </w:r>
            <w:r>
              <w:rPr>
                <w:noProof/>
              </w:rPr>
              <w:tab/>
            </w:r>
            <w:r>
              <w:rPr>
                <w:noProof/>
              </w:rPr>
              <w:fldChar w:fldCharType="begin"/>
            </w:r>
            <w:r>
              <w:rPr>
                <w:noProof/>
              </w:rPr>
              <w:instrText xml:space="preserve"> PAGEREF _Toc235165446 \h </w:instrText>
            </w:r>
            <w:r>
              <w:rPr>
                <w:noProof/>
              </w:rPr>
            </w:r>
            <w:r>
              <w:rPr>
                <w:noProof/>
              </w:rPr>
              <w:fldChar w:fldCharType="separate"/>
            </w:r>
            <w:r>
              <w:rPr>
                <w:noProof/>
              </w:rPr>
              <w:t>1</w:t>
            </w:r>
            <w:r>
              <w:rPr>
                <w:noProof/>
              </w:rPr>
              <w:fldChar w:fldCharType="end"/>
            </w:r>
          </w:hyperlink>
        </w:p>
        <w:p w14:paraId="7A482D91" w14:textId="77777777" w:rsidR="00211D13" w:rsidRDefault="00211D13">
          <w:pPr>
            <w:pStyle w:val="TOC1"/>
            <w:tabs>
              <w:tab w:val="right" w:leader="dot" w:pos="9536"/>
            </w:tabs>
            <w:rPr>
              <w:noProof/>
            </w:rPr>
          </w:pPr>
          <w:hyperlink w:anchor="_Toc235165447" w:history="1">
            <w:r w:rsidRPr="009C7C42">
              <w:rPr>
                <w:rStyle w:val="Hyperlink"/>
                <w:b/>
                <w:bCs/>
                <w:noProof/>
              </w:rPr>
              <w:t>3. Module 1 — POPIA &amp; GDPR Compliance Assessment (Part One)</w:t>
            </w:r>
            <w:r>
              <w:rPr>
                <w:noProof/>
              </w:rPr>
              <w:tab/>
            </w:r>
            <w:r>
              <w:rPr>
                <w:noProof/>
              </w:rPr>
              <w:fldChar w:fldCharType="begin"/>
            </w:r>
            <w:r>
              <w:rPr>
                <w:noProof/>
              </w:rPr>
              <w:instrText xml:space="preserve"> PAGEREF _Toc235165447 \h </w:instrText>
            </w:r>
            <w:r>
              <w:rPr>
                <w:noProof/>
              </w:rPr>
            </w:r>
            <w:r>
              <w:rPr>
                <w:noProof/>
              </w:rPr>
              <w:fldChar w:fldCharType="separate"/>
            </w:r>
            <w:r>
              <w:rPr>
                <w:noProof/>
              </w:rPr>
              <w:t>1</w:t>
            </w:r>
            <w:r>
              <w:rPr>
                <w:noProof/>
              </w:rPr>
              <w:fldChar w:fldCharType="end"/>
            </w:r>
          </w:hyperlink>
        </w:p>
        <w:p w14:paraId="3E090EB5" w14:textId="77777777" w:rsidR="00211D13" w:rsidRDefault="00211D13">
          <w:pPr>
            <w:pStyle w:val="TOC2"/>
            <w:tabs>
              <w:tab w:val="right" w:leader="dot" w:pos="9536"/>
            </w:tabs>
            <w:rPr>
              <w:noProof/>
            </w:rPr>
          </w:pPr>
          <w:hyperlink w:anchor="_Toc235165448" w:history="1">
            <w:r w:rsidRPr="009C7C42">
              <w:rPr>
                <w:rStyle w:val="Hyperlink"/>
                <w:b/>
                <w:bCs/>
                <w:noProof/>
              </w:rPr>
              <w:t>3.1 Assessment Engine</w:t>
            </w:r>
            <w:r>
              <w:rPr>
                <w:noProof/>
              </w:rPr>
              <w:tab/>
            </w:r>
            <w:r>
              <w:rPr>
                <w:noProof/>
              </w:rPr>
              <w:fldChar w:fldCharType="begin"/>
            </w:r>
            <w:r>
              <w:rPr>
                <w:noProof/>
              </w:rPr>
              <w:instrText xml:space="preserve"> PAGEREF _Toc235165448 \h </w:instrText>
            </w:r>
            <w:r>
              <w:rPr>
                <w:noProof/>
              </w:rPr>
            </w:r>
            <w:r>
              <w:rPr>
                <w:noProof/>
              </w:rPr>
              <w:fldChar w:fldCharType="separate"/>
            </w:r>
            <w:r>
              <w:rPr>
                <w:noProof/>
              </w:rPr>
              <w:t>1</w:t>
            </w:r>
            <w:r>
              <w:rPr>
                <w:noProof/>
              </w:rPr>
              <w:fldChar w:fldCharType="end"/>
            </w:r>
          </w:hyperlink>
        </w:p>
        <w:p w14:paraId="7C86197B" w14:textId="77777777" w:rsidR="00211D13" w:rsidRDefault="00211D13">
          <w:pPr>
            <w:pStyle w:val="TOC2"/>
            <w:tabs>
              <w:tab w:val="right" w:leader="dot" w:pos="9536"/>
            </w:tabs>
            <w:rPr>
              <w:noProof/>
            </w:rPr>
          </w:pPr>
          <w:hyperlink w:anchor="_Toc235165449" w:history="1">
            <w:r w:rsidRPr="009C7C42">
              <w:rPr>
                <w:rStyle w:val="Hyperlink"/>
                <w:b/>
                <w:bCs/>
                <w:noProof/>
              </w:rPr>
              <w:t>3.2 Delivery Modes</w:t>
            </w:r>
            <w:r>
              <w:rPr>
                <w:noProof/>
              </w:rPr>
              <w:tab/>
            </w:r>
            <w:r>
              <w:rPr>
                <w:noProof/>
              </w:rPr>
              <w:fldChar w:fldCharType="begin"/>
            </w:r>
            <w:r>
              <w:rPr>
                <w:noProof/>
              </w:rPr>
              <w:instrText xml:space="preserve"> PAGEREF _Toc235165449 \h </w:instrText>
            </w:r>
            <w:r>
              <w:rPr>
                <w:noProof/>
              </w:rPr>
            </w:r>
            <w:r>
              <w:rPr>
                <w:noProof/>
              </w:rPr>
              <w:fldChar w:fldCharType="separate"/>
            </w:r>
            <w:r>
              <w:rPr>
                <w:noProof/>
              </w:rPr>
              <w:t>1</w:t>
            </w:r>
            <w:r>
              <w:rPr>
                <w:noProof/>
              </w:rPr>
              <w:fldChar w:fldCharType="end"/>
            </w:r>
          </w:hyperlink>
        </w:p>
        <w:p w14:paraId="3F8C7AD2" w14:textId="77777777" w:rsidR="00211D13" w:rsidRDefault="00211D13">
          <w:pPr>
            <w:pStyle w:val="TOC2"/>
            <w:tabs>
              <w:tab w:val="right" w:leader="dot" w:pos="9536"/>
            </w:tabs>
            <w:rPr>
              <w:noProof/>
            </w:rPr>
          </w:pPr>
          <w:hyperlink w:anchor="_Toc235165450" w:history="1">
            <w:r w:rsidRPr="009C7C42">
              <w:rPr>
                <w:rStyle w:val="Hyperlink"/>
                <w:b/>
                <w:bCs/>
                <w:noProof/>
              </w:rPr>
              <w:t>3.3 Outputs</w:t>
            </w:r>
            <w:r>
              <w:rPr>
                <w:noProof/>
              </w:rPr>
              <w:tab/>
            </w:r>
            <w:r>
              <w:rPr>
                <w:noProof/>
              </w:rPr>
              <w:fldChar w:fldCharType="begin"/>
            </w:r>
            <w:r>
              <w:rPr>
                <w:noProof/>
              </w:rPr>
              <w:instrText xml:space="preserve"> PAGEREF _Toc235165450 \h </w:instrText>
            </w:r>
            <w:r>
              <w:rPr>
                <w:noProof/>
              </w:rPr>
            </w:r>
            <w:r>
              <w:rPr>
                <w:noProof/>
              </w:rPr>
              <w:fldChar w:fldCharType="separate"/>
            </w:r>
            <w:r>
              <w:rPr>
                <w:noProof/>
              </w:rPr>
              <w:t>1</w:t>
            </w:r>
            <w:r>
              <w:rPr>
                <w:noProof/>
              </w:rPr>
              <w:fldChar w:fldCharType="end"/>
            </w:r>
          </w:hyperlink>
        </w:p>
        <w:p w14:paraId="0B509CF0" w14:textId="77777777" w:rsidR="00211D13" w:rsidRDefault="00211D13">
          <w:pPr>
            <w:pStyle w:val="TOC2"/>
            <w:tabs>
              <w:tab w:val="right" w:leader="dot" w:pos="9536"/>
            </w:tabs>
            <w:rPr>
              <w:noProof/>
            </w:rPr>
          </w:pPr>
          <w:hyperlink w:anchor="_Toc235165451" w:history="1">
            <w:r w:rsidRPr="009C7C42">
              <w:rPr>
                <w:rStyle w:val="Hyperlink"/>
                <w:b/>
                <w:bCs/>
                <w:noProof/>
              </w:rPr>
              <w:t>3.4 Assessment-to-Management Conversion</w:t>
            </w:r>
            <w:r>
              <w:rPr>
                <w:noProof/>
              </w:rPr>
              <w:tab/>
            </w:r>
            <w:r>
              <w:rPr>
                <w:noProof/>
              </w:rPr>
              <w:fldChar w:fldCharType="begin"/>
            </w:r>
            <w:r>
              <w:rPr>
                <w:noProof/>
              </w:rPr>
              <w:instrText xml:space="preserve"> PAGEREF _Toc235165451 \h </w:instrText>
            </w:r>
            <w:r>
              <w:rPr>
                <w:noProof/>
              </w:rPr>
            </w:r>
            <w:r>
              <w:rPr>
                <w:noProof/>
              </w:rPr>
              <w:fldChar w:fldCharType="separate"/>
            </w:r>
            <w:r>
              <w:rPr>
                <w:noProof/>
              </w:rPr>
              <w:t>1</w:t>
            </w:r>
            <w:r>
              <w:rPr>
                <w:noProof/>
              </w:rPr>
              <w:fldChar w:fldCharType="end"/>
            </w:r>
          </w:hyperlink>
        </w:p>
        <w:p w14:paraId="2EA16414" w14:textId="77777777" w:rsidR="00211D13" w:rsidRDefault="00211D13">
          <w:pPr>
            <w:pStyle w:val="TOC2"/>
            <w:tabs>
              <w:tab w:val="right" w:leader="dot" w:pos="9536"/>
            </w:tabs>
            <w:rPr>
              <w:noProof/>
            </w:rPr>
          </w:pPr>
          <w:hyperlink w:anchor="_Toc235165452" w:history="1">
            <w:r w:rsidRPr="009C7C42">
              <w:rPr>
                <w:rStyle w:val="Hyperlink"/>
                <w:b/>
                <w:bCs/>
                <w:noProof/>
              </w:rPr>
              <w:t>3.5 Reassessment and Trend</w:t>
            </w:r>
            <w:r>
              <w:rPr>
                <w:noProof/>
              </w:rPr>
              <w:tab/>
            </w:r>
            <w:r>
              <w:rPr>
                <w:noProof/>
              </w:rPr>
              <w:fldChar w:fldCharType="begin"/>
            </w:r>
            <w:r>
              <w:rPr>
                <w:noProof/>
              </w:rPr>
              <w:instrText xml:space="preserve"> PAGEREF _Toc235165452 \h </w:instrText>
            </w:r>
            <w:r>
              <w:rPr>
                <w:noProof/>
              </w:rPr>
            </w:r>
            <w:r>
              <w:rPr>
                <w:noProof/>
              </w:rPr>
              <w:fldChar w:fldCharType="separate"/>
            </w:r>
            <w:r>
              <w:rPr>
                <w:noProof/>
              </w:rPr>
              <w:t>1</w:t>
            </w:r>
            <w:r>
              <w:rPr>
                <w:noProof/>
              </w:rPr>
              <w:fldChar w:fldCharType="end"/>
            </w:r>
          </w:hyperlink>
        </w:p>
        <w:p w14:paraId="00891249" w14:textId="77777777" w:rsidR="00211D13" w:rsidRDefault="00211D13">
          <w:pPr>
            <w:pStyle w:val="TOC1"/>
            <w:tabs>
              <w:tab w:val="right" w:leader="dot" w:pos="9536"/>
            </w:tabs>
            <w:rPr>
              <w:noProof/>
            </w:rPr>
          </w:pPr>
          <w:hyperlink w:anchor="_Toc235165453" w:history="1">
            <w:r w:rsidRPr="009C7C42">
              <w:rPr>
                <w:rStyle w:val="Hyperlink"/>
                <w:b/>
                <w:bCs/>
                <w:noProof/>
              </w:rPr>
              <w:t>4. Module 2 — Privacy Framework Management</w:t>
            </w:r>
            <w:r>
              <w:rPr>
                <w:noProof/>
              </w:rPr>
              <w:tab/>
            </w:r>
            <w:r>
              <w:rPr>
                <w:noProof/>
              </w:rPr>
              <w:fldChar w:fldCharType="begin"/>
            </w:r>
            <w:r>
              <w:rPr>
                <w:noProof/>
              </w:rPr>
              <w:instrText xml:space="preserve"> PAGEREF _Toc235165453 \h </w:instrText>
            </w:r>
            <w:r>
              <w:rPr>
                <w:noProof/>
              </w:rPr>
            </w:r>
            <w:r>
              <w:rPr>
                <w:noProof/>
              </w:rPr>
              <w:fldChar w:fldCharType="separate"/>
            </w:r>
            <w:r>
              <w:rPr>
                <w:noProof/>
              </w:rPr>
              <w:t>1</w:t>
            </w:r>
            <w:r>
              <w:rPr>
                <w:noProof/>
              </w:rPr>
              <w:fldChar w:fldCharType="end"/>
            </w:r>
          </w:hyperlink>
        </w:p>
        <w:p w14:paraId="258F24C8" w14:textId="77777777" w:rsidR="00211D13" w:rsidRDefault="00211D13">
          <w:pPr>
            <w:pStyle w:val="TOC2"/>
            <w:tabs>
              <w:tab w:val="right" w:leader="dot" w:pos="9536"/>
            </w:tabs>
            <w:rPr>
              <w:noProof/>
            </w:rPr>
          </w:pPr>
          <w:hyperlink w:anchor="_Toc235165454" w:history="1">
            <w:r w:rsidRPr="009C7C42">
              <w:rPr>
                <w:rStyle w:val="Hyperlink"/>
                <w:b/>
                <w:bCs/>
                <w:noProof/>
              </w:rPr>
              <w:t>4.1 Records of Processing (ROPA)</w:t>
            </w:r>
            <w:r>
              <w:rPr>
                <w:noProof/>
              </w:rPr>
              <w:tab/>
            </w:r>
            <w:r>
              <w:rPr>
                <w:noProof/>
              </w:rPr>
              <w:fldChar w:fldCharType="begin"/>
            </w:r>
            <w:r>
              <w:rPr>
                <w:noProof/>
              </w:rPr>
              <w:instrText xml:space="preserve"> PAGEREF _Toc235165454 \h </w:instrText>
            </w:r>
            <w:r>
              <w:rPr>
                <w:noProof/>
              </w:rPr>
            </w:r>
            <w:r>
              <w:rPr>
                <w:noProof/>
              </w:rPr>
              <w:fldChar w:fldCharType="separate"/>
            </w:r>
            <w:r>
              <w:rPr>
                <w:noProof/>
              </w:rPr>
              <w:t>1</w:t>
            </w:r>
            <w:r>
              <w:rPr>
                <w:noProof/>
              </w:rPr>
              <w:fldChar w:fldCharType="end"/>
            </w:r>
          </w:hyperlink>
        </w:p>
        <w:p w14:paraId="7F82D137" w14:textId="77777777" w:rsidR="00211D13" w:rsidRDefault="00211D13">
          <w:pPr>
            <w:pStyle w:val="TOC2"/>
            <w:tabs>
              <w:tab w:val="right" w:leader="dot" w:pos="9536"/>
            </w:tabs>
            <w:rPr>
              <w:noProof/>
            </w:rPr>
          </w:pPr>
          <w:hyperlink w:anchor="_Toc235165455" w:history="1">
            <w:r w:rsidRPr="009C7C42">
              <w:rPr>
                <w:rStyle w:val="Hyperlink"/>
                <w:b/>
                <w:bCs/>
                <w:noProof/>
              </w:rPr>
              <w:t>4.2 DPIA / Risk Assessment Workflow</w:t>
            </w:r>
            <w:r>
              <w:rPr>
                <w:noProof/>
              </w:rPr>
              <w:tab/>
            </w:r>
            <w:r>
              <w:rPr>
                <w:noProof/>
              </w:rPr>
              <w:fldChar w:fldCharType="begin"/>
            </w:r>
            <w:r>
              <w:rPr>
                <w:noProof/>
              </w:rPr>
              <w:instrText xml:space="preserve"> PAGEREF _Toc235165455 \h </w:instrText>
            </w:r>
            <w:r>
              <w:rPr>
                <w:noProof/>
              </w:rPr>
            </w:r>
            <w:r>
              <w:rPr>
                <w:noProof/>
              </w:rPr>
              <w:fldChar w:fldCharType="separate"/>
            </w:r>
            <w:r>
              <w:rPr>
                <w:noProof/>
              </w:rPr>
              <w:t>1</w:t>
            </w:r>
            <w:r>
              <w:rPr>
                <w:noProof/>
              </w:rPr>
              <w:fldChar w:fldCharType="end"/>
            </w:r>
          </w:hyperlink>
        </w:p>
        <w:p w14:paraId="58A1180A" w14:textId="77777777" w:rsidR="00211D13" w:rsidRDefault="00211D13">
          <w:pPr>
            <w:pStyle w:val="TOC2"/>
            <w:tabs>
              <w:tab w:val="right" w:leader="dot" w:pos="9536"/>
            </w:tabs>
            <w:rPr>
              <w:noProof/>
            </w:rPr>
          </w:pPr>
          <w:hyperlink w:anchor="_Toc235165456" w:history="1">
            <w:r w:rsidRPr="009C7C42">
              <w:rPr>
                <w:rStyle w:val="Hyperlink"/>
                <w:b/>
                <w:bCs/>
                <w:noProof/>
              </w:rPr>
              <w:t>4.3 Operator and Vendor Management</w:t>
            </w:r>
            <w:r>
              <w:rPr>
                <w:noProof/>
              </w:rPr>
              <w:tab/>
            </w:r>
            <w:r>
              <w:rPr>
                <w:noProof/>
              </w:rPr>
              <w:fldChar w:fldCharType="begin"/>
            </w:r>
            <w:r>
              <w:rPr>
                <w:noProof/>
              </w:rPr>
              <w:instrText xml:space="preserve"> PAGEREF _Toc235165456 \h </w:instrText>
            </w:r>
            <w:r>
              <w:rPr>
                <w:noProof/>
              </w:rPr>
            </w:r>
            <w:r>
              <w:rPr>
                <w:noProof/>
              </w:rPr>
              <w:fldChar w:fldCharType="separate"/>
            </w:r>
            <w:r>
              <w:rPr>
                <w:noProof/>
              </w:rPr>
              <w:t>1</w:t>
            </w:r>
            <w:r>
              <w:rPr>
                <w:noProof/>
              </w:rPr>
              <w:fldChar w:fldCharType="end"/>
            </w:r>
          </w:hyperlink>
        </w:p>
        <w:p w14:paraId="37240CD4" w14:textId="77777777" w:rsidR="00211D13" w:rsidRDefault="00211D13">
          <w:pPr>
            <w:pStyle w:val="TOC2"/>
            <w:tabs>
              <w:tab w:val="right" w:leader="dot" w:pos="9536"/>
            </w:tabs>
            <w:rPr>
              <w:noProof/>
            </w:rPr>
          </w:pPr>
          <w:hyperlink w:anchor="_Toc235165457" w:history="1">
            <w:r w:rsidRPr="009C7C42">
              <w:rPr>
                <w:rStyle w:val="Hyperlink"/>
                <w:b/>
                <w:bCs/>
                <w:noProof/>
              </w:rPr>
              <w:t>4.4 Data Subject Rights (DSAR)</w:t>
            </w:r>
            <w:r>
              <w:rPr>
                <w:noProof/>
              </w:rPr>
              <w:tab/>
            </w:r>
            <w:r>
              <w:rPr>
                <w:noProof/>
              </w:rPr>
              <w:fldChar w:fldCharType="begin"/>
            </w:r>
            <w:r>
              <w:rPr>
                <w:noProof/>
              </w:rPr>
              <w:instrText xml:space="preserve"> PAGEREF _Toc235165457 \h </w:instrText>
            </w:r>
            <w:r>
              <w:rPr>
                <w:noProof/>
              </w:rPr>
            </w:r>
            <w:r>
              <w:rPr>
                <w:noProof/>
              </w:rPr>
              <w:fldChar w:fldCharType="separate"/>
            </w:r>
            <w:r>
              <w:rPr>
                <w:noProof/>
              </w:rPr>
              <w:t>1</w:t>
            </w:r>
            <w:r>
              <w:rPr>
                <w:noProof/>
              </w:rPr>
              <w:fldChar w:fldCharType="end"/>
            </w:r>
          </w:hyperlink>
        </w:p>
        <w:p w14:paraId="7D0CE8A5" w14:textId="77777777" w:rsidR="00211D13" w:rsidRDefault="00211D13">
          <w:pPr>
            <w:pStyle w:val="TOC2"/>
            <w:tabs>
              <w:tab w:val="right" w:leader="dot" w:pos="9536"/>
            </w:tabs>
            <w:rPr>
              <w:noProof/>
            </w:rPr>
          </w:pPr>
          <w:hyperlink w:anchor="_Toc235165458" w:history="1">
            <w:r w:rsidRPr="009C7C42">
              <w:rPr>
                <w:rStyle w:val="Hyperlink"/>
                <w:b/>
                <w:bCs/>
                <w:noProof/>
              </w:rPr>
              <w:t>4.5 Breach and Incident Management</w:t>
            </w:r>
            <w:r>
              <w:rPr>
                <w:noProof/>
              </w:rPr>
              <w:tab/>
            </w:r>
            <w:r>
              <w:rPr>
                <w:noProof/>
              </w:rPr>
              <w:fldChar w:fldCharType="begin"/>
            </w:r>
            <w:r>
              <w:rPr>
                <w:noProof/>
              </w:rPr>
              <w:instrText xml:space="preserve"> PAGEREF _Toc235165458 \h </w:instrText>
            </w:r>
            <w:r>
              <w:rPr>
                <w:noProof/>
              </w:rPr>
            </w:r>
            <w:r>
              <w:rPr>
                <w:noProof/>
              </w:rPr>
              <w:fldChar w:fldCharType="separate"/>
            </w:r>
            <w:r>
              <w:rPr>
                <w:noProof/>
              </w:rPr>
              <w:t>1</w:t>
            </w:r>
            <w:r>
              <w:rPr>
                <w:noProof/>
              </w:rPr>
              <w:fldChar w:fldCharType="end"/>
            </w:r>
          </w:hyperlink>
        </w:p>
        <w:p w14:paraId="7345F4A7" w14:textId="77777777" w:rsidR="00211D13" w:rsidRDefault="00211D13">
          <w:pPr>
            <w:pStyle w:val="TOC2"/>
            <w:tabs>
              <w:tab w:val="right" w:leader="dot" w:pos="9536"/>
            </w:tabs>
            <w:rPr>
              <w:noProof/>
            </w:rPr>
          </w:pPr>
          <w:hyperlink w:anchor="_Toc235165459" w:history="1">
            <w:r w:rsidRPr="009C7C42">
              <w:rPr>
                <w:rStyle w:val="Hyperlink"/>
                <w:b/>
                <w:bCs/>
                <w:noProof/>
              </w:rPr>
              <w:t>4.6 Policy and Document Library</w:t>
            </w:r>
            <w:r>
              <w:rPr>
                <w:noProof/>
              </w:rPr>
              <w:tab/>
            </w:r>
            <w:r>
              <w:rPr>
                <w:noProof/>
              </w:rPr>
              <w:fldChar w:fldCharType="begin"/>
            </w:r>
            <w:r>
              <w:rPr>
                <w:noProof/>
              </w:rPr>
              <w:instrText xml:space="preserve"> PAGEREF _Toc235165459 \h </w:instrText>
            </w:r>
            <w:r>
              <w:rPr>
                <w:noProof/>
              </w:rPr>
            </w:r>
            <w:r>
              <w:rPr>
                <w:noProof/>
              </w:rPr>
              <w:fldChar w:fldCharType="separate"/>
            </w:r>
            <w:r>
              <w:rPr>
                <w:noProof/>
              </w:rPr>
              <w:t>1</w:t>
            </w:r>
            <w:r>
              <w:rPr>
                <w:noProof/>
              </w:rPr>
              <w:fldChar w:fldCharType="end"/>
            </w:r>
          </w:hyperlink>
        </w:p>
        <w:p w14:paraId="5DC7AE77" w14:textId="77777777" w:rsidR="00211D13" w:rsidRDefault="00211D13">
          <w:pPr>
            <w:pStyle w:val="TOC1"/>
            <w:tabs>
              <w:tab w:val="right" w:leader="dot" w:pos="9536"/>
            </w:tabs>
            <w:rPr>
              <w:noProof/>
            </w:rPr>
          </w:pPr>
          <w:hyperlink w:anchor="_Toc235165460" w:history="1">
            <w:r w:rsidRPr="009C7C42">
              <w:rPr>
                <w:rStyle w:val="Hyperlink"/>
                <w:b/>
                <w:bCs/>
                <w:noProof/>
              </w:rPr>
              <w:t>5. Module 3 — DIO / DPO / Information Officer Management</w:t>
            </w:r>
            <w:r>
              <w:rPr>
                <w:noProof/>
              </w:rPr>
              <w:tab/>
            </w:r>
            <w:r>
              <w:rPr>
                <w:noProof/>
              </w:rPr>
              <w:fldChar w:fldCharType="begin"/>
            </w:r>
            <w:r>
              <w:rPr>
                <w:noProof/>
              </w:rPr>
              <w:instrText xml:space="preserve"> PAGEREF _Toc235165460 \h </w:instrText>
            </w:r>
            <w:r>
              <w:rPr>
                <w:noProof/>
              </w:rPr>
            </w:r>
            <w:r>
              <w:rPr>
                <w:noProof/>
              </w:rPr>
              <w:fldChar w:fldCharType="separate"/>
            </w:r>
            <w:r>
              <w:rPr>
                <w:noProof/>
              </w:rPr>
              <w:t>1</w:t>
            </w:r>
            <w:r>
              <w:rPr>
                <w:noProof/>
              </w:rPr>
              <w:fldChar w:fldCharType="end"/>
            </w:r>
          </w:hyperlink>
        </w:p>
        <w:p w14:paraId="507CF88D" w14:textId="77777777" w:rsidR="00211D13" w:rsidRDefault="00211D13">
          <w:pPr>
            <w:pStyle w:val="TOC2"/>
            <w:tabs>
              <w:tab w:val="right" w:leader="dot" w:pos="9536"/>
            </w:tabs>
            <w:rPr>
              <w:noProof/>
            </w:rPr>
          </w:pPr>
          <w:hyperlink w:anchor="_Toc235165461" w:history="1">
            <w:r w:rsidRPr="009C7C42">
              <w:rPr>
                <w:rStyle w:val="Hyperlink"/>
                <w:b/>
                <w:bCs/>
                <w:noProof/>
              </w:rPr>
              <w:t>5.1 Multi-Tenant Practice Console</w:t>
            </w:r>
            <w:r>
              <w:rPr>
                <w:noProof/>
              </w:rPr>
              <w:tab/>
            </w:r>
            <w:r>
              <w:rPr>
                <w:noProof/>
              </w:rPr>
              <w:fldChar w:fldCharType="begin"/>
            </w:r>
            <w:r>
              <w:rPr>
                <w:noProof/>
              </w:rPr>
              <w:instrText xml:space="preserve"> PAGEREF _Toc235165461 \h </w:instrText>
            </w:r>
            <w:r>
              <w:rPr>
                <w:noProof/>
              </w:rPr>
            </w:r>
            <w:r>
              <w:rPr>
                <w:noProof/>
              </w:rPr>
              <w:fldChar w:fldCharType="separate"/>
            </w:r>
            <w:r>
              <w:rPr>
                <w:noProof/>
              </w:rPr>
              <w:t>1</w:t>
            </w:r>
            <w:r>
              <w:rPr>
                <w:noProof/>
              </w:rPr>
              <w:fldChar w:fldCharType="end"/>
            </w:r>
          </w:hyperlink>
        </w:p>
        <w:p w14:paraId="65581396" w14:textId="77777777" w:rsidR="00211D13" w:rsidRDefault="00211D13">
          <w:pPr>
            <w:pStyle w:val="TOC2"/>
            <w:tabs>
              <w:tab w:val="right" w:leader="dot" w:pos="9536"/>
            </w:tabs>
            <w:rPr>
              <w:noProof/>
            </w:rPr>
          </w:pPr>
          <w:hyperlink w:anchor="_Toc235165462" w:history="1">
            <w:r w:rsidRPr="009C7C42">
              <w:rPr>
                <w:rStyle w:val="Hyperlink"/>
                <w:b/>
                <w:bCs/>
                <w:noProof/>
              </w:rPr>
              <w:t>5.2 Statutory Duties Engine</w:t>
            </w:r>
            <w:r>
              <w:rPr>
                <w:noProof/>
              </w:rPr>
              <w:tab/>
            </w:r>
            <w:r>
              <w:rPr>
                <w:noProof/>
              </w:rPr>
              <w:fldChar w:fldCharType="begin"/>
            </w:r>
            <w:r>
              <w:rPr>
                <w:noProof/>
              </w:rPr>
              <w:instrText xml:space="preserve"> PAGEREF _Toc235165462 \h </w:instrText>
            </w:r>
            <w:r>
              <w:rPr>
                <w:noProof/>
              </w:rPr>
            </w:r>
            <w:r>
              <w:rPr>
                <w:noProof/>
              </w:rPr>
              <w:fldChar w:fldCharType="separate"/>
            </w:r>
            <w:r>
              <w:rPr>
                <w:noProof/>
              </w:rPr>
              <w:t>1</w:t>
            </w:r>
            <w:r>
              <w:rPr>
                <w:noProof/>
              </w:rPr>
              <w:fldChar w:fldCharType="end"/>
            </w:r>
          </w:hyperlink>
        </w:p>
        <w:p w14:paraId="7EF43D93" w14:textId="77777777" w:rsidR="00211D13" w:rsidRDefault="00211D13">
          <w:pPr>
            <w:pStyle w:val="TOC2"/>
            <w:tabs>
              <w:tab w:val="right" w:leader="dot" w:pos="9536"/>
            </w:tabs>
            <w:rPr>
              <w:noProof/>
            </w:rPr>
          </w:pPr>
          <w:hyperlink w:anchor="_Toc235165463" w:history="1">
            <w:r w:rsidRPr="009C7C42">
              <w:rPr>
                <w:rStyle w:val="Hyperlink"/>
                <w:b/>
                <w:bCs/>
                <w:noProof/>
              </w:rPr>
              <w:t>5.3 Engagement and Evidence Management</w:t>
            </w:r>
            <w:r>
              <w:rPr>
                <w:noProof/>
              </w:rPr>
              <w:tab/>
            </w:r>
            <w:r>
              <w:rPr>
                <w:noProof/>
              </w:rPr>
              <w:fldChar w:fldCharType="begin"/>
            </w:r>
            <w:r>
              <w:rPr>
                <w:noProof/>
              </w:rPr>
              <w:instrText xml:space="preserve"> PAGEREF _Toc235165463 \h </w:instrText>
            </w:r>
            <w:r>
              <w:rPr>
                <w:noProof/>
              </w:rPr>
            </w:r>
            <w:r>
              <w:rPr>
                <w:noProof/>
              </w:rPr>
              <w:fldChar w:fldCharType="separate"/>
            </w:r>
            <w:r>
              <w:rPr>
                <w:noProof/>
              </w:rPr>
              <w:t>1</w:t>
            </w:r>
            <w:r>
              <w:rPr>
                <w:noProof/>
              </w:rPr>
              <w:fldChar w:fldCharType="end"/>
            </w:r>
          </w:hyperlink>
        </w:p>
        <w:p w14:paraId="7AEB39AB" w14:textId="77777777" w:rsidR="00211D13" w:rsidRDefault="00211D13">
          <w:pPr>
            <w:pStyle w:val="TOC2"/>
            <w:tabs>
              <w:tab w:val="right" w:leader="dot" w:pos="9536"/>
            </w:tabs>
            <w:rPr>
              <w:noProof/>
            </w:rPr>
          </w:pPr>
          <w:hyperlink w:anchor="_Toc235165464" w:history="1">
            <w:r w:rsidRPr="009C7C42">
              <w:rPr>
                <w:rStyle w:val="Hyperlink"/>
                <w:b/>
                <w:bCs/>
                <w:noProof/>
              </w:rPr>
              <w:t>5.4 Conflict and Independence Register</w:t>
            </w:r>
            <w:r>
              <w:rPr>
                <w:noProof/>
              </w:rPr>
              <w:tab/>
            </w:r>
            <w:r>
              <w:rPr>
                <w:noProof/>
              </w:rPr>
              <w:fldChar w:fldCharType="begin"/>
            </w:r>
            <w:r>
              <w:rPr>
                <w:noProof/>
              </w:rPr>
              <w:instrText xml:space="preserve"> PAGEREF _Toc235165464 \h </w:instrText>
            </w:r>
            <w:r>
              <w:rPr>
                <w:noProof/>
              </w:rPr>
            </w:r>
            <w:r>
              <w:rPr>
                <w:noProof/>
              </w:rPr>
              <w:fldChar w:fldCharType="separate"/>
            </w:r>
            <w:r>
              <w:rPr>
                <w:noProof/>
              </w:rPr>
              <w:t>1</w:t>
            </w:r>
            <w:r>
              <w:rPr>
                <w:noProof/>
              </w:rPr>
              <w:fldChar w:fldCharType="end"/>
            </w:r>
          </w:hyperlink>
        </w:p>
        <w:p w14:paraId="2D104C55" w14:textId="77777777" w:rsidR="00211D13" w:rsidRDefault="00211D13">
          <w:pPr>
            <w:pStyle w:val="TOC1"/>
            <w:tabs>
              <w:tab w:val="right" w:leader="dot" w:pos="9536"/>
            </w:tabs>
            <w:rPr>
              <w:noProof/>
            </w:rPr>
          </w:pPr>
          <w:hyperlink w:anchor="_Toc235165465" w:history="1">
            <w:r w:rsidRPr="009C7C42">
              <w:rPr>
                <w:rStyle w:val="Hyperlink"/>
                <w:b/>
                <w:bCs/>
                <w:noProof/>
              </w:rPr>
              <w:t>6. Module 4 — Monthly Reporting and Compliance Monitoring</w:t>
            </w:r>
            <w:r>
              <w:rPr>
                <w:noProof/>
              </w:rPr>
              <w:tab/>
            </w:r>
            <w:r>
              <w:rPr>
                <w:noProof/>
              </w:rPr>
              <w:fldChar w:fldCharType="begin"/>
            </w:r>
            <w:r>
              <w:rPr>
                <w:noProof/>
              </w:rPr>
              <w:instrText xml:space="preserve"> PAGEREF _Toc235165465 \h </w:instrText>
            </w:r>
            <w:r>
              <w:rPr>
                <w:noProof/>
              </w:rPr>
            </w:r>
            <w:r>
              <w:rPr>
                <w:noProof/>
              </w:rPr>
              <w:fldChar w:fldCharType="separate"/>
            </w:r>
            <w:r>
              <w:rPr>
                <w:noProof/>
              </w:rPr>
              <w:t>1</w:t>
            </w:r>
            <w:r>
              <w:rPr>
                <w:noProof/>
              </w:rPr>
              <w:fldChar w:fldCharType="end"/>
            </w:r>
          </w:hyperlink>
        </w:p>
        <w:p w14:paraId="654D326B" w14:textId="77777777" w:rsidR="00211D13" w:rsidRDefault="00211D13">
          <w:pPr>
            <w:pStyle w:val="TOC2"/>
            <w:tabs>
              <w:tab w:val="right" w:leader="dot" w:pos="9536"/>
            </w:tabs>
            <w:rPr>
              <w:noProof/>
            </w:rPr>
          </w:pPr>
          <w:hyperlink w:anchor="_Toc235165466" w:history="1">
            <w:r w:rsidRPr="009C7C42">
              <w:rPr>
                <w:rStyle w:val="Hyperlink"/>
                <w:b/>
                <w:bCs/>
                <w:noProof/>
              </w:rPr>
              <w:t>6.1 Automated Compliance Monitoring Report</w:t>
            </w:r>
            <w:r>
              <w:rPr>
                <w:noProof/>
              </w:rPr>
              <w:tab/>
            </w:r>
            <w:r>
              <w:rPr>
                <w:noProof/>
              </w:rPr>
              <w:fldChar w:fldCharType="begin"/>
            </w:r>
            <w:r>
              <w:rPr>
                <w:noProof/>
              </w:rPr>
              <w:instrText xml:space="preserve"> PAGEREF _Toc235165466 \h </w:instrText>
            </w:r>
            <w:r>
              <w:rPr>
                <w:noProof/>
              </w:rPr>
            </w:r>
            <w:r>
              <w:rPr>
                <w:noProof/>
              </w:rPr>
              <w:fldChar w:fldCharType="separate"/>
            </w:r>
            <w:r>
              <w:rPr>
                <w:noProof/>
              </w:rPr>
              <w:t>1</w:t>
            </w:r>
            <w:r>
              <w:rPr>
                <w:noProof/>
              </w:rPr>
              <w:fldChar w:fldCharType="end"/>
            </w:r>
          </w:hyperlink>
        </w:p>
        <w:p w14:paraId="5D940F08" w14:textId="77777777" w:rsidR="00211D13" w:rsidRDefault="00211D13">
          <w:pPr>
            <w:pStyle w:val="TOC2"/>
            <w:tabs>
              <w:tab w:val="right" w:leader="dot" w:pos="9536"/>
            </w:tabs>
            <w:rPr>
              <w:noProof/>
            </w:rPr>
          </w:pPr>
          <w:hyperlink w:anchor="_Toc235165467" w:history="1">
            <w:r w:rsidRPr="009C7C42">
              <w:rPr>
                <w:rStyle w:val="Hyperlink"/>
                <w:b/>
                <w:bCs/>
                <w:noProof/>
              </w:rPr>
              <w:t>6.2 KPI and Trend Dashboards</w:t>
            </w:r>
            <w:r>
              <w:rPr>
                <w:noProof/>
              </w:rPr>
              <w:tab/>
            </w:r>
            <w:r>
              <w:rPr>
                <w:noProof/>
              </w:rPr>
              <w:fldChar w:fldCharType="begin"/>
            </w:r>
            <w:r>
              <w:rPr>
                <w:noProof/>
              </w:rPr>
              <w:instrText xml:space="preserve"> PAGEREF _Toc235165467 \h </w:instrText>
            </w:r>
            <w:r>
              <w:rPr>
                <w:noProof/>
              </w:rPr>
            </w:r>
            <w:r>
              <w:rPr>
                <w:noProof/>
              </w:rPr>
              <w:fldChar w:fldCharType="separate"/>
            </w:r>
            <w:r>
              <w:rPr>
                <w:noProof/>
              </w:rPr>
              <w:t>1</w:t>
            </w:r>
            <w:r>
              <w:rPr>
                <w:noProof/>
              </w:rPr>
              <w:fldChar w:fldCharType="end"/>
            </w:r>
          </w:hyperlink>
        </w:p>
        <w:p w14:paraId="14118FC8" w14:textId="77777777" w:rsidR="00211D13" w:rsidRDefault="00211D13">
          <w:pPr>
            <w:pStyle w:val="TOC2"/>
            <w:tabs>
              <w:tab w:val="right" w:leader="dot" w:pos="9536"/>
            </w:tabs>
            <w:rPr>
              <w:noProof/>
            </w:rPr>
          </w:pPr>
          <w:hyperlink w:anchor="_Toc235165468" w:history="1">
            <w:r w:rsidRPr="009C7C42">
              <w:rPr>
                <w:rStyle w:val="Hyperlink"/>
                <w:b/>
                <w:bCs/>
                <w:noProof/>
              </w:rPr>
              <w:t>6.3 Evidence Repository</w:t>
            </w:r>
            <w:r>
              <w:rPr>
                <w:noProof/>
              </w:rPr>
              <w:tab/>
            </w:r>
            <w:r>
              <w:rPr>
                <w:noProof/>
              </w:rPr>
              <w:fldChar w:fldCharType="begin"/>
            </w:r>
            <w:r>
              <w:rPr>
                <w:noProof/>
              </w:rPr>
              <w:instrText xml:space="preserve"> PAGEREF _Toc235165468 \h </w:instrText>
            </w:r>
            <w:r>
              <w:rPr>
                <w:noProof/>
              </w:rPr>
            </w:r>
            <w:r>
              <w:rPr>
                <w:noProof/>
              </w:rPr>
              <w:fldChar w:fldCharType="separate"/>
            </w:r>
            <w:r>
              <w:rPr>
                <w:noProof/>
              </w:rPr>
              <w:t>1</w:t>
            </w:r>
            <w:r>
              <w:rPr>
                <w:noProof/>
              </w:rPr>
              <w:fldChar w:fldCharType="end"/>
            </w:r>
          </w:hyperlink>
        </w:p>
        <w:p w14:paraId="00C5B863" w14:textId="77777777" w:rsidR="00211D13" w:rsidRDefault="00211D13">
          <w:pPr>
            <w:pStyle w:val="TOC2"/>
            <w:tabs>
              <w:tab w:val="right" w:leader="dot" w:pos="9536"/>
            </w:tabs>
            <w:rPr>
              <w:noProof/>
            </w:rPr>
          </w:pPr>
          <w:hyperlink w:anchor="_Toc235165469" w:history="1">
            <w:r w:rsidRPr="009C7C42">
              <w:rPr>
                <w:rStyle w:val="Hyperlink"/>
                <w:b/>
                <w:bCs/>
                <w:noProof/>
              </w:rPr>
              <w:t>6.4 Regulatory Watch</w:t>
            </w:r>
            <w:r>
              <w:rPr>
                <w:noProof/>
              </w:rPr>
              <w:tab/>
            </w:r>
            <w:r>
              <w:rPr>
                <w:noProof/>
              </w:rPr>
              <w:fldChar w:fldCharType="begin"/>
            </w:r>
            <w:r>
              <w:rPr>
                <w:noProof/>
              </w:rPr>
              <w:instrText xml:space="preserve"> PAGEREF _Toc235165469 \h </w:instrText>
            </w:r>
            <w:r>
              <w:rPr>
                <w:noProof/>
              </w:rPr>
            </w:r>
            <w:r>
              <w:rPr>
                <w:noProof/>
              </w:rPr>
              <w:fldChar w:fldCharType="separate"/>
            </w:r>
            <w:r>
              <w:rPr>
                <w:noProof/>
              </w:rPr>
              <w:t>1</w:t>
            </w:r>
            <w:r>
              <w:rPr>
                <w:noProof/>
              </w:rPr>
              <w:fldChar w:fldCharType="end"/>
            </w:r>
          </w:hyperlink>
        </w:p>
        <w:p w14:paraId="3C3F6171" w14:textId="77777777" w:rsidR="00211D13" w:rsidRDefault="00211D13">
          <w:pPr>
            <w:pStyle w:val="TOC1"/>
            <w:tabs>
              <w:tab w:val="right" w:leader="dot" w:pos="9536"/>
            </w:tabs>
            <w:rPr>
              <w:noProof/>
            </w:rPr>
          </w:pPr>
          <w:hyperlink w:anchor="_Toc235165470" w:history="1">
            <w:r w:rsidRPr="009C7C42">
              <w:rPr>
                <w:rStyle w:val="Hyperlink"/>
                <w:b/>
                <w:bCs/>
                <w:noProof/>
              </w:rPr>
              <w:t>7. Module 5 — Cybersecurity Framework Mapping</w:t>
            </w:r>
            <w:r>
              <w:rPr>
                <w:noProof/>
              </w:rPr>
              <w:tab/>
            </w:r>
            <w:r>
              <w:rPr>
                <w:noProof/>
              </w:rPr>
              <w:fldChar w:fldCharType="begin"/>
            </w:r>
            <w:r>
              <w:rPr>
                <w:noProof/>
              </w:rPr>
              <w:instrText xml:space="preserve"> PAGEREF _Toc235165470 \h </w:instrText>
            </w:r>
            <w:r>
              <w:rPr>
                <w:noProof/>
              </w:rPr>
            </w:r>
            <w:r>
              <w:rPr>
                <w:noProof/>
              </w:rPr>
              <w:fldChar w:fldCharType="separate"/>
            </w:r>
            <w:r>
              <w:rPr>
                <w:noProof/>
              </w:rPr>
              <w:t>1</w:t>
            </w:r>
            <w:r>
              <w:rPr>
                <w:noProof/>
              </w:rPr>
              <w:fldChar w:fldCharType="end"/>
            </w:r>
          </w:hyperlink>
        </w:p>
        <w:p w14:paraId="6689FDB9" w14:textId="77777777" w:rsidR="00211D13" w:rsidRDefault="00211D13">
          <w:pPr>
            <w:pStyle w:val="TOC2"/>
            <w:tabs>
              <w:tab w:val="right" w:leader="dot" w:pos="9536"/>
            </w:tabs>
            <w:rPr>
              <w:noProof/>
            </w:rPr>
          </w:pPr>
          <w:hyperlink w:anchor="_Toc235165471" w:history="1">
            <w:r w:rsidRPr="009C7C42">
              <w:rPr>
                <w:rStyle w:val="Hyperlink"/>
                <w:b/>
                <w:bCs/>
                <w:noProof/>
              </w:rPr>
              <w:t>7.1 Control Framework Library</w:t>
            </w:r>
            <w:r>
              <w:rPr>
                <w:noProof/>
              </w:rPr>
              <w:tab/>
            </w:r>
            <w:r>
              <w:rPr>
                <w:noProof/>
              </w:rPr>
              <w:fldChar w:fldCharType="begin"/>
            </w:r>
            <w:r>
              <w:rPr>
                <w:noProof/>
              </w:rPr>
              <w:instrText xml:space="preserve"> PAGEREF _Toc235165471 \h </w:instrText>
            </w:r>
            <w:r>
              <w:rPr>
                <w:noProof/>
              </w:rPr>
            </w:r>
            <w:r>
              <w:rPr>
                <w:noProof/>
              </w:rPr>
              <w:fldChar w:fldCharType="separate"/>
            </w:r>
            <w:r>
              <w:rPr>
                <w:noProof/>
              </w:rPr>
              <w:t>1</w:t>
            </w:r>
            <w:r>
              <w:rPr>
                <w:noProof/>
              </w:rPr>
              <w:fldChar w:fldCharType="end"/>
            </w:r>
          </w:hyperlink>
        </w:p>
        <w:p w14:paraId="56D7870F" w14:textId="77777777" w:rsidR="00211D13" w:rsidRDefault="00211D13">
          <w:pPr>
            <w:pStyle w:val="TOC2"/>
            <w:tabs>
              <w:tab w:val="right" w:leader="dot" w:pos="9536"/>
            </w:tabs>
            <w:rPr>
              <w:noProof/>
            </w:rPr>
          </w:pPr>
          <w:hyperlink w:anchor="_Toc235165472" w:history="1">
            <w:r w:rsidRPr="009C7C42">
              <w:rPr>
                <w:rStyle w:val="Hyperlink"/>
                <w:b/>
                <w:bCs/>
                <w:noProof/>
              </w:rPr>
              <w:t>7.2 IT Risk Register</w:t>
            </w:r>
            <w:r>
              <w:rPr>
                <w:noProof/>
              </w:rPr>
              <w:tab/>
            </w:r>
            <w:r>
              <w:rPr>
                <w:noProof/>
              </w:rPr>
              <w:fldChar w:fldCharType="begin"/>
            </w:r>
            <w:r>
              <w:rPr>
                <w:noProof/>
              </w:rPr>
              <w:instrText xml:space="preserve"> PAGEREF _Toc235165472 \h </w:instrText>
            </w:r>
            <w:r>
              <w:rPr>
                <w:noProof/>
              </w:rPr>
            </w:r>
            <w:r>
              <w:rPr>
                <w:noProof/>
              </w:rPr>
              <w:fldChar w:fldCharType="separate"/>
            </w:r>
            <w:r>
              <w:rPr>
                <w:noProof/>
              </w:rPr>
              <w:t>1</w:t>
            </w:r>
            <w:r>
              <w:rPr>
                <w:noProof/>
              </w:rPr>
              <w:fldChar w:fldCharType="end"/>
            </w:r>
          </w:hyperlink>
        </w:p>
        <w:p w14:paraId="25653706" w14:textId="77777777" w:rsidR="00211D13" w:rsidRDefault="00211D13">
          <w:pPr>
            <w:pStyle w:val="TOC2"/>
            <w:tabs>
              <w:tab w:val="right" w:leader="dot" w:pos="9536"/>
            </w:tabs>
            <w:rPr>
              <w:noProof/>
            </w:rPr>
          </w:pPr>
          <w:hyperlink w:anchor="_Toc235165473" w:history="1">
            <w:r w:rsidRPr="009C7C42">
              <w:rPr>
                <w:rStyle w:val="Hyperlink"/>
                <w:b/>
                <w:bCs/>
                <w:noProof/>
              </w:rPr>
              <w:t>7.3 Framework Self-Assessment and Gap Analysis</w:t>
            </w:r>
            <w:r>
              <w:rPr>
                <w:noProof/>
              </w:rPr>
              <w:tab/>
            </w:r>
            <w:r>
              <w:rPr>
                <w:noProof/>
              </w:rPr>
              <w:fldChar w:fldCharType="begin"/>
            </w:r>
            <w:r>
              <w:rPr>
                <w:noProof/>
              </w:rPr>
              <w:instrText xml:space="preserve"> PAGEREF _Toc235165473 \h </w:instrText>
            </w:r>
            <w:r>
              <w:rPr>
                <w:noProof/>
              </w:rPr>
            </w:r>
            <w:r>
              <w:rPr>
                <w:noProof/>
              </w:rPr>
              <w:fldChar w:fldCharType="separate"/>
            </w:r>
            <w:r>
              <w:rPr>
                <w:noProof/>
              </w:rPr>
              <w:t>1</w:t>
            </w:r>
            <w:r>
              <w:rPr>
                <w:noProof/>
              </w:rPr>
              <w:fldChar w:fldCharType="end"/>
            </w:r>
          </w:hyperlink>
        </w:p>
        <w:p w14:paraId="36FC9C39" w14:textId="77777777" w:rsidR="00211D13" w:rsidRDefault="00211D13">
          <w:pPr>
            <w:pStyle w:val="TOC2"/>
            <w:tabs>
              <w:tab w:val="right" w:leader="dot" w:pos="9536"/>
            </w:tabs>
            <w:rPr>
              <w:noProof/>
            </w:rPr>
          </w:pPr>
          <w:hyperlink w:anchor="_Toc235165474" w:history="1">
            <w:r w:rsidRPr="009C7C42">
              <w:rPr>
                <w:rStyle w:val="Hyperlink"/>
                <w:b/>
                <w:bCs/>
                <w:noProof/>
              </w:rPr>
              <w:t>7.4 Cyber Insurance and Due-Diligence Mode</w:t>
            </w:r>
            <w:r>
              <w:rPr>
                <w:noProof/>
              </w:rPr>
              <w:tab/>
            </w:r>
            <w:r>
              <w:rPr>
                <w:noProof/>
              </w:rPr>
              <w:fldChar w:fldCharType="begin"/>
            </w:r>
            <w:r>
              <w:rPr>
                <w:noProof/>
              </w:rPr>
              <w:instrText xml:space="preserve"> PAGEREF _Toc235165474 \h </w:instrText>
            </w:r>
            <w:r>
              <w:rPr>
                <w:noProof/>
              </w:rPr>
            </w:r>
            <w:r>
              <w:rPr>
                <w:noProof/>
              </w:rPr>
              <w:fldChar w:fldCharType="separate"/>
            </w:r>
            <w:r>
              <w:rPr>
                <w:noProof/>
              </w:rPr>
              <w:t>1</w:t>
            </w:r>
            <w:r>
              <w:rPr>
                <w:noProof/>
              </w:rPr>
              <w:fldChar w:fldCharType="end"/>
            </w:r>
          </w:hyperlink>
        </w:p>
        <w:p w14:paraId="140215A5" w14:textId="77777777" w:rsidR="00211D13" w:rsidRDefault="00211D13">
          <w:pPr>
            <w:pStyle w:val="TOC1"/>
            <w:tabs>
              <w:tab w:val="right" w:leader="dot" w:pos="9536"/>
            </w:tabs>
            <w:rPr>
              <w:noProof/>
            </w:rPr>
          </w:pPr>
          <w:hyperlink w:anchor="_Toc235165475" w:history="1">
            <w:r w:rsidRPr="009C7C42">
              <w:rPr>
                <w:rStyle w:val="Hyperlink"/>
                <w:b/>
                <w:bCs/>
                <w:noProof/>
              </w:rPr>
              <w:t>8. AI Capability Layer (Cross-Cutting)</w:t>
            </w:r>
            <w:r>
              <w:rPr>
                <w:noProof/>
              </w:rPr>
              <w:tab/>
            </w:r>
            <w:r>
              <w:rPr>
                <w:noProof/>
              </w:rPr>
              <w:fldChar w:fldCharType="begin"/>
            </w:r>
            <w:r>
              <w:rPr>
                <w:noProof/>
              </w:rPr>
              <w:instrText xml:space="preserve"> PAGEREF _Toc235165475 \h </w:instrText>
            </w:r>
            <w:r>
              <w:rPr>
                <w:noProof/>
              </w:rPr>
            </w:r>
            <w:r>
              <w:rPr>
                <w:noProof/>
              </w:rPr>
              <w:fldChar w:fldCharType="separate"/>
            </w:r>
            <w:r>
              <w:rPr>
                <w:noProof/>
              </w:rPr>
              <w:t>1</w:t>
            </w:r>
            <w:r>
              <w:rPr>
                <w:noProof/>
              </w:rPr>
              <w:fldChar w:fldCharType="end"/>
            </w:r>
          </w:hyperlink>
        </w:p>
        <w:p w14:paraId="2F0513BD" w14:textId="77777777" w:rsidR="00211D13" w:rsidRDefault="00211D13">
          <w:pPr>
            <w:pStyle w:val="TOC1"/>
            <w:tabs>
              <w:tab w:val="right" w:leader="dot" w:pos="9536"/>
            </w:tabs>
            <w:rPr>
              <w:noProof/>
            </w:rPr>
          </w:pPr>
          <w:hyperlink w:anchor="_Toc235165476" w:history="1">
            <w:r w:rsidRPr="009C7C42">
              <w:rPr>
                <w:rStyle w:val="Hyperlink"/>
                <w:b/>
                <w:bCs/>
                <w:noProof/>
              </w:rPr>
              <w:t>9. Architecture and Non-Functional Requirements</w:t>
            </w:r>
            <w:r>
              <w:rPr>
                <w:noProof/>
              </w:rPr>
              <w:tab/>
            </w:r>
            <w:r>
              <w:rPr>
                <w:noProof/>
              </w:rPr>
              <w:fldChar w:fldCharType="begin"/>
            </w:r>
            <w:r>
              <w:rPr>
                <w:noProof/>
              </w:rPr>
              <w:instrText xml:space="preserve"> PAGEREF _Toc235165476 \h </w:instrText>
            </w:r>
            <w:r>
              <w:rPr>
                <w:noProof/>
              </w:rPr>
            </w:r>
            <w:r>
              <w:rPr>
                <w:noProof/>
              </w:rPr>
              <w:fldChar w:fldCharType="separate"/>
            </w:r>
            <w:r>
              <w:rPr>
                <w:noProof/>
              </w:rPr>
              <w:t>1</w:t>
            </w:r>
            <w:r>
              <w:rPr>
                <w:noProof/>
              </w:rPr>
              <w:fldChar w:fldCharType="end"/>
            </w:r>
          </w:hyperlink>
        </w:p>
        <w:p w14:paraId="70D3075C" w14:textId="77777777" w:rsidR="00211D13" w:rsidRDefault="00211D13">
          <w:pPr>
            <w:pStyle w:val="TOC1"/>
            <w:tabs>
              <w:tab w:val="right" w:leader="dot" w:pos="9536"/>
            </w:tabs>
            <w:rPr>
              <w:noProof/>
            </w:rPr>
          </w:pPr>
          <w:hyperlink w:anchor="_Toc235165477" w:history="1">
            <w:r w:rsidRPr="009C7C42">
              <w:rPr>
                <w:rStyle w:val="Hyperlink"/>
                <w:b/>
                <w:bCs/>
                <w:noProof/>
              </w:rPr>
              <w:t>10. Why This Wins in the SMB Market</w:t>
            </w:r>
            <w:r>
              <w:rPr>
                <w:noProof/>
              </w:rPr>
              <w:tab/>
            </w:r>
            <w:r>
              <w:rPr>
                <w:noProof/>
              </w:rPr>
              <w:fldChar w:fldCharType="begin"/>
            </w:r>
            <w:r>
              <w:rPr>
                <w:noProof/>
              </w:rPr>
              <w:instrText xml:space="preserve"> PAGEREF _Toc235165477 \h </w:instrText>
            </w:r>
            <w:r>
              <w:rPr>
                <w:noProof/>
              </w:rPr>
            </w:r>
            <w:r>
              <w:rPr>
                <w:noProof/>
              </w:rPr>
              <w:fldChar w:fldCharType="separate"/>
            </w:r>
            <w:r>
              <w:rPr>
                <w:noProof/>
              </w:rPr>
              <w:t>1</w:t>
            </w:r>
            <w:r>
              <w:rPr>
                <w:noProof/>
              </w:rPr>
              <w:fldChar w:fldCharType="end"/>
            </w:r>
          </w:hyperlink>
        </w:p>
        <w:p w14:paraId="6ACE3C1F" w14:textId="77777777" w:rsidR="00211D13" w:rsidRDefault="00211D13">
          <w:pPr>
            <w:pStyle w:val="TOC1"/>
            <w:tabs>
              <w:tab w:val="right" w:leader="dot" w:pos="9536"/>
            </w:tabs>
            <w:rPr>
              <w:noProof/>
            </w:rPr>
          </w:pPr>
          <w:hyperlink w:anchor="_Toc235165478" w:history="1">
            <w:r w:rsidRPr="009C7C42">
              <w:rPr>
                <w:rStyle w:val="Hyperlink"/>
                <w:b/>
                <w:bCs/>
                <w:noProof/>
              </w:rPr>
              <w:t>11. Packaging and Monetisation (Indicative)</w:t>
            </w:r>
            <w:r>
              <w:rPr>
                <w:noProof/>
              </w:rPr>
              <w:tab/>
            </w:r>
            <w:r>
              <w:rPr>
                <w:noProof/>
              </w:rPr>
              <w:fldChar w:fldCharType="begin"/>
            </w:r>
            <w:r>
              <w:rPr>
                <w:noProof/>
              </w:rPr>
              <w:instrText xml:space="preserve"> PAGEREF _Toc235165478 \h </w:instrText>
            </w:r>
            <w:r>
              <w:rPr>
                <w:noProof/>
              </w:rPr>
            </w:r>
            <w:r>
              <w:rPr>
                <w:noProof/>
              </w:rPr>
              <w:fldChar w:fldCharType="separate"/>
            </w:r>
            <w:r>
              <w:rPr>
                <w:noProof/>
              </w:rPr>
              <w:t>1</w:t>
            </w:r>
            <w:r>
              <w:rPr>
                <w:noProof/>
              </w:rPr>
              <w:fldChar w:fldCharType="end"/>
            </w:r>
          </w:hyperlink>
        </w:p>
        <w:p w14:paraId="04E55A17" w14:textId="77777777" w:rsidR="00211D13" w:rsidRDefault="00211D13">
          <w:pPr>
            <w:pStyle w:val="TOC1"/>
            <w:tabs>
              <w:tab w:val="right" w:leader="dot" w:pos="9536"/>
            </w:tabs>
            <w:rPr>
              <w:noProof/>
            </w:rPr>
          </w:pPr>
          <w:hyperlink w:anchor="_Toc235165479" w:history="1">
            <w:r w:rsidRPr="009C7C42">
              <w:rPr>
                <w:rStyle w:val="Hyperlink"/>
                <w:b/>
                <w:bCs/>
                <w:noProof/>
              </w:rPr>
              <w:t>12. Phased Roadmap</w:t>
            </w:r>
            <w:r>
              <w:rPr>
                <w:noProof/>
              </w:rPr>
              <w:tab/>
            </w:r>
            <w:r>
              <w:rPr>
                <w:noProof/>
              </w:rPr>
              <w:fldChar w:fldCharType="begin"/>
            </w:r>
            <w:r>
              <w:rPr>
                <w:noProof/>
              </w:rPr>
              <w:instrText xml:space="preserve"> PAGEREF _Toc235165479 \h </w:instrText>
            </w:r>
            <w:r>
              <w:rPr>
                <w:noProof/>
              </w:rPr>
            </w:r>
            <w:r>
              <w:rPr>
                <w:noProof/>
              </w:rPr>
              <w:fldChar w:fldCharType="separate"/>
            </w:r>
            <w:r>
              <w:rPr>
                <w:noProof/>
              </w:rPr>
              <w:t>1</w:t>
            </w:r>
            <w:r>
              <w:rPr>
                <w:noProof/>
              </w:rPr>
              <w:fldChar w:fldCharType="end"/>
            </w:r>
          </w:hyperlink>
        </w:p>
        <w:p w14:paraId="6DBDDC53" w14:textId="77777777" w:rsidR="00211D13" w:rsidRDefault="00211D13">
          <w:pPr>
            <w:pStyle w:val="TOC1"/>
            <w:tabs>
              <w:tab w:val="right" w:leader="dot" w:pos="9536"/>
            </w:tabs>
            <w:rPr>
              <w:noProof/>
            </w:rPr>
          </w:pPr>
          <w:hyperlink w:anchor="_Toc235165480" w:history="1">
            <w:r w:rsidRPr="009C7C42">
              <w:rPr>
                <w:rStyle w:val="Hyperlink"/>
                <w:b/>
                <w:bCs/>
                <w:noProof/>
              </w:rPr>
              <w:t>13. Key Risks and Mitigations</w:t>
            </w:r>
            <w:r>
              <w:rPr>
                <w:noProof/>
              </w:rPr>
              <w:tab/>
            </w:r>
            <w:r>
              <w:rPr>
                <w:noProof/>
              </w:rPr>
              <w:fldChar w:fldCharType="begin"/>
            </w:r>
            <w:r>
              <w:rPr>
                <w:noProof/>
              </w:rPr>
              <w:instrText xml:space="preserve"> PAGEREF _Toc235165480 \h </w:instrText>
            </w:r>
            <w:r>
              <w:rPr>
                <w:noProof/>
              </w:rPr>
            </w:r>
            <w:r>
              <w:rPr>
                <w:noProof/>
              </w:rPr>
              <w:fldChar w:fldCharType="separate"/>
            </w:r>
            <w:r>
              <w:rPr>
                <w:noProof/>
              </w:rPr>
              <w:t>1</w:t>
            </w:r>
            <w:r>
              <w:rPr>
                <w:noProof/>
              </w:rPr>
              <w:fldChar w:fldCharType="end"/>
            </w:r>
          </w:hyperlink>
        </w:p>
        <w:p w14:paraId="27BA504B" w14:textId="77777777" w:rsidR="00AD76AC" w:rsidRDefault="002657CA">
          <w:r>
            <w:fldChar w:fldCharType="end"/>
          </w:r>
        </w:p>
      </w:sdtContent>
    </w:sdt>
    <w:p w14:paraId="31A715B4" w14:textId="77777777" w:rsidR="00AD76AC" w:rsidRDefault="002657CA">
      <w:r>
        <w:br w:type="page"/>
      </w:r>
    </w:p>
    <w:p w14:paraId="71F866AA" w14:textId="77777777" w:rsidR="00AD76AC" w:rsidRDefault="002657CA">
      <w:pPr>
        <w:pStyle w:val="Heading1"/>
        <w:spacing w:before="360" w:after="200"/>
      </w:pPr>
      <w:bookmarkStart w:id="1" w:name="_Toc235165442"/>
      <w:r>
        <w:rPr>
          <w:b/>
          <w:bCs/>
          <w:color w:val="1F3864"/>
          <w:sz w:val="30"/>
          <w:szCs w:val="30"/>
        </w:rPr>
        <w:lastRenderedPageBreak/>
        <w:t>1. Product Vision</w:t>
      </w:r>
      <w:bookmarkEnd w:id="1"/>
    </w:p>
    <w:p w14:paraId="61878483" w14:textId="77777777" w:rsidR="00AD76AC" w:rsidRDefault="002657CA">
      <w:pPr>
        <w:spacing w:after="160" w:line="300" w:lineRule="auto"/>
      </w:pPr>
      <w:r>
        <w:t>A multi-tenant, AI-assisted compliance operations platform that lets SMBs — and the advisors who serve them — run a complete privacy and information security governance programme without dedicated in-house compliance staff. The platform operationalises POPIA (with GDPR/UK GDPR extensibility), embeds the Deputy Information Officer (DIO) service model as a first-class concept, automates the monthly compliance reporting cycle, and maps privacy obligations to recognised cybersecurity frameworks so that one body</w:t>
      </w:r>
      <w:r>
        <w:t xml:space="preserve"> of evidence serves both regulators and security stakeholders.</w:t>
      </w:r>
    </w:p>
    <w:p w14:paraId="26F38011" w14:textId="77777777" w:rsidR="00AD76AC" w:rsidRDefault="002657CA">
      <w:pPr>
        <w:spacing w:after="160" w:line="300" w:lineRule="auto"/>
      </w:pPr>
      <w:r>
        <w:t>The core insight: SMBs do not buy “compliance software” — they buy the outcome of being compliant without hiring anyone. The platform must feel like an outsourced compliance department, not a document repository.</w:t>
      </w:r>
    </w:p>
    <w:p w14:paraId="6684C3EC" w14:textId="77777777" w:rsidR="00AD76AC" w:rsidRDefault="002657CA">
      <w:pPr>
        <w:spacing w:after="160" w:line="300" w:lineRule="auto"/>
      </w:pPr>
      <w:r>
        <w:t>The customer journey is deliberately sequenced: Part One is a structured POPIA/GDPR compliance assessment — the proven, practice-tested assessment methodology productised as the platform’s front door. The assessment produces the score, the gap report, and the remediation roadmap; those outputs then seed the management workspace and convert naturally into the ongoing DIO/DPO retainer, framework management, and monthly reporting. Assess → Remediate → Manage → Report.</w:t>
      </w:r>
    </w:p>
    <w:p w14:paraId="0E5D13F9" w14:textId="77777777" w:rsidR="00AD76AC" w:rsidRDefault="002657CA">
      <w:pPr>
        <w:pStyle w:val="Heading1"/>
        <w:spacing w:before="360" w:after="200"/>
      </w:pPr>
      <w:bookmarkStart w:id="2" w:name="_Toc235165443"/>
      <w:r>
        <w:rPr>
          <w:b/>
          <w:bCs/>
          <w:color w:val="1F3864"/>
          <w:sz w:val="30"/>
          <w:szCs w:val="30"/>
        </w:rPr>
        <w:t>2. Target Market and Ideal Customer Profile</w:t>
      </w:r>
      <w:bookmarkEnd w:id="2"/>
    </w:p>
    <w:p w14:paraId="23D3E5C4" w14:textId="77777777" w:rsidR="00AD76AC" w:rsidRDefault="002657CA">
      <w:pPr>
        <w:pStyle w:val="Heading2"/>
        <w:spacing w:before="260" w:after="140"/>
      </w:pPr>
      <w:bookmarkStart w:id="3" w:name="_Toc235165444"/>
      <w:r>
        <w:rPr>
          <w:b/>
          <w:bCs/>
          <w:sz w:val="25"/>
          <w:szCs w:val="25"/>
        </w:rPr>
        <w:t>2.1 Primary ICP — SMB Direct</w:t>
      </w:r>
      <w:bookmarkEnd w:id="3"/>
    </w:p>
    <w:p w14:paraId="13224D6C" w14:textId="77777777" w:rsidR="00AD76AC" w:rsidRDefault="002657CA">
      <w:pPr>
        <w:pStyle w:val="ListParagraph"/>
        <w:numPr>
          <w:ilvl w:val="0"/>
          <w:numId w:val="2"/>
        </w:numPr>
        <w:spacing w:after="100" w:line="300" w:lineRule="auto"/>
      </w:pPr>
      <w:r>
        <w:t>South African SMEs, 5–75 users, in regulated or data-intensive sectors (professional services, financial advisory, healthcare-adjacent, environmental and consulting, recruitment).</w:t>
      </w:r>
    </w:p>
    <w:p w14:paraId="2600EB13" w14:textId="77777777" w:rsidR="00AD76AC" w:rsidRDefault="002657CA">
      <w:pPr>
        <w:pStyle w:val="ListParagraph"/>
        <w:numPr>
          <w:ilvl w:val="0"/>
          <w:numId w:val="2"/>
        </w:numPr>
        <w:spacing w:after="100" w:line="300" w:lineRule="auto"/>
      </w:pPr>
      <w:r>
        <w:t>No dedicated compliance officer; the Information Officer role is held by a director by default under POPIA.</w:t>
      </w:r>
    </w:p>
    <w:p w14:paraId="0C46EC48" w14:textId="77777777" w:rsidR="00AD76AC" w:rsidRDefault="002657CA">
      <w:pPr>
        <w:pStyle w:val="ListParagraph"/>
        <w:numPr>
          <w:ilvl w:val="0"/>
          <w:numId w:val="2"/>
        </w:numPr>
        <w:spacing w:after="100" w:line="300" w:lineRule="auto"/>
      </w:pPr>
      <w:r>
        <w:t>Compliance currently managed in Word, Excel and SharePoint, if at all.</w:t>
      </w:r>
    </w:p>
    <w:p w14:paraId="17E3385C" w14:textId="77777777" w:rsidR="00AD76AC" w:rsidRDefault="002657CA">
      <w:pPr>
        <w:pStyle w:val="ListParagraph"/>
        <w:numPr>
          <w:ilvl w:val="0"/>
          <w:numId w:val="2"/>
        </w:numPr>
        <w:spacing w:after="100" w:line="300" w:lineRule="auto"/>
      </w:pPr>
      <w:r>
        <w:t>Pain triggers: client due-diligence questionnaires, tender requirements, Information Regulator correspondence, a breach scare, cyber insurance applications.</w:t>
      </w:r>
    </w:p>
    <w:p w14:paraId="02F5EFBA" w14:textId="77777777" w:rsidR="00AD76AC" w:rsidRDefault="002657CA">
      <w:pPr>
        <w:pStyle w:val="Heading2"/>
        <w:spacing w:before="260" w:after="140"/>
      </w:pPr>
      <w:bookmarkStart w:id="4" w:name="_Toc235165445"/>
      <w:r>
        <w:rPr>
          <w:b/>
          <w:bCs/>
          <w:sz w:val="25"/>
          <w:szCs w:val="25"/>
        </w:rPr>
        <w:t>2.2 Secondary ICP — The Channel (the go-to-market wedge)</w:t>
      </w:r>
      <w:bookmarkEnd w:id="4"/>
    </w:p>
    <w:p w14:paraId="2FFA5EEE" w14:textId="77777777" w:rsidR="00AD76AC" w:rsidRDefault="002657CA">
      <w:pPr>
        <w:pStyle w:val="ListParagraph"/>
        <w:numPr>
          <w:ilvl w:val="0"/>
          <w:numId w:val="2"/>
        </w:numPr>
        <w:spacing w:after="100" w:line="300" w:lineRule="auto"/>
      </w:pPr>
      <w:r>
        <w:t>Outsourced DIO providers, compliance consultants, MSPs, and accounting/audit firms serving 5–50 SMB clients each.</w:t>
      </w:r>
    </w:p>
    <w:p w14:paraId="33189852" w14:textId="77777777" w:rsidR="00AD76AC" w:rsidRDefault="002657CA">
      <w:pPr>
        <w:pStyle w:val="ListParagraph"/>
        <w:numPr>
          <w:ilvl w:val="0"/>
          <w:numId w:val="2"/>
        </w:numPr>
        <w:spacing w:after="100" w:line="300" w:lineRule="auto"/>
      </w:pPr>
      <w:r>
        <w:t>They need one pane of glass across all client tenants, a standardised methodology, and automated report production — this is where AI-driven leverage multiplies revenue per consultant.</w:t>
      </w:r>
    </w:p>
    <w:p w14:paraId="519853AF" w14:textId="77777777" w:rsidR="00AD76AC" w:rsidRDefault="002657CA">
      <w:pPr>
        <w:pStyle w:val="ListParagraph"/>
        <w:numPr>
          <w:ilvl w:val="0"/>
          <w:numId w:val="2"/>
        </w:numPr>
        <w:spacing w:after="100" w:line="300" w:lineRule="auto"/>
      </w:pPr>
      <w:r>
        <w:t>White-label or co-branded deployment options are required for this segment.</w:t>
      </w:r>
    </w:p>
    <w:p w14:paraId="5BCF4EDE" w14:textId="77777777" w:rsidR="00AD76AC" w:rsidRDefault="002657CA">
      <w:pPr>
        <w:pStyle w:val="Heading2"/>
        <w:spacing w:before="260" w:after="140"/>
      </w:pPr>
      <w:bookmarkStart w:id="5" w:name="_Toc235165446"/>
      <w:r>
        <w:rPr>
          <w:b/>
          <w:bCs/>
          <w:sz w:val="25"/>
          <w:szCs w:val="25"/>
        </w:rPr>
        <w:t>2.3 Geographic Sequencing</w:t>
      </w:r>
      <w:bookmarkEnd w:id="5"/>
    </w:p>
    <w:p w14:paraId="3B1182E0" w14:textId="77777777" w:rsidR="00AD76AC" w:rsidRDefault="002657CA">
      <w:pPr>
        <w:spacing w:after="160" w:line="300" w:lineRule="auto"/>
      </w:pPr>
      <w:r>
        <w:t>South Africa first (POPIA/PAIA), followed by the UK (UK GDPR and Cyber Essentials alignment) as a natural second market, given shared English-language documentation and similar SMB dynamics.</w:t>
      </w:r>
    </w:p>
    <w:p w14:paraId="29D69841" w14:textId="77777777" w:rsidR="00AD76AC" w:rsidRDefault="002657CA">
      <w:pPr>
        <w:pStyle w:val="Heading1"/>
        <w:spacing w:before="360" w:after="200"/>
      </w:pPr>
      <w:bookmarkStart w:id="6" w:name="_Toc235165447"/>
      <w:r>
        <w:rPr>
          <w:b/>
          <w:bCs/>
          <w:color w:val="1F3864"/>
          <w:sz w:val="30"/>
          <w:szCs w:val="30"/>
        </w:rPr>
        <w:t>3. Module 1 — POPIA &amp; GDPR Compliance Assessment (Part One)</w:t>
      </w:r>
      <w:bookmarkEnd w:id="6"/>
    </w:p>
    <w:p w14:paraId="289BB707" w14:textId="77777777" w:rsidR="00AD76AC" w:rsidRDefault="002657CA">
      <w:pPr>
        <w:spacing w:after="160" w:line="300" w:lineRule="auto"/>
      </w:pPr>
      <w:r>
        <w:lastRenderedPageBreak/>
        <w:t>The front door of the product and the entry point of every client relationship. This module productises the practice’s existing Excel-based POPIA and GDPR assessment methodology — the structured assessment sheets, section architecture, question sets, and scoring logic are carried into the platform as its native assessment engine, preserved rather than reinvented, so the tool encodes a methodology already proven in paid client engagements.</w:t>
      </w:r>
    </w:p>
    <w:p w14:paraId="78C950F8" w14:textId="77777777" w:rsidR="00AD76AC" w:rsidRDefault="002657CA">
      <w:pPr>
        <w:pStyle w:val="Heading2"/>
        <w:spacing w:before="260" w:after="140"/>
      </w:pPr>
      <w:bookmarkStart w:id="7" w:name="_Toc235165448"/>
      <w:r>
        <w:rPr>
          <w:b/>
          <w:bCs/>
          <w:sz w:val="25"/>
          <w:szCs w:val="25"/>
        </w:rPr>
        <w:t>3.1 Assessment Engine</w:t>
      </w:r>
      <w:bookmarkEnd w:id="7"/>
    </w:p>
    <w:p w14:paraId="5E343A98" w14:textId="77777777" w:rsidR="00AD76AC" w:rsidRDefault="002657CA">
      <w:pPr>
        <w:pStyle w:val="ListParagraph"/>
        <w:numPr>
          <w:ilvl w:val="0"/>
          <w:numId w:val="2"/>
        </w:numPr>
        <w:spacing w:after="100" w:line="300" w:lineRule="auto"/>
      </w:pPr>
      <w:r>
        <w:t>Dual-framework question library: the POPIA assessment as the SA default, with the GDPR/UK GDPR assessment as a parallel framework — shared question architecture, per-framework wording, references, and scoring.</w:t>
      </w:r>
    </w:p>
    <w:p w14:paraId="14B8C6D8" w14:textId="77777777" w:rsidR="00AD76AC" w:rsidRDefault="002657CA">
      <w:pPr>
        <w:pStyle w:val="ListParagraph"/>
        <w:numPr>
          <w:ilvl w:val="0"/>
          <w:numId w:val="2"/>
        </w:numPr>
        <w:spacing w:after="100" w:line="300" w:lineRule="auto"/>
      </w:pPr>
      <w:r>
        <w:t>Sectioned assessments mirroring the source sheets (governance and accountability, lawful processing, data subject rights, operators and third parties, security safeguards, cross-border transfers, breach readiness, and related domains), with weighted scoring per question and per section.</w:t>
      </w:r>
    </w:p>
    <w:p w14:paraId="0FB0F5FB" w14:textId="77777777" w:rsidR="00AD76AC" w:rsidRDefault="002657CA">
      <w:pPr>
        <w:pStyle w:val="ListParagraph"/>
        <w:numPr>
          <w:ilvl w:val="0"/>
          <w:numId w:val="2"/>
        </w:numPr>
        <w:spacing w:after="100" w:line="300" w:lineRule="auto"/>
      </w:pPr>
      <w:r>
        <w:t>Answer states supporting real assessment practice: compliant, partial, non-compliant, not applicable (with justification), and unknown — with assessor notes and evidence attachment per question.</w:t>
      </w:r>
    </w:p>
    <w:p w14:paraId="12D969CA" w14:textId="77777777" w:rsidR="00AD76AC" w:rsidRDefault="002657CA">
      <w:pPr>
        <w:pStyle w:val="ListParagraph"/>
        <w:numPr>
          <w:ilvl w:val="0"/>
          <w:numId w:val="2"/>
        </w:numPr>
        <w:spacing w:after="100" w:line="300" w:lineRule="auto"/>
      </w:pPr>
      <w:r>
        <w:t>Versioned question sets managed as content, so regulatory changes (e.g. amended Regulations) update the assessment without a product release.</w:t>
      </w:r>
    </w:p>
    <w:p w14:paraId="39BC286D" w14:textId="77777777" w:rsidR="00AD76AC" w:rsidRDefault="002657CA">
      <w:pPr>
        <w:pStyle w:val="Heading2"/>
        <w:spacing w:before="260" w:after="140"/>
      </w:pPr>
      <w:bookmarkStart w:id="8" w:name="_Toc235165449"/>
      <w:r>
        <w:rPr>
          <w:b/>
          <w:bCs/>
          <w:sz w:val="25"/>
          <w:szCs w:val="25"/>
        </w:rPr>
        <w:t>3.2 Delivery Modes</w:t>
      </w:r>
      <w:bookmarkEnd w:id="8"/>
    </w:p>
    <w:p w14:paraId="0267A05D" w14:textId="77777777" w:rsidR="00AD76AC" w:rsidRDefault="002657CA">
      <w:pPr>
        <w:pStyle w:val="ListParagraph"/>
        <w:numPr>
          <w:ilvl w:val="0"/>
          <w:numId w:val="2"/>
        </w:numPr>
        <w:spacing w:after="100" w:line="300" w:lineRule="auto"/>
      </w:pPr>
      <w:r>
        <w:t>Advisor-led: the consultant completes the assessment in a workshop or interview setting — the primary paid engagement mode.</w:t>
      </w:r>
    </w:p>
    <w:p w14:paraId="5C7FBD31" w14:textId="77777777" w:rsidR="00AD76AC" w:rsidRDefault="002657CA">
      <w:pPr>
        <w:pStyle w:val="ListParagraph"/>
        <w:numPr>
          <w:ilvl w:val="0"/>
          <w:numId w:val="2"/>
        </w:numPr>
        <w:spacing w:after="100" w:line="300" w:lineRule="auto"/>
      </w:pPr>
      <w:r>
        <w:t>Client self-assessment: a guided, magic-link experience for the client to complete independently, with advisor review before the report is issued.</w:t>
      </w:r>
    </w:p>
    <w:p w14:paraId="2B89DD7E" w14:textId="77777777" w:rsidR="00AD76AC" w:rsidRDefault="002657CA">
      <w:pPr>
        <w:pStyle w:val="ListParagraph"/>
        <w:numPr>
          <w:ilvl w:val="0"/>
          <w:numId w:val="2"/>
        </w:numPr>
        <w:spacing w:after="100" w:line="300" w:lineRule="auto"/>
      </w:pPr>
      <w:r>
        <w:t>Lead-magnet mode: a shortened free self-assessment for marketing campaigns, producing an indicative score and a call to action for the full advisor-led assessment.</w:t>
      </w:r>
    </w:p>
    <w:p w14:paraId="6302E956" w14:textId="77777777" w:rsidR="00AD76AC" w:rsidRDefault="002657CA">
      <w:pPr>
        <w:pStyle w:val="Heading2"/>
        <w:spacing w:before="260" w:after="140"/>
      </w:pPr>
      <w:bookmarkStart w:id="9" w:name="_Toc235165450"/>
      <w:r>
        <w:rPr>
          <w:b/>
          <w:bCs/>
          <w:sz w:val="25"/>
          <w:szCs w:val="25"/>
        </w:rPr>
        <w:t>3.3 Outputs</w:t>
      </w:r>
      <w:bookmarkEnd w:id="9"/>
    </w:p>
    <w:p w14:paraId="01BE7BC9" w14:textId="77777777" w:rsidR="00AD76AC" w:rsidRDefault="002657CA">
      <w:pPr>
        <w:pStyle w:val="ListParagraph"/>
        <w:numPr>
          <w:ilvl w:val="0"/>
          <w:numId w:val="2"/>
        </w:numPr>
        <w:spacing w:after="100" w:line="300" w:lineRule="auto"/>
      </w:pPr>
      <w:r>
        <w:t>Scored posture report: overall and per-section scores with traffic-light presentation, generated instantly as a branded Word/PDF document.</w:t>
      </w:r>
    </w:p>
    <w:p w14:paraId="039F84F2" w14:textId="77777777" w:rsidR="00AD76AC" w:rsidRDefault="002657CA">
      <w:pPr>
        <w:pStyle w:val="ListParagraph"/>
        <w:numPr>
          <w:ilvl w:val="0"/>
          <w:numId w:val="2"/>
        </w:numPr>
        <w:spacing w:after="100" w:line="300" w:lineRule="auto"/>
      </w:pPr>
      <w:r>
        <w:t>Prioritised remediation roadmap sized for SMB budgets — each gap mapped to a recommended action, effort indication, and the platform module that manages it.</w:t>
      </w:r>
    </w:p>
    <w:p w14:paraId="19BBF0DD" w14:textId="77777777" w:rsidR="00AD76AC" w:rsidRDefault="002657CA">
      <w:pPr>
        <w:pStyle w:val="ListParagraph"/>
        <w:numPr>
          <w:ilvl w:val="0"/>
          <w:numId w:val="2"/>
        </w:numPr>
        <w:spacing w:after="100" w:line="300" w:lineRule="auto"/>
      </w:pPr>
      <w:r>
        <w:t>Executive summary written for directors, AI-drafted from the scored results and advisor notes, human-approved before issue.</w:t>
      </w:r>
    </w:p>
    <w:p w14:paraId="5A141A8D" w14:textId="77777777" w:rsidR="00AD76AC" w:rsidRDefault="002657CA">
      <w:pPr>
        <w:pStyle w:val="ListParagraph"/>
        <w:numPr>
          <w:ilvl w:val="0"/>
          <w:numId w:val="2"/>
        </w:numPr>
        <w:spacing w:after="100" w:line="300" w:lineRule="auto"/>
      </w:pPr>
      <w:r>
        <w:t>The report doubles as the commercial proposal foundation: the remediation roadmap maps directly onto the onboarding scope and DIO/DPO retainer that follow.</w:t>
      </w:r>
    </w:p>
    <w:p w14:paraId="504B80BB" w14:textId="77777777" w:rsidR="00AD76AC" w:rsidRDefault="002657CA">
      <w:pPr>
        <w:pStyle w:val="Heading2"/>
        <w:spacing w:before="260" w:after="140"/>
      </w:pPr>
      <w:bookmarkStart w:id="10" w:name="_Toc235165451"/>
      <w:r>
        <w:rPr>
          <w:b/>
          <w:bCs/>
          <w:sz w:val="25"/>
          <w:szCs w:val="25"/>
        </w:rPr>
        <w:t>3.4 Assessment-to-Management Conversion</w:t>
      </w:r>
      <w:bookmarkEnd w:id="10"/>
    </w:p>
    <w:p w14:paraId="7B965E7F" w14:textId="77777777" w:rsidR="00AD76AC" w:rsidRDefault="002657CA">
      <w:pPr>
        <w:pStyle w:val="ListParagraph"/>
        <w:numPr>
          <w:ilvl w:val="0"/>
          <w:numId w:val="2"/>
        </w:numPr>
        <w:spacing w:after="100" w:line="300" w:lineRule="auto"/>
      </w:pPr>
      <w:r>
        <w:t>One-click conversion: assessment findings seed the management workspace — candidate ROPA entries, the expected-document checklist, initial tasks, and starting risk items are generated from the assessment answers, so moving from Part One to the managed service requires no re-onboarding.</w:t>
      </w:r>
    </w:p>
    <w:p w14:paraId="52B422CD" w14:textId="77777777" w:rsidR="00AD76AC" w:rsidRDefault="002657CA">
      <w:pPr>
        <w:pStyle w:val="ListParagraph"/>
        <w:numPr>
          <w:ilvl w:val="0"/>
          <w:numId w:val="2"/>
        </w:numPr>
        <w:spacing w:after="100" w:line="300" w:lineRule="auto"/>
      </w:pPr>
      <w:r>
        <w:lastRenderedPageBreak/>
        <w:t>The assessment baseline becomes month zero of the monthly reporting cycle: every subsequent report shows movement against it.</w:t>
      </w:r>
    </w:p>
    <w:p w14:paraId="63A7E544" w14:textId="77777777" w:rsidR="00AD76AC" w:rsidRDefault="002657CA">
      <w:pPr>
        <w:pStyle w:val="Heading2"/>
        <w:spacing w:before="260" w:after="140"/>
      </w:pPr>
      <w:bookmarkStart w:id="11" w:name="_Toc235165452"/>
      <w:r>
        <w:rPr>
          <w:b/>
          <w:bCs/>
          <w:sz w:val="25"/>
          <w:szCs w:val="25"/>
        </w:rPr>
        <w:t>3.5 Reassessment and Trend</w:t>
      </w:r>
      <w:bookmarkEnd w:id="11"/>
    </w:p>
    <w:p w14:paraId="3B1356E4" w14:textId="77777777" w:rsidR="00AD76AC" w:rsidRDefault="002657CA">
      <w:pPr>
        <w:pStyle w:val="ListParagraph"/>
        <w:numPr>
          <w:ilvl w:val="0"/>
          <w:numId w:val="2"/>
        </w:numPr>
        <w:spacing w:after="100" w:line="300" w:lineRule="auto"/>
      </w:pPr>
      <w:r>
        <w:t>Periodic reassessment (annual or on demand) with delta reporting against prior scores — demonstrated score improvement is the renewal artefact for the retainer and a marketing asset for the advisor.</w:t>
      </w:r>
    </w:p>
    <w:p w14:paraId="6FF945F6" w14:textId="77777777" w:rsidR="00AD76AC" w:rsidRDefault="002657CA">
      <w:pPr>
        <w:pStyle w:val="Heading1"/>
        <w:spacing w:before="360" w:after="200"/>
      </w:pPr>
      <w:bookmarkStart w:id="12" w:name="_Toc235165453"/>
      <w:r>
        <w:rPr>
          <w:b/>
          <w:bCs/>
          <w:color w:val="1F3864"/>
          <w:sz w:val="30"/>
          <w:szCs w:val="30"/>
        </w:rPr>
        <w:t>4. Module 2 — Privacy Framework Management</w:t>
      </w:r>
      <w:bookmarkEnd w:id="12"/>
    </w:p>
    <w:p w14:paraId="48FDE61A" w14:textId="77777777" w:rsidR="00AD76AC" w:rsidRDefault="002657CA">
      <w:pPr>
        <w:spacing w:after="160" w:line="300" w:lineRule="auto"/>
      </w:pPr>
      <w:r>
        <w:t>The system of record for the privacy programme. POPIA-native data model with GDPR field mapping maintained behind the scenes.</w:t>
      </w:r>
    </w:p>
    <w:p w14:paraId="4F715779" w14:textId="77777777" w:rsidR="00AD76AC" w:rsidRDefault="002657CA">
      <w:pPr>
        <w:pStyle w:val="Heading2"/>
        <w:spacing w:before="260" w:after="140"/>
      </w:pPr>
      <w:bookmarkStart w:id="13" w:name="_Toc235165454"/>
      <w:r>
        <w:rPr>
          <w:b/>
          <w:bCs/>
          <w:sz w:val="25"/>
          <w:szCs w:val="25"/>
        </w:rPr>
        <w:t>4.1 Records of Processing (ROPA)</w:t>
      </w:r>
      <w:bookmarkEnd w:id="13"/>
    </w:p>
    <w:p w14:paraId="4A35A99A" w14:textId="77777777" w:rsidR="00AD76AC" w:rsidRDefault="002657CA">
      <w:pPr>
        <w:pStyle w:val="ListParagraph"/>
        <w:numPr>
          <w:ilvl w:val="0"/>
          <w:numId w:val="2"/>
        </w:numPr>
        <w:spacing w:after="100" w:line="300" w:lineRule="auto"/>
      </w:pPr>
      <w:r>
        <w:t>Structured ROPA builder: processing activities, purposes, lawful justifications, data categories, special personal information flags, data subjects, retention, recipients, cross-border transfers.</w:t>
      </w:r>
    </w:p>
    <w:p w14:paraId="07B86153" w14:textId="77777777" w:rsidR="00AD76AC" w:rsidRDefault="002657CA">
      <w:pPr>
        <w:pStyle w:val="ListParagraph"/>
        <w:numPr>
          <w:ilvl w:val="0"/>
          <w:numId w:val="2"/>
        </w:numPr>
        <w:spacing w:after="100" w:line="300" w:lineRule="auto"/>
      </w:pPr>
      <w:r>
        <w:t>AI-assisted ROPA creation: an interview-style intake (“describe what your business does”) that drafts candidate processing activities for human review.</w:t>
      </w:r>
    </w:p>
    <w:p w14:paraId="477A619A" w14:textId="77777777" w:rsidR="00AD76AC" w:rsidRDefault="002657CA">
      <w:pPr>
        <w:pStyle w:val="ListParagraph"/>
        <w:numPr>
          <w:ilvl w:val="0"/>
          <w:numId w:val="2"/>
        </w:numPr>
        <w:spacing w:after="100" w:line="300" w:lineRule="auto"/>
      </w:pPr>
      <w:r>
        <w:t>Versioning with change history and open-action tracking per processing activity.</w:t>
      </w:r>
    </w:p>
    <w:p w14:paraId="3CFF307B" w14:textId="77777777" w:rsidR="00AD76AC" w:rsidRDefault="002657CA">
      <w:pPr>
        <w:pStyle w:val="Heading2"/>
        <w:spacing w:before="260" w:after="140"/>
      </w:pPr>
      <w:bookmarkStart w:id="14" w:name="_Toc235165455"/>
      <w:r>
        <w:rPr>
          <w:b/>
          <w:bCs/>
          <w:sz w:val="25"/>
          <w:szCs w:val="25"/>
        </w:rPr>
        <w:t>4.2 DPIA / Risk Assessment Workflow</w:t>
      </w:r>
      <w:bookmarkEnd w:id="14"/>
    </w:p>
    <w:p w14:paraId="24F3A8DD" w14:textId="77777777" w:rsidR="00AD76AC" w:rsidRDefault="002657CA">
      <w:pPr>
        <w:pStyle w:val="ListParagraph"/>
        <w:numPr>
          <w:ilvl w:val="0"/>
          <w:numId w:val="2"/>
        </w:numPr>
        <w:spacing w:after="100" w:line="300" w:lineRule="auto"/>
      </w:pPr>
      <w:r>
        <w:t>Threshold assessment (is a DPIA required?) → full DPIA → conditions of approval → condition tracking with evidence.</w:t>
      </w:r>
    </w:p>
    <w:p w14:paraId="32A1F962" w14:textId="77777777" w:rsidR="00AD76AC" w:rsidRDefault="002657CA">
      <w:pPr>
        <w:pStyle w:val="ListParagraph"/>
        <w:numPr>
          <w:ilvl w:val="0"/>
          <w:numId w:val="2"/>
        </w:numPr>
        <w:spacing w:after="100" w:line="300" w:lineRule="auto"/>
      </w:pPr>
      <w:r>
        <w:t>Outcome states: Approved, Approved with Conditions, Rejected, Withdrawn. Each condition spawns tracked tasks and supporting document requirements.</w:t>
      </w:r>
    </w:p>
    <w:p w14:paraId="0AE8E8F1" w14:textId="77777777" w:rsidR="00AD76AC" w:rsidRDefault="002657CA">
      <w:pPr>
        <w:pStyle w:val="ListParagraph"/>
        <w:numPr>
          <w:ilvl w:val="0"/>
          <w:numId w:val="2"/>
        </w:numPr>
        <w:spacing w:after="100" w:line="300" w:lineRule="auto"/>
      </w:pPr>
      <w:r>
        <w:t>A dedicated AI-tool DPIA template covering POPIA Section 71 automated decision-making, training-data usage, cross-border model hosting, and human-in-the-loop controls — a fast-growing assessment category almost no SMB tool handles.</w:t>
      </w:r>
    </w:p>
    <w:p w14:paraId="243D0BD7" w14:textId="77777777" w:rsidR="00AD76AC" w:rsidRDefault="002657CA">
      <w:pPr>
        <w:pStyle w:val="Heading2"/>
        <w:spacing w:before="260" w:after="140"/>
      </w:pPr>
      <w:bookmarkStart w:id="15" w:name="_Toc235165456"/>
      <w:r>
        <w:rPr>
          <w:b/>
          <w:bCs/>
          <w:sz w:val="25"/>
          <w:szCs w:val="25"/>
        </w:rPr>
        <w:t>4.3 Operator and Vendor Management</w:t>
      </w:r>
      <w:bookmarkEnd w:id="15"/>
    </w:p>
    <w:p w14:paraId="54FC09FA" w14:textId="77777777" w:rsidR="00AD76AC" w:rsidRDefault="002657CA">
      <w:pPr>
        <w:pStyle w:val="ListParagraph"/>
        <w:numPr>
          <w:ilvl w:val="0"/>
          <w:numId w:val="2"/>
        </w:numPr>
        <w:spacing w:after="100" w:line="300" w:lineRule="auto"/>
      </w:pPr>
      <w:r>
        <w:t>Vendor register with operator / responsible-party classification.</w:t>
      </w:r>
    </w:p>
    <w:p w14:paraId="6417919D" w14:textId="77777777" w:rsidR="00AD76AC" w:rsidRDefault="002657CA">
      <w:pPr>
        <w:pStyle w:val="ListParagraph"/>
        <w:numPr>
          <w:ilvl w:val="0"/>
          <w:numId w:val="2"/>
        </w:numPr>
        <w:spacing w:after="100" w:line="300" w:lineRule="auto"/>
      </w:pPr>
      <w:r>
        <w:t>Operator Compliance Questionnaire (OCQ) engine: configurable question sets, scoring, evidence upload.</w:t>
      </w:r>
    </w:p>
    <w:p w14:paraId="773A0D0C" w14:textId="77777777" w:rsidR="00AD76AC" w:rsidRDefault="002657CA">
      <w:pPr>
        <w:pStyle w:val="ListParagraph"/>
        <w:numPr>
          <w:ilvl w:val="0"/>
          <w:numId w:val="2"/>
        </w:numPr>
        <w:spacing w:after="100" w:line="300" w:lineRule="auto"/>
      </w:pPr>
      <w:r>
        <w:t>Data Processing Agreement lifecycle: template generation, amendment tracking, signature status, renewal reminders.</w:t>
      </w:r>
    </w:p>
    <w:p w14:paraId="09137D79" w14:textId="77777777" w:rsidR="00AD76AC" w:rsidRDefault="002657CA">
      <w:pPr>
        <w:pStyle w:val="ListParagraph"/>
        <w:numPr>
          <w:ilvl w:val="0"/>
          <w:numId w:val="2"/>
        </w:numPr>
        <w:spacing w:after="100" w:line="300" w:lineRule="auto"/>
      </w:pPr>
      <w:r>
        <w:t>Two-tier safeguard framework for cross-border scenarios where a formal DPA cannot be obtained (Section 72 pathway documentation).</w:t>
      </w:r>
    </w:p>
    <w:p w14:paraId="4BC14507" w14:textId="77777777" w:rsidR="00AD76AC" w:rsidRDefault="002657CA">
      <w:pPr>
        <w:pStyle w:val="ListParagraph"/>
        <w:numPr>
          <w:ilvl w:val="0"/>
          <w:numId w:val="2"/>
        </w:numPr>
        <w:spacing w:after="100" w:line="300" w:lineRule="auto"/>
      </w:pPr>
      <w:r>
        <w:t>Exemption handling for large institutions operating under their own terms (banks, major SaaS providers).</w:t>
      </w:r>
    </w:p>
    <w:p w14:paraId="5081EE9D" w14:textId="77777777" w:rsidR="00AD76AC" w:rsidRDefault="002657CA">
      <w:pPr>
        <w:pStyle w:val="Heading2"/>
        <w:spacing w:before="260" w:after="140"/>
      </w:pPr>
      <w:bookmarkStart w:id="16" w:name="_Toc235165457"/>
      <w:r>
        <w:rPr>
          <w:b/>
          <w:bCs/>
          <w:sz w:val="25"/>
          <w:szCs w:val="25"/>
        </w:rPr>
        <w:t>4.4 Data Subject Rights (DSAR)</w:t>
      </w:r>
      <w:bookmarkEnd w:id="16"/>
    </w:p>
    <w:p w14:paraId="23ABEB68" w14:textId="77777777" w:rsidR="00AD76AC" w:rsidRDefault="002657CA">
      <w:pPr>
        <w:pStyle w:val="ListParagraph"/>
        <w:numPr>
          <w:ilvl w:val="0"/>
          <w:numId w:val="2"/>
        </w:numPr>
        <w:spacing w:after="100" w:line="300" w:lineRule="auto"/>
      </w:pPr>
      <w:r>
        <w:lastRenderedPageBreak/>
        <w:t>Intake portal (embeddable web form), identity verification checklist, statutory clock with escalation alerts.</w:t>
      </w:r>
    </w:p>
    <w:p w14:paraId="1572BD9D" w14:textId="77777777" w:rsidR="00AD76AC" w:rsidRDefault="002657CA">
      <w:pPr>
        <w:pStyle w:val="ListParagraph"/>
        <w:numPr>
          <w:ilvl w:val="0"/>
          <w:numId w:val="2"/>
        </w:numPr>
        <w:spacing w:after="100" w:line="300" w:lineRule="auto"/>
      </w:pPr>
      <w:r>
        <w:t>AI-assisted response drafting from templates and retrieved records.</w:t>
      </w:r>
    </w:p>
    <w:p w14:paraId="6DE0F8CA" w14:textId="77777777" w:rsidR="00AD76AC" w:rsidRDefault="002657CA">
      <w:pPr>
        <w:pStyle w:val="ListParagraph"/>
        <w:numPr>
          <w:ilvl w:val="0"/>
          <w:numId w:val="2"/>
        </w:numPr>
        <w:spacing w:after="100" w:line="300" w:lineRule="auto"/>
      </w:pPr>
      <w:r>
        <w:t>Full audit trail per request.</w:t>
      </w:r>
    </w:p>
    <w:p w14:paraId="6AB54588" w14:textId="77777777" w:rsidR="00AD76AC" w:rsidRDefault="002657CA">
      <w:pPr>
        <w:pStyle w:val="Heading2"/>
        <w:spacing w:before="260" w:after="140"/>
      </w:pPr>
      <w:bookmarkStart w:id="17" w:name="_Toc235165458"/>
      <w:r>
        <w:rPr>
          <w:b/>
          <w:bCs/>
          <w:sz w:val="25"/>
          <w:szCs w:val="25"/>
        </w:rPr>
        <w:t>4.5 Breach and Incident Management</w:t>
      </w:r>
      <w:bookmarkEnd w:id="17"/>
    </w:p>
    <w:p w14:paraId="47395ED4" w14:textId="77777777" w:rsidR="00AD76AC" w:rsidRDefault="002657CA">
      <w:pPr>
        <w:pStyle w:val="ListParagraph"/>
        <w:numPr>
          <w:ilvl w:val="0"/>
          <w:numId w:val="2"/>
        </w:numPr>
        <w:spacing w:after="100" w:line="300" w:lineRule="auto"/>
      </w:pPr>
      <w:r>
        <w:t>Incident log with severity triage, Section 22 notification decision tree, eServices portal notification checklist and deadline tracking.</w:t>
      </w:r>
    </w:p>
    <w:p w14:paraId="7EF7BE7B" w14:textId="77777777" w:rsidR="00AD76AC" w:rsidRDefault="002657CA">
      <w:pPr>
        <w:pStyle w:val="ListParagraph"/>
        <w:numPr>
          <w:ilvl w:val="0"/>
          <w:numId w:val="2"/>
        </w:numPr>
        <w:spacing w:after="100" w:line="300" w:lineRule="auto"/>
      </w:pPr>
      <w:r>
        <w:t>Post-incident review template with lessons-learned actions feeding the risk register.</w:t>
      </w:r>
    </w:p>
    <w:p w14:paraId="0153823A" w14:textId="77777777" w:rsidR="00AD76AC" w:rsidRDefault="002657CA">
      <w:pPr>
        <w:pStyle w:val="ListParagraph"/>
        <w:numPr>
          <w:ilvl w:val="0"/>
          <w:numId w:val="2"/>
        </w:numPr>
        <w:spacing w:after="100" w:line="300" w:lineRule="auto"/>
      </w:pPr>
      <w:r>
        <w:t>Regulator correspondence file maintained per incident.</w:t>
      </w:r>
    </w:p>
    <w:p w14:paraId="7BB7A330" w14:textId="77777777" w:rsidR="00AD76AC" w:rsidRDefault="002657CA">
      <w:pPr>
        <w:pStyle w:val="Heading2"/>
        <w:spacing w:before="260" w:after="140"/>
      </w:pPr>
      <w:bookmarkStart w:id="18" w:name="_Toc235165459"/>
      <w:r>
        <w:rPr>
          <w:b/>
          <w:bCs/>
          <w:sz w:val="25"/>
          <w:szCs w:val="25"/>
        </w:rPr>
        <w:t>4.6 Policy and Document Library</w:t>
      </w:r>
      <w:bookmarkEnd w:id="18"/>
    </w:p>
    <w:p w14:paraId="4EFC6A83" w14:textId="77777777" w:rsidR="00AD76AC" w:rsidRDefault="002657CA">
      <w:pPr>
        <w:pStyle w:val="ListParagraph"/>
        <w:numPr>
          <w:ilvl w:val="0"/>
          <w:numId w:val="2"/>
        </w:numPr>
        <w:spacing w:after="100" w:line="300" w:lineRule="auto"/>
      </w:pPr>
      <w:r>
        <w:t>Version-controlled policy suite: privacy policy, PAIA manual, retention schedule, DSAR procedure, incident response, acceptable use, BYOD.</w:t>
      </w:r>
    </w:p>
    <w:p w14:paraId="448F158E" w14:textId="77777777" w:rsidR="00AD76AC" w:rsidRDefault="002657CA">
      <w:pPr>
        <w:pStyle w:val="ListParagraph"/>
        <w:numPr>
          <w:ilvl w:val="0"/>
          <w:numId w:val="2"/>
        </w:numPr>
        <w:spacing w:after="100" w:line="300" w:lineRule="auto"/>
      </w:pPr>
      <w:r>
        <w:t>AI review of uploaded client policies against current regulatory requirements, flagging gaps and stale clauses (for example, pre-amendment Regulations references).</w:t>
      </w:r>
    </w:p>
    <w:p w14:paraId="403ACCFD" w14:textId="77777777" w:rsidR="00AD76AC" w:rsidRDefault="002657CA">
      <w:pPr>
        <w:pStyle w:val="Heading1"/>
        <w:spacing w:before="360" w:after="200"/>
      </w:pPr>
      <w:bookmarkStart w:id="19" w:name="_Toc235165460"/>
      <w:r>
        <w:rPr>
          <w:b/>
          <w:bCs/>
          <w:color w:val="1F3864"/>
          <w:sz w:val="30"/>
          <w:szCs w:val="30"/>
        </w:rPr>
        <w:t>5. Module 3 — DIO / DPO / Information Officer Management</w:t>
      </w:r>
      <w:bookmarkEnd w:id="19"/>
    </w:p>
    <w:p w14:paraId="2AD6EF09" w14:textId="77777777" w:rsidR="00AD76AC" w:rsidRDefault="002657CA">
      <w:pPr>
        <w:spacing w:after="160" w:line="300" w:lineRule="auto"/>
      </w:pPr>
      <w:r>
        <w:t>The differentiator. No mainstream SMB privacy tool treats the outsourced compliance-officer service model as a product primitive. The module supports the POPIA Information Officer / Deputy Information Officer structure natively, and the same engagement machinery serves the outsourced Data Protection Officer role under UK GDPR Articles 37–39 for the UK market (Phase 4 localisation) — one practice console, both regimes.</w:t>
      </w:r>
    </w:p>
    <w:p w14:paraId="129D000B" w14:textId="77777777" w:rsidR="00AD76AC" w:rsidRDefault="002657CA">
      <w:pPr>
        <w:pStyle w:val="Heading2"/>
        <w:spacing w:before="260" w:after="140"/>
      </w:pPr>
      <w:bookmarkStart w:id="20" w:name="_Toc235165461"/>
      <w:r>
        <w:rPr>
          <w:b/>
          <w:bCs/>
          <w:sz w:val="25"/>
          <w:szCs w:val="25"/>
        </w:rPr>
        <w:t>5.1 Multi-Tenant Practice Console</w:t>
      </w:r>
      <w:bookmarkEnd w:id="20"/>
    </w:p>
    <w:p w14:paraId="2C175C52" w14:textId="77777777" w:rsidR="00AD76AC" w:rsidRDefault="002657CA">
      <w:pPr>
        <w:pStyle w:val="ListParagraph"/>
        <w:numPr>
          <w:ilvl w:val="0"/>
          <w:numId w:val="2"/>
        </w:numPr>
        <w:spacing w:after="100" w:line="300" w:lineRule="auto"/>
      </w:pPr>
      <w:r>
        <w:t>Advisor-level dashboard across all client organisations: outstanding actions, upcoming deadlines, report status, and a risk heat map per client.</w:t>
      </w:r>
    </w:p>
    <w:p w14:paraId="173D83B8" w14:textId="77777777" w:rsidR="00AD76AC" w:rsidRDefault="002657CA">
      <w:pPr>
        <w:pStyle w:val="ListParagraph"/>
        <w:numPr>
          <w:ilvl w:val="0"/>
          <w:numId w:val="2"/>
        </w:numPr>
        <w:spacing w:after="100" w:line="300" w:lineRule="auto"/>
      </w:pPr>
      <w:r>
        <w:t>Role model distinguishing Information Officer (client-side), Deputy Information Officer (advisor-side), and internal delegates, with delegation instruments stored as evidence.</w:t>
      </w:r>
    </w:p>
    <w:p w14:paraId="2DF2D9B9" w14:textId="77777777" w:rsidR="00AD76AC" w:rsidRDefault="002657CA">
      <w:pPr>
        <w:pStyle w:val="Heading2"/>
        <w:spacing w:before="260" w:after="140"/>
      </w:pPr>
      <w:bookmarkStart w:id="21" w:name="_Toc235165462"/>
      <w:r>
        <w:rPr>
          <w:b/>
          <w:bCs/>
          <w:sz w:val="25"/>
          <w:szCs w:val="25"/>
        </w:rPr>
        <w:t>5.2 Statutory Duties Engine</w:t>
      </w:r>
      <w:bookmarkEnd w:id="21"/>
    </w:p>
    <w:p w14:paraId="58976AAB" w14:textId="77777777" w:rsidR="00AD76AC" w:rsidRDefault="002657CA">
      <w:pPr>
        <w:pStyle w:val="ListParagraph"/>
        <w:numPr>
          <w:ilvl w:val="0"/>
          <w:numId w:val="2"/>
        </w:numPr>
        <w:spacing w:after="100" w:line="300" w:lineRule="auto"/>
      </w:pPr>
      <w:r>
        <w:t>IO/DIO registration tracking with the Information Regulator, including renewal and change-notification prompts.</w:t>
      </w:r>
    </w:p>
    <w:p w14:paraId="43E40181" w14:textId="77777777" w:rsidR="00AD76AC" w:rsidRDefault="002657CA">
      <w:pPr>
        <w:pStyle w:val="ListParagraph"/>
        <w:numPr>
          <w:ilvl w:val="0"/>
          <w:numId w:val="2"/>
        </w:numPr>
        <w:spacing w:after="100" w:line="300" w:lineRule="auto"/>
      </w:pPr>
      <w:r>
        <w:t>PAIA obligations: Section 51 manual generation and annual review reminders; PAIA annual return preparation and submission tracking.</w:t>
      </w:r>
    </w:p>
    <w:p w14:paraId="1D1A9479" w14:textId="77777777" w:rsidR="00AD76AC" w:rsidRDefault="002657CA">
      <w:pPr>
        <w:pStyle w:val="ListParagraph"/>
        <w:numPr>
          <w:ilvl w:val="0"/>
          <w:numId w:val="2"/>
        </w:numPr>
        <w:spacing w:after="100" w:line="300" w:lineRule="auto"/>
      </w:pPr>
      <w:r>
        <w:t>Annual compliance calendar auto-generated per client: training refreshers, ROPA reviews, vendor reassessments, awareness campaigns.</w:t>
      </w:r>
    </w:p>
    <w:p w14:paraId="1FBE9AEF" w14:textId="77777777" w:rsidR="00AD76AC" w:rsidRDefault="002657CA">
      <w:pPr>
        <w:pStyle w:val="Heading2"/>
        <w:spacing w:before="260" w:after="140"/>
      </w:pPr>
      <w:bookmarkStart w:id="22" w:name="_Toc235165463"/>
      <w:r>
        <w:rPr>
          <w:b/>
          <w:bCs/>
          <w:sz w:val="25"/>
          <w:szCs w:val="25"/>
        </w:rPr>
        <w:t>5.3 Engagement and Evidence Management</w:t>
      </w:r>
      <w:bookmarkEnd w:id="22"/>
    </w:p>
    <w:p w14:paraId="6E4A8668" w14:textId="77777777" w:rsidR="00AD76AC" w:rsidRDefault="002657CA">
      <w:pPr>
        <w:pStyle w:val="ListParagraph"/>
        <w:numPr>
          <w:ilvl w:val="0"/>
          <w:numId w:val="2"/>
        </w:numPr>
        <w:spacing w:after="100" w:line="300" w:lineRule="auto"/>
      </w:pPr>
      <w:r>
        <w:lastRenderedPageBreak/>
        <w:t>Per-client engagement file: scope of work, meeting minutes, and an advice log providing a defensible record of advice given — critical for advisor liability management.</w:t>
      </w:r>
    </w:p>
    <w:p w14:paraId="3C133DD7" w14:textId="77777777" w:rsidR="00AD76AC" w:rsidRDefault="002657CA">
      <w:pPr>
        <w:pStyle w:val="ListParagraph"/>
        <w:numPr>
          <w:ilvl w:val="0"/>
          <w:numId w:val="2"/>
        </w:numPr>
        <w:spacing w:after="100" w:line="300" w:lineRule="auto"/>
      </w:pPr>
      <w:r>
        <w:t>Training and awareness tracking per staff member, with completion evidence.</w:t>
      </w:r>
    </w:p>
    <w:p w14:paraId="493836E6" w14:textId="77777777" w:rsidR="00AD76AC" w:rsidRDefault="002657CA">
      <w:pPr>
        <w:pStyle w:val="Heading2"/>
        <w:spacing w:before="260" w:after="140"/>
      </w:pPr>
      <w:bookmarkStart w:id="23" w:name="_Toc235165464"/>
      <w:r>
        <w:rPr>
          <w:b/>
          <w:bCs/>
          <w:sz w:val="25"/>
          <w:szCs w:val="25"/>
        </w:rPr>
        <w:t>5.4 Conflict and Independence Register</w:t>
      </w:r>
      <w:bookmarkEnd w:id="23"/>
    </w:p>
    <w:p w14:paraId="0C9EEE93" w14:textId="77777777" w:rsidR="00AD76AC" w:rsidRDefault="002657CA">
      <w:pPr>
        <w:pStyle w:val="ListParagraph"/>
        <w:numPr>
          <w:ilvl w:val="0"/>
          <w:numId w:val="2"/>
        </w:numPr>
        <w:spacing w:after="100" w:line="300" w:lineRule="auto"/>
      </w:pPr>
      <w:r>
        <w:t>Log of declared conflicts (for example, where the advisor also supplies IT services within the client’s ecosystem) — a small feature that signals professional maturity to the channel market.</w:t>
      </w:r>
    </w:p>
    <w:p w14:paraId="483328C9" w14:textId="77777777" w:rsidR="00AD76AC" w:rsidRDefault="002657CA">
      <w:pPr>
        <w:pStyle w:val="Heading1"/>
        <w:spacing w:before="360" w:after="200"/>
      </w:pPr>
      <w:bookmarkStart w:id="24" w:name="_Toc235165465"/>
      <w:r>
        <w:rPr>
          <w:b/>
          <w:bCs/>
          <w:color w:val="1F3864"/>
          <w:sz w:val="30"/>
          <w:szCs w:val="30"/>
        </w:rPr>
        <w:t>6. Module 4 — Monthly Reporting and Compliance Monitoring</w:t>
      </w:r>
      <w:bookmarkEnd w:id="24"/>
    </w:p>
    <w:p w14:paraId="6DB08760" w14:textId="77777777" w:rsidR="00AD76AC" w:rsidRDefault="002657CA">
      <w:pPr>
        <w:spacing w:after="160" w:line="300" w:lineRule="auto"/>
      </w:pPr>
      <w:r>
        <w:t>The retention engine. Monthly reporting is what makes the subscription sticky and what makes the DIO retainer visibly valuable to the client’s board.</w:t>
      </w:r>
    </w:p>
    <w:p w14:paraId="28465E58" w14:textId="77777777" w:rsidR="00AD76AC" w:rsidRDefault="002657CA">
      <w:pPr>
        <w:pStyle w:val="Heading2"/>
        <w:spacing w:before="260" w:after="140"/>
      </w:pPr>
      <w:bookmarkStart w:id="25" w:name="_Toc235165466"/>
      <w:r>
        <w:rPr>
          <w:b/>
          <w:bCs/>
          <w:sz w:val="25"/>
          <w:szCs w:val="25"/>
        </w:rPr>
        <w:t>6.1 Automated Compliance Monitoring Report</w:t>
      </w:r>
      <w:bookmarkEnd w:id="25"/>
    </w:p>
    <w:p w14:paraId="2E9E222C" w14:textId="77777777" w:rsidR="00AD76AC" w:rsidRDefault="002657CA">
      <w:pPr>
        <w:pStyle w:val="ListParagraph"/>
        <w:numPr>
          <w:ilvl w:val="0"/>
          <w:numId w:val="2"/>
        </w:numPr>
        <w:spacing w:after="100" w:line="300" w:lineRule="auto"/>
      </w:pPr>
      <w:r>
        <w:t>One-click monthly report per client compiling: open actions and movement, DSAR volumes and turnaround, incidents, vendor assessment status, DPIA pipeline, training completion, risk register changes, and regulatory developments.</w:t>
      </w:r>
    </w:p>
    <w:p w14:paraId="0391C16A" w14:textId="77777777" w:rsidR="00AD76AC" w:rsidRDefault="002657CA">
      <w:pPr>
        <w:pStyle w:val="ListParagraph"/>
        <w:numPr>
          <w:ilvl w:val="0"/>
          <w:numId w:val="2"/>
        </w:numPr>
        <w:spacing w:after="100" w:line="300" w:lineRule="auto"/>
      </w:pPr>
      <w:r>
        <w:t>AI-drafted executive narrative summarising the month in plain language for non-specialist directors, with the advisor editing rather than authoring.</w:t>
      </w:r>
    </w:p>
    <w:p w14:paraId="09B5A14E" w14:textId="77777777" w:rsidR="00AD76AC" w:rsidRDefault="002657CA">
      <w:pPr>
        <w:pStyle w:val="ListParagraph"/>
        <w:numPr>
          <w:ilvl w:val="0"/>
          <w:numId w:val="2"/>
        </w:numPr>
        <w:spacing w:after="100" w:line="300" w:lineRule="auto"/>
      </w:pPr>
      <w:r>
        <w:t>Export to branded Word/PDF; board-pack mode with a traffic-light summary page.</w:t>
      </w:r>
    </w:p>
    <w:p w14:paraId="17F9DDBE" w14:textId="77777777" w:rsidR="00AD76AC" w:rsidRDefault="002657CA">
      <w:pPr>
        <w:pStyle w:val="Heading2"/>
        <w:spacing w:before="260" w:after="140"/>
      </w:pPr>
      <w:bookmarkStart w:id="26" w:name="_Toc235165467"/>
      <w:r>
        <w:rPr>
          <w:b/>
          <w:bCs/>
          <w:sz w:val="25"/>
          <w:szCs w:val="25"/>
        </w:rPr>
        <w:t>6.2 KPI and Trend Dashboards</w:t>
      </w:r>
      <w:bookmarkEnd w:id="26"/>
    </w:p>
    <w:p w14:paraId="67BC8289" w14:textId="77777777" w:rsidR="00AD76AC" w:rsidRDefault="002657CA">
      <w:pPr>
        <w:pStyle w:val="ListParagraph"/>
        <w:numPr>
          <w:ilvl w:val="0"/>
          <w:numId w:val="2"/>
        </w:numPr>
        <w:spacing w:after="100" w:line="300" w:lineRule="auto"/>
      </w:pPr>
      <w:r>
        <w:t>Compliance posture score per client with trend over time — a powerful renewal-conversation artefact.</w:t>
      </w:r>
    </w:p>
    <w:p w14:paraId="45E8AAAB" w14:textId="77777777" w:rsidR="00AD76AC" w:rsidRDefault="002657CA">
      <w:pPr>
        <w:pStyle w:val="ListParagraph"/>
        <w:numPr>
          <w:ilvl w:val="0"/>
          <w:numId w:val="2"/>
        </w:numPr>
        <w:spacing w:after="100" w:line="300" w:lineRule="auto"/>
      </w:pPr>
      <w:r>
        <w:t>Cross-client benchmarking for the advisor (“your posture versus anonymised peer average”).</w:t>
      </w:r>
    </w:p>
    <w:p w14:paraId="09E8475A" w14:textId="77777777" w:rsidR="00AD76AC" w:rsidRDefault="002657CA">
      <w:pPr>
        <w:pStyle w:val="Heading2"/>
        <w:spacing w:before="260" w:after="140"/>
      </w:pPr>
      <w:bookmarkStart w:id="27" w:name="_Toc235165468"/>
      <w:r>
        <w:rPr>
          <w:b/>
          <w:bCs/>
          <w:sz w:val="25"/>
          <w:szCs w:val="25"/>
        </w:rPr>
        <w:t>6.3 Evidence Repository</w:t>
      </w:r>
      <w:bookmarkEnd w:id="27"/>
    </w:p>
    <w:p w14:paraId="2F060A62" w14:textId="77777777" w:rsidR="00AD76AC" w:rsidRDefault="002657CA">
      <w:pPr>
        <w:pStyle w:val="ListParagraph"/>
        <w:numPr>
          <w:ilvl w:val="0"/>
          <w:numId w:val="2"/>
        </w:numPr>
        <w:spacing w:after="100" w:line="300" w:lineRule="auto"/>
      </w:pPr>
      <w:r>
        <w:t xml:space="preserve">Every report </w:t>
      </w:r>
      <w:proofErr w:type="gramStart"/>
      <w:r>
        <w:t>line item</w:t>
      </w:r>
      <w:proofErr w:type="gramEnd"/>
      <w:r>
        <w:t xml:space="preserve"> links to underlying evidence — audit-ready by construction, which is exactly what an Information Regulator assessment or cyber insurer wants to see.</w:t>
      </w:r>
    </w:p>
    <w:p w14:paraId="15C91E68" w14:textId="77777777" w:rsidR="00AD76AC" w:rsidRDefault="002657CA">
      <w:pPr>
        <w:pStyle w:val="Heading2"/>
        <w:spacing w:before="260" w:after="140"/>
      </w:pPr>
      <w:bookmarkStart w:id="28" w:name="_Toc235165469"/>
      <w:r>
        <w:rPr>
          <w:b/>
          <w:bCs/>
          <w:sz w:val="25"/>
          <w:szCs w:val="25"/>
        </w:rPr>
        <w:t>6.4 Regulatory Watch</w:t>
      </w:r>
      <w:bookmarkEnd w:id="28"/>
    </w:p>
    <w:p w14:paraId="5FA03639" w14:textId="77777777" w:rsidR="00AD76AC" w:rsidRDefault="002657CA">
      <w:pPr>
        <w:pStyle w:val="ListParagraph"/>
        <w:numPr>
          <w:ilvl w:val="0"/>
          <w:numId w:val="2"/>
        </w:numPr>
        <w:spacing w:after="100" w:line="300" w:lineRule="auto"/>
      </w:pPr>
      <w:r>
        <w:t>Curated feed of POPIA/PAIA regulatory developments (amended Regulations, Regulator guidance, enforcement notices), AI-summarised with “does this affect this client?” impact flags routed into the monthly report.</w:t>
      </w:r>
    </w:p>
    <w:p w14:paraId="204D1CA0" w14:textId="77777777" w:rsidR="00AD76AC" w:rsidRDefault="002657CA">
      <w:pPr>
        <w:pStyle w:val="Heading1"/>
        <w:spacing w:before="360" w:after="200"/>
      </w:pPr>
      <w:bookmarkStart w:id="29" w:name="_Toc235165470"/>
      <w:r>
        <w:rPr>
          <w:b/>
          <w:bCs/>
          <w:color w:val="1F3864"/>
          <w:sz w:val="30"/>
          <w:szCs w:val="30"/>
        </w:rPr>
        <w:t>7. Module 5 — Cybersecurity Framework Mapping</w:t>
      </w:r>
      <w:bookmarkEnd w:id="29"/>
    </w:p>
    <w:p w14:paraId="494FD987" w14:textId="77777777" w:rsidR="00AD76AC" w:rsidRDefault="002657CA">
      <w:pPr>
        <w:spacing w:after="160" w:line="300" w:lineRule="auto"/>
      </w:pPr>
      <w:r>
        <w:t>Bridges the privacy programme to security controls, so one assessment produces multiple outputs.</w:t>
      </w:r>
    </w:p>
    <w:p w14:paraId="1758DAC0" w14:textId="77777777" w:rsidR="00AD76AC" w:rsidRDefault="002657CA">
      <w:pPr>
        <w:pStyle w:val="Heading2"/>
        <w:spacing w:before="260" w:after="140"/>
      </w:pPr>
      <w:bookmarkStart w:id="30" w:name="_Toc235165471"/>
      <w:r>
        <w:rPr>
          <w:b/>
          <w:bCs/>
          <w:sz w:val="25"/>
          <w:szCs w:val="25"/>
        </w:rPr>
        <w:t>7.1 Control Framework Library</w:t>
      </w:r>
      <w:bookmarkEnd w:id="30"/>
    </w:p>
    <w:p w14:paraId="46CCAEE6" w14:textId="77777777" w:rsidR="00AD76AC" w:rsidRDefault="002657CA">
      <w:pPr>
        <w:pStyle w:val="ListParagraph"/>
        <w:numPr>
          <w:ilvl w:val="0"/>
          <w:numId w:val="2"/>
        </w:numPr>
        <w:spacing w:after="100" w:line="300" w:lineRule="auto"/>
      </w:pPr>
      <w:r>
        <w:t>CIS Controls v8.1 (IG1 as the SMB default, IG2 optional), NIST CSF 2.0, ISO/IEC 27001:2022 Annex A, and UK Cyber Essentials.</w:t>
      </w:r>
    </w:p>
    <w:p w14:paraId="355E7B68" w14:textId="77777777" w:rsidR="00AD76AC" w:rsidRDefault="002657CA">
      <w:pPr>
        <w:pStyle w:val="ListParagraph"/>
        <w:numPr>
          <w:ilvl w:val="0"/>
          <w:numId w:val="2"/>
        </w:numPr>
        <w:spacing w:after="100" w:line="300" w:lineRule="auto"/>
      </w:pPr>
      <w:r>
        <w:lastRenderedPageBreak/>
        <w:t>Pre-built cross-mappings between frameworks and to POPIA Section 19 “appropriate, reasonable technical and organisational measures”.</w:t>
      </w:r>
    </w:p>
    <w:p w14:paraId="04B1140F" w14:textId="77777777" w:rsidR="00AD76AC" w:rsidRDefault="002657CA">
      <w:pPr>
        <w:pStyle w:val="Heading2"/>
        <w:spacing w:before="260" w:after="140"/>
      </w:pPr>
      <w:bookmarkStart w:id="31" w:name="_Toc235165472"/>
      <w:r>
        <w:rPr>
          <w:b/>
          <w:bCs/>
          <w:sz w:val="25"/>
          <w:szCs w:val="25"/>
        </w:rPr>
        <w:t>7.2 IT Risk Register</w:t>
      </w:r>
      <w:bookmarkEnd w:id="31"/>
    </w:p>
    <w:p w14:paraId="185B3DAC" w14:textId="77777777" w:rsidR="00AD76AC" w:rsidRDefault="002657CA">
      <w:pPr>
        <w:pStyle w:val="ListParagraph"/>
        <w:numPr>
          <w:ilvl w:val="0"/>
          <w:numId w:val="2"/>
        </w:numPr>
        <w:spacing w:after="100" w:line="300" w:lineRule="auto"/>
      </w:pPr>
      <w:r>
        <w:t>Structured register with likelihood/impact scoring, treatment plans, owner assignment, review cadence, and version history.</w:t>
      </w:r>
    </w:p>
    <w:p w14:paraId="7F59A820" w14:textId="77777777" w:rsidR="00AD76AC" w:rsidRDefault="002657CA">
      <w:pPr>
        <w:pStyle w:val="ListParagraph"/>
        <w:numPr>
          <w:ilvl w:val="0"/>
          <w:numId w:val="2"/>
        </w:numPr>
        <w:spacing w:after="100" w:line="300" w:lineRule="auto"/>
      </w:pPr>
      <w:r>
        <w:t>Merge and import support for consolidating inputs from multiple contributors.</w:t>
      </w:r>
    </w:p>
    <w:p w14:paraId="2D93E01E" w14:textId="77777777" w:rsidR="00AD76AC" w:rsidRDefault="002657CA">
      <w:pPr>
        <w:pStyle w:val="ListParagraph"/>
        <w:numPr>
          <w:ilvl w:val="0"/>
          <w:numId w:val="2"/>
        </w:numPr>
        <w:spacing w:after="100" w:line="300" w:lineRule="auto"/>
      </w:pPr>
      <w:r>
        <w:t xml:space="preserve">Risks </w:t>
      </w:r>
      <w:proofErr w:type="gramStart"/>
      <w:r>
        <w:t>auto-linked</w:t>
      </w:r>
      <w:proofErr w:type="gramEnd"/>
      <w:r>
        <w:t xml:space="preserve"> to the controls that mitigate them and the processing activities they threaten. The three-way linkage (risk ↔ control ↔ processing activity) is the analytical core of the product.</w:t>
      </w:r>
    </w:p>
    <w:p w14:paraId="1D09A88E" w14:textId="77777777" w:rsidR="00AD76AC" w:rsidRDefault="002657CA">
      <w:pPr>
        <w:pStyle w:val="Heading2"/>
        <w:spacing w:before="260" w:after="140"/>
      </w:pPr>
      <w:bookmarkStart w:id="32" w:name="_Toc235165473"/>
      <w:r>
        <w:rPr>
          <w:b/>
          <w:bCs/>
          <w:sz w:val="25"/>
          <w:szCs w:val="25"/>
        </w:rPr>
        <w:t>7.3 Framework Self-Assessment and Gap Analysis</w:t>
      </w:r>
      <w:bookmarkEnd w:id="32"/>
    </w:p>
    <w:p w14:paraId="16941845" w14:textId="77777777" w:rsidR="00AD76AC" w:rsidRDefault="002657CA">
      <w:pPr>
        <w:pStyle w:val="ListParagraph"/>
        <w:numPr>
          <w:ilvl w:val="0"/>
          <w:numId w:val="2"/>
        </w:numPr>
        <w:spacing w:after="100" w:line="300" w:lineRule="auto"/>
      </w:pPr>
      <w:r>
        <w:t>Guided self-assessment questionnaires per framework, with AI pre-population from previously uploaded evidence and prior assessments.</w:t>
      </w:r>
    </w:p>
    <w:p w14:paraId="4A73C9E3" w14:textId="77777777" w:rsidR="00AD76AC" w:rsidRDefault="002657CA">
      <w:pPr>
        <w:pStyle w:val="ListParagraph"/>
        <w:numPr>
          <w:ilvl w:val="0"/>
          <w:numId w:val="2"/>
        </w:numPr>
        <w:spacing w:after="100" w:line="300" w:lineRule="auto"/>
      </w:pPr>
      <w:r>
        <w:t>Gap report with a prioritised remediation roadmap sized for SMB budgets.</w:t>
      </w:r>
    </w:p>
    <w:p w14:paraId="5714D37E" w14:textId="77777777" w:rsidR="00AD76AC" w:rsidRDefault="002657CA">
      <w:pPr>
        <w:pStyle w:val="ListParagraph"/>
        <w:numPr>
          <w:ilvl w:val="0"/>
          <w:numId w:val="2"/>
        </w:numPr>
        <w:spacing w:after="100" w:line="300" w:lineRule="auto"/>
      </w:pPr>
      <w:r>
        <w:t>“Answer once, satisfy many”: a single evidenced control satisfies its mapped requirements across all frameworks simultaneously.</w:t>
      </w:r>
    </w:p>
    <w:p w14:paraId="5502744B" w14:textId="77777777" w:rsidR="00AD76AC" w:rsidRDefault="002657CA">
      <w:pPr>
        <w:pStyle w:val="Heading2"/>
        <w:spacing w:before="260" w:after="140"/>
      </w:pPr>
      <w:bookmarkStart w:id="33" w:name="_Toc235165474"/>
      <w:r>
        <w:rPr>
          <w:b/>
          <w:bCs/>
          <w:sz w:val="25"/>
          <w:szCs w:val="25"/>
        </w:rPr>
        <w:t>7.4 Cyber Insurance and Due-Diligence Mode</w:t>
      </w:r>
      <w:bookmarkEnd w:id="33"/>
    </w:p>
    <w:p w14:paraId="5A34542F" w14:textId="77777777" w:rsidR="00AD76AC" w:rsidRDefault="002657CA">
      <w:pPr>
        <w:pStyle w:val="ListParagraph"/>
        <w:numPr>
          <w:ilvl w:val="0"/>
          <w:numId w:val="2"/>
        </w:numPr>
        <w:spacing w:after="100" w:line="300" w:lineRule="auto"/>
      </w:pPr>
      <w:r>
        <w:t>Generate responses to insurer proposal forms and client security questionnaires from the existing control evidence base — an immediate, tangible time-saver SMBs will pay for on its own.</w:t>
      </w:r>
    </w:p>
    <w:p w14:paraId="248E8158" w14:textId="77777777" w:rsidR="00AD76AC" w:rsidRDefault="002657CA">
      <w:pPr>
        <w:pStyle w:val="Heading1"/>
        <w:spacing w:before="360" w:after="200"/>
      </w:pPr>
      <w:bookmarkStart w:id="34" w:name="_Toc235165475"/>
      <w:r>
        <w:rPr>
          <w:b/>
          <w:bCs/>
          <w:color w:val="1F3864"/>
          <w:sz w:val="30"/>
          <w:szCs w:val="30"/>
        </w:rPr>
        <w:t>8. AI Capability Layer (Cross-Cutting)</w:t>
      </w:r>
      <w:bookmarkEnd w:id="34"/>
    </w:p>
    <w:p w14:paraId="0A04C086" w14:textId="77777777" w:rsidR="00AD76AC" w:rsidRDefault="002657CA">
      <w:pPr>
        <w:spacing w:after="160" w:line="300" w:lineRule="auto"/>
      </w:pPr>
      <w:r>
        <w:t>AI performs the drafting, extraction, and monitoring; humans approve. The capability is positioned explicitly as assistive, never as automated decision-making — the product must be exemplary under the very Section 71 rules it helps clients manage.</w:t>
      </w:r>
    </w:p>
    <w:p w14:paraId="735A86F4" w14:textId="77777777" w:rsidR="00AD76AC" w:rsidRDefault="002657CA">
      <w:pPr>
        <w:pStyle w:val="ListParagraph"/>
        <w:numPr>
          <w:ilvl w:val="0"/>
          <w:numId w:val="2"/>
        </w:numPr>
        <w:spacing w:after="100" w:line="300" w:lineRule="auto"/>
      </w:pPr>
      <w:r>
        <w:rPr>
          <w:b/>
          <w:bCs/>
        </w:rPr>
        <w:t xml:space="preserve">Document intelligence: </w:t>
      </w:r>
      <w:r>
        <w:t>AI ingests contracts, DPAs, policies and questionnaire responses; extracts obligations, flags missing clauses, and populates registers.</w:t>
      </w:r>
    </w:p>
    <w:p w14:paraId="72F83A45" w14:textId="77777777" w:rsidR="00AD76AC" w:rsidRDefault="002657CA">
      <w:pPr>
        <w:pStyle w:val="ListParagraph"/>
        <w:numPr>
          <w:ilvl w:val="0"/>
          <w:numId w:val="2"/>
        </w:numPr>
        <w:spacing w:after="100" w:line="300" w:lineRule="auto"/>
      </w:pPr>
      <w:r>
        <w:rPr>
          <w:b/>
          <w:bCs/>
        </w:rPr>
        <w:t xml:space="preserve">Drafting assistance: </w:t>
      </w:r>
      <w:r>
        <w:t>DPIAs, DSAR responses, breach notifications, monthly report narratives, board summaries — always human-reviewed before issue.</w:t>
      </w:r>
    </w:p>
    <w:p w14:paraId="37E05E2E" w14:textId="77777777" w:rsidR="00AD76AC" w:rsidRDefault="002657CA">
      <w:pPr>
        <w:pStyle w:val="ListParagraph"/>
        <w:numPr>
          <w:ilvl w:val="0"/>
          <w:numId w:val="2"/>
        </w:numPr>
        <w:spacing w:after="100" w:line="300" w:lineRule="auto"/>
      </w:pPr>
      <w:r>
        <w:rPr>
          <w:b/>
          <w:bCs/>
        </w:rPr>
        <w:t xml:space="preserve">Gap analysis engine: </w:t>
      </w:r>
      <w:r>
        <w:t>Compares a client’s evidence base against a selected framework and produces prioritised findings.</w:t>
      </w:r>
    </w:p>
    <w:p w14:paraId="3589E0F4" w14:textId="77777777" w:rsidR="00AD76AC" w:rsidRDefault="002657CA">
      <w:pPr>
        <w:pStyle w:val="ListParagraph"/>
        <w:numPr>
          <w:ilvl w:val="0"/>
          <w:numId w:val="2"/>
        </w:numPr>
        <w:spacing w:after="100" w:line="300" w:lineRule="auto"/>
      </w:pPr>
      <w:r>
        <w:rPr>
          <w:b/>
          <w:bCs/>
        </w:rPr>
        <w:t xml:space="preserve">Regulatory monitoring: </w:t>
      </w:r>
      <w:r>
        <w:t>Summarised updates with per-client impact assessment.</w:t>
      </w:r>
    </w:p>
    <w:p w14:paraId="0587CD1B" w14:textId="77777777" w:rsidR="00AD76AC" w:rsidRDefault="002657CA">
      <w:pPr>
        <w:pStyle w:val="ListParagraph"/>
        <w:numPr>
          <w:ilvl w:val="0"/>
          <w:numId w:val="2"/>
        </w:numPr>
        <w:spacing w:after="100" w:line="300" w:lineRule="auto"/>
      </w:pPr>
      <w:r>
        <w:rPr>
          <w:b/>
          <w:bCs/>
        </w:rPr>
        <w:t xml:space="preserve">Advisor copilot: </w:t>
      </w:r>
      <w:r>
        <w:t>Conversational interface over the client’s compliance corpus (“what open DPIA conditions does this client have?”; “draft the Section 72 rationale for this vendor”).</w:t>
      </w:r>
    </w:p>
    <w:p w14:paraId="45D43DD4" w14:textId="77777777" w:rsidR="00AD76AC" w:rsidRDefault="002657CA">
      <w:pPr>
        <w:pStyle w:val="ListParagraph"/>
        <w:numPr>
          <w:ilvl w:val="0"/>
          <w:numId w:val="2"/>
        </w:numPr>
        <w:spacing w:after="100" w:line="300" w:lineRule="auto"/>
      </w:pPr>
      <w:r>
        <w:rPr>
          <w:b/>
          <w:bCs/>
        </w:rPr>
        <w:t xml:space="preserve">AI governance built in: </w:t>
      </w:r>
      <w:r>
        <w:t>Model and data-residency disclosure, no training on client data, per-tenant isolation, human-approval gates logged as evidence, and a published DPIA of the platform itself — a sales asset, not just an obligation.</w:t>
      </w:r>
    </w:p>
    <w:p w14:paraId="7A54D09E" w14:textId="77777777" w:rsidR="00AD76AC" w:rsidRDefault="002657CA">
      <w:pPr>
        <w:pStyle w:val="Heading1"/>
        <w:spacing w:before="360" w:after="200"/>
      </w:pPr>
      <w:bookmarkStart w:id="35" w:name="_Toc235165476"/>
      <w:r>
        <w:rPr>
          <w:b/>
          <w:bCs/>
          <w:color w:val="1F3864"/>
          <w:sz w:val="30"/>
          <w:szCs w:val="30"/>
        </w:rPr>
        <w:t>9. Architecture and Non-Functional Requirements</w:t>
      </w:r>
      <w:bookmarkEnd w:id="35"/>
    </w:p>
    <w:p w14:paraId="22D43F1A" w14:textId="77777777" w:rsidR="00AD76AC" w:rsidRDefault="002657CA">
      <w:pPr>
        <w:pStyle w:val="ListParagraph"/>
        <w:numPr>
          <w:ilvl w:val="0"/>
          <w:numId w:val="2"/>
        </w:numPr>
        <w:spacing w:after="100" w:line="300" w:lineRule="auto"/>
      </w:pPr>
      <w:r>
        <w:rPr>
          <w:b/>
          <w:bCs/>
        </w:rPr>
        <w:lastRenderedPageBreak/>
        <w:t xml:space="preserve">Multi-tenancy: </w:t>
      </w:r>
      <w:r>
        <w:t>Hard tenant isolation; advisor → client hierarchy; white-label theming at advisor level.</w:t>
      </w:r>
    </w:p>
    <w:p w14:paraId="43858C1B" w14:textId="77777777" w:rsidR="00AD76AC" w:rsidRDefault="002657CA">
      <w:pPr>
        <w:pStyle w:val="ListParagraph"/>
        <w:numPr>
          <w:ilvl w:val="0"/>
          <w:numId w:val="2"/>
        </w:numPr>
        <w:spacing w:after="100" w:line="300" w:lineRule="auto"/>
      </w:pPr>
      <w:r>
        <w:rPr>
          <w:b/>
          <w:bCs/>
        </w:rPr>
        <w:t xml:space="preserve">Data residency: </w:t>
      </w:r>
      <w:r>
        <w:t>SA-region hosting for South African clients (POPIA cross-border simplification and a strong selling point); UK/EU region for UK expansion.</w:t>
      </w:r>
    </w:p>
    <w:p w14:paraId="755CC278" w14:textId="77777777" w:rsidR="00AD76AC" w:rsidRDefault="002657CA">
      <w:pPr>
        <w:pStyle w:val="ListParagraph"/>
        <w:numPr>
          <w:ilvl w:val="0"/>
          <w:numId w:val="2"/>
        </w:numPr>
        <w:spacing w:after="100" w:line="300" w:lineRule="auto"/>
      </w:pPr>
      <w:r>
        <w:rPr>
          <w:b/>
          <w:bCs/>
        </w:rPr>
        <w:t xml:space="preserve">Security posture: </w:t>
      </w:r>
      <w:r>
        <w:t>The platform must itself certify against what it sells — target ISO 27001, or at minimum CIS IG1 self-attestation with published evidence, plus SSO/MFA, granular RBAC, full audit logging, and encryption at rest and in transit.</w:t>
      </w:r>
    </w:p>
    <w:p w14:paraId="029D6D8F" w14:textId="77777777" w:rsidR="00AD76AC" w:rsidRDefault="002657CA">
      <w:pPr>
        <w:pStyle w:val="ListParagraph"/>
        <w:numPr>
          <w:ilvl w:val="0"/>
          <w:numId w:val="2"/>
        </w:numPr>
        <w:spacing w:after="100" w:line="300" w:lineRule="auto"/>
      </w:pPr>
      <w:r>
        <w:rPr>
          <w:b/>
          <w:bCs/>
        </w:rPr>
        <w:t xml:space="preserve">Integrations (phased): </w:t>
      </w:r>
      <w:r>
        <w:t>Microsoft 365 (documents; users for training tracking), email, e-signature, ticketing (for the MSP channel), and export APIs.</w:t>
      </w:r>
    </w:p>
    <w:p w14:paraId="6C80B314" w14:textId="77777777" w:rsidR="00AD76AC" w:rsidRDefault="002657CA">
      <w:pPr>
        <w:pStyle w:val="ListParagraph"/>
        <w:numPr>
          <w:ilvl w:val="0"/>
          <w:numId w:val="2"/>
        </w:numPr>
        <w:spacing w:after="100" w:line="300" w:lineRule="auto"/>
      </w:pPr>
      <w:r>
        <w:rPr>
          <w:b/>
          <w:bCs/>
        </w:rPr>
        <w:t xml:space="preserve">Offline-friendly outputs: </w:t>
      </w:r>
      <w:r>
        <w:t>Everything exportable to Word, PDF, and Excel — SMB boards and regulators still live in documents.</w:t>
      </w:r>
    </w:p>
    <w:p w14:paraId="206305F3" w14:textId="77777777" w:rsidR="00AD76AC" w:rsidRDefault="002657CA">
      <w:pPr>
        <w:pStyle w:val="Heading1"/>
        <w:spacing w:before="360" w:after="200"/>
      </w:pPr>
      <w:bookmarkStart w:id="36" w:name="_Toc235165477"/>
      <w:r>
        <w:rPr>
          <w:b/>
          <w:bCs/>
          <w:color w:val="1F3864"/>
          <w:sz w:val="30"/>
          <w:szCs w:val="30"/>
        </w:rPr>
        <w:t>10. Why This Wins in the SMB Market</w:t>
      </w:r>
      <w:bookmarkEnd w:id="3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2600"/>
        <w:gridCol w:w="6260"/>
      </w:tblGrid>
      <w:tr w:rsidR="00AD76AC" w14:paraId="7D317988" w14:textId="77777777">
        <w:tblPrEx>
          <w:tblCellMar>
            <w:top w:w="0" w:type="dxa"/>
            <w:bottom w:w="0" w:type="dxa"/>
          </w:tblCellMar>
        </w:tblPrEx>
        <w:trPr>
          <w:tblHeader/>
        </w:trPr>
        <w:tc>
          <w:tcPr>
            <w:tcW w:w="500" w:type="dxa"/>
            <w:shd w:val="clear" w:color="auto" w:fill="1F3864"/>
            <w:tcMar>
              <w:top w:w="80" w:type="dxa"/>
              <w:left w:w="120" w:type="dxa"/>
              <w:bottom w:w="80" w:type="dxa"/>
              <w:right w:w="120" w:type="dxa"/>
            </w:tcMar>
          </w:tcPr>
          <w:p w14:paraId="11E7F340" w14:textId="77777777" w:rsidR="00AD76AC" w:rsidRDefault="002657CA">
            <w:r>
              <w:rPr>
                <w:b/>
                <w:bCs/>
                <w:color w:val="FFFFFF"/>
                <w:sz w:val="20"/>
                <w:szCs w:val="20"/>
              </w:rPr>
              <w:t>#</w:t>
            </w:r>
          </w:p>
        </w:tc>
        <w:tc>
          <w:tcPr>
            <w:tcW w:w="2600" w:type="dxa"/>
            <w:shd w:val="clear" w:color="auto" w:fill="1F3864"/>
            <w:tcMar>
              <w:top w:w="80" w:type="dxa"/>
              <w:left w:w="120" w:type="dxa"/>
              <w:bottom w:w="80" w:type="dxa"/>
              <w:right w:w="120" w:type="dxa"/>
            </w:tcMar>
          </w:tcPr>
          <w:p w14:paraId="0A6BAC07" w14:textId="77777777" w:rsidR="00AD76AC" w:rsidRDefault="002657CA">
            <w:r>
              <w:rPr>
                <w:b/>
                <w:bCs/>
                <w:color w:val="FFFFFF"/>
                <w:sz w:val="20"/>
                <w:szCs w:val="20"/>
              </w:rPr>
              <w:t>Differentiator</w:t>
            </w:r>
          </w:p>
        </w:tc>
        <w:tc>
          <w:tcPr>
            <w:tcW w:w="6260" w:type="dxa"/>
            <w:shd w:val="clear" w:color="auto" w:fill="1F3864"/>
            <w:tcMar>
              <w:top w:w="80" w:type="dxa"/>
              <w:left w:w="120" w:type="dxa"/>
              <w:bottom w:w="80" w:type="dxa"/>
              <w:right w:w="120" w:type="dxa"/>
            </w:tcMar>
          </w:tcPr>
          <w:p w14:paraId="5FB350D9" w14:textId="77777777" w:rsidR="00AD76AC" w:rsidRDefault="002657CA">
            <w:r>
              <w:rPr>
                <w:b/>
                <w:bCs/>
                <w:color w:val="FFFFFF"/>
                <w:sz w:val="20"/>
                <w:szCs w:val="20"/>
              </w:rPr>
              <w:t>Rationale</w:t>
            </w:r>
          </w:p>
        </w:tc>
      </w:tr>
      <w:tr w:rsidR="00AD76AC" w14:paraId="341A2363" w14:textId="77777777">
        <w:tblPrEx>
          <w:tblCellMar>
            <w:top w:w="0" w:type="dxa"/>
            <w:bottom w:w="0" w:type="dxa"/>
          </w:tblCellMar>
        </w:tblPrEx>
        <w:tc>
          <w:tcPr>
            <w:tcW w:w="500" w:type="dxa"/>
            <w:tcMar>
              <w:top w:w="80" w:type="dxa"/>
              <w:left w:w="120" w:type="dxa"/>
              <w:bottom w:w="80" w:type="dxa"/>
              <w:right w:w="120" w:type="dxa"/>
            </w:tcMar>
          </w:tcPr>
          <w:p w14:paraId="6E105B67" w14:textId="77777777" w:rsidR="00AD76AC" w:rsidRDefault="002657CA">
            <w:pPr>
              <w:spacing w:line="280" w:lineRule="auto"/>
            </w:pPr>
            <w:r>
              <w:rPr>
                <w:sz w:val="20"/>
                <w:szCs w:val="20"/>
              </w:rPr>
              <w:t>1</w:t>
            </w:r>
          </w:p>
        </w:tc>
        <w:tc>
          <w:tcPr>
            <w:tcW w:w="2600" w:type="dxa"/>
            <w:tcMar>
              <w:top w:w="80" w:type="dxa"/>
              <w:left w:w="120" w:type="dxa"/>
              <w:bottom w:w="80" w:type="dxa"/>
              <w:right w:w="120" w:type="dxa"/>
            </w:tcMar>
          </w:tcPr>
          <w:p w14:paraId="048F6825" w14:textId="77777777" w:rsidR="00AD76AC" w:rsidRDefault="002657CA">
            <w:pPr>
              <w:spacing w:line="280" w:lineRule="auto"/>
            </w:pPr>
            <w:r>
              <w:rPr>
                <w:sz w:val="20"/>
                <w:szCs w:val="20"/>
              </w:rPr>
              <w:t>POPIA as entry point, platform as lock-in</w:t>
            </w:r>
          </w:p>
        </w:tc>
        <w:tc>
          <w:tcPr>
            <w:tcW w:w="6260" w:type="dxa"/>
            <w:tcMar>
              <w:top w:w="80" w:type="dxa"/>
              <w:left w:w="120" w:type="dxa"/>
              <w:bottom w:w="80" w:type="dxa"/>
              <w:right w:w="120" w:type="dxa"/>
            </w:tcMar>
          </w:tcPr>
          <w:p w14:paraId="0C9B124F" w14:textId="77777777" w:rsidR="00AD76AC" w:rsidRDefault="002657CA">
            <w:pPr>
              <w:spacing w:line="280" w:lineRule="auto"/>
            </w:pPr>
            <w:r>
              <w:rPr>
                <w:sz w:val="20"/>
                <w:szCs w:val="20"/>
              </w:rPr>
              <w:t>Privacy compliance is the proven door-opener with SMBs; framework mapping and reporting convert a once-off project into a monthly retainer the client can see value in.</w:t>
            </w:r>
          </w:p>
        </w:tc>
      </w:tr>
      <w:tr w:rsidR="00AD76AC" w14:paraId="3D67AA58"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69CC59C4" w14:textId="77777777" w:rsidR="00AD76AC" w:rsidRDefault="002657CA">
            <w:pPr>
              <w:spacing w:line="280" w:lineRule="auto"/>
            </w:pPr>
            <w:r>
              <w:rPr>
                <w:sz w:val="20"/>
                <w:szCs w:val="20"/>
              </w:rPr>
              <w:t>2</w:t>
            </w:r>
          </w:p>
        </w:tc>
        <w:tc>
          <w:tcPr>
            <w:tcW w:w="2600" w:type="dxa"/>
            <w:shd w:val="clear" w:color="auto" w:fill="F2F6FB"/>
            <w:tcMar>
              <w:top w:w="80" w:type="dxa"/>
              <w:left w:w="120" w:type="dxa"/>
              <w:bottom w:w="80" w:type="dxa"/>
              <w:right w:w="120" w:type="dxa"/>
            </w:tcMar>
          </w:tcPr>
          <w:p w14:paraId="5F9C9502" w14:textId="77777777" w:rsidR="00AD76AC" w:rsidRDefault="002657CA">
            <w:pPr>
              <w:spacing w:line="280" w:lineRule="auto"/>
            </w:pPr>
            <w:r>
              <w:rPr>
                <w:sz w:val="20"/>
                <w:szCs w:val="20"/>
              </w:rPr>
              <w:t>Built for the channel</w:t>
            </w:r>
          </w:p>
        </w:tc>
        <w:tc>
          <w:tcPr>
            <w:tcW w:w="6260" w:type="dxa"/>
            <w:shd w:val="clear" w:color="auto" w:fill="F2F6FB"/>
            <w:tcMar>
              <w:top w:w="80" w:type="dxa"/>
              <w:left w:w="120" w:type="dxa"/>
              <w:bottom w:w="80" w:type="dxa"/>
              <w:right w:w="120" w:type="dxa"/>
            </w:tcMar>
          </w:tcPr>
          <w:p w14:paraId="150D61A5" w14:textId="77777777" w:rsidR="00AD76AC" w:rsidRDefault="002657CA">
            <w:pPr>
              <w:spacing w:line="280" w:lineRule="auto"/>
            </w:pPr>
            <w:r>
              <w:rPr>
                <w:sz w:val="20"/>
                <w:szCs w:val="20"/>
              </w:rPr>
              <w:t>Competitors (</w:t>
            </w:r>
            <w:proofErr w:type="spellStart"/>
            <w:r>
              <w:rPr>
                <w:sz w:val="20"/>
                <w:szCs w:val="20"/>
              </w:rPr>
              <w:t>OneTrust</w:t>
            </w:r>
            <w:proofErr w:type="spellEnd"/>
            <w:r>
              <w:rPr>
                <w:sz w:val="20"/>
                <w:szCs w:val="20"/>
              </w:rPr>
              <w:t xml:space="preserve">, Vanta, </w:t>
            </w:r>
            <w:proofErr w:type="spellStart"/>
            <w:r>
              <w:rPr>
                <w:sz w:val="20"/>
                <w:szCs w:val="20"/>
              </w:rPr>
              <w:t>Drata</w:t>
            </w:r>
            <w:proofErr w:type="spellEnd"/>
            <w:r>
              <w:rPr>
                <w:sz w:val="20"/>
                <w:szCs w:val="20"/>
              </w:rPr>
              <w:t>) price and design for in-house teams at mid-market and enterprise scale. A tool designed for the advisor serving many small clients — multi-tenant reporting, white-labelling — targets a structurally underserved buyer.</w:t>
            </w:r>
          </w:p>
        </w:tc>
      </w:tr>
      <w:tr w:rsidR="00AD76AC" w14:paraId="7BC6A5AE" w14:textId="77777777">
        <w:tblPrEx>
          <w:tblCellMar>
            <w:top w:w="0" w:type="dxa"/>
            <w:bottom w:w="0" w:type="dxa"/>
          </w:tblCellMar>
        </w:tblPrEx>
        <w:tc>
          <w:tcPr>
            <w:tcW w:w="500" w:type="dxa"/>
            <w:tcMar>
              <w:top w:w="80" w:type="dxa"/>
              <w:left w:w="120" w:type="dxa"/>
              <w:bottom w:w="80" w:type="dxa"/>
              <w:right w:w="120" w:type="dxa"/>
            </w:tcMar>
          </w:tcPr>
          <w:p w14:paraId="4CFEBCAC" w14:textId="77777777" w:rsidR="00AD76AC" w:rsidRDefault="002657CA">
            <w:pPr>
              <w:spacing w:line="280" w:lineRule="auto"/>
            </w:pPr>
            <w:r>
              <w:rPr>
                <w:sz w:val="20"/>
                <w:szCs w:val="20"/>
              </w:rPr>
              <w:t>3</w:t>
            </w:r>
          </w:p>
        </w:tc>
        <w:tc>
          <w:tcPr>
            <w:tcW w:w="2600" w:type="dxa"/>
            <w:tcMar>
              <w:top w:w="80" w:type="dxa"/>
              <w:left w:w="120" w:type="dxa"/>
              <w:bottom w:w="80" w:type="dxa"/>
              <w:right w:w="120" w:type="dxa"/>
            </w:tcMar>
          </w:tcPr>
          <w:p w14:paraId="6398EFFE" w14:textId="77777777" w:rsidR="00AD76AC" w:rsidRDefault="002657CA">
            <w:pPr>
              <w:spacing w:line="280" w:lineRule="auto"/>
            </w:pPr>
            <w:r>
              <w:rPr>
                <w:sz w:val="20"/>
                <w:szCs w:val="20"/>
              </w:rPr>
              <w:t>The monthly report is the product</w:t>
            </w:r>
          </w:p>
        </w:tc>
        <w:tc>
          <w:tcPr>
            <w:tcW w:w="6260" w:type="dxa"/>
            <w:tcMar>
              <w:top w:w="80" w:type="dxa"/>
              <w:left w:w="120" w:type="dxa"/>
              <w:bottom w:w="80" w:type="dxa"/>
              <w:right w:w="120" w:type="dxa"/>
            </w:tcMar>
          </w:tcPr>
          <w:p w14:paraId="7D3BD77C" w14:textId="77777777" w:rsidR="00AD76AC" w:rsidRDefault="002657CA">
            <w:pPr>
              <w:spacing w:line="280" w:lineRule="auto"/>
            </w:pPr>
            <w:r>
              <w:rPr>
                <w:sz w:val="20"/>
                <w:szCs w:val="20"/>
              </w:rPr>
              <w:t>SMB directors do not log into dashboards; they read a monthly one-pager. Making that report automatic, evidenced, and board-legible is the single highest-value feature.</w:t>
            </w:r>
          </w:p>
        </w:tc>
      </w:tr>
      <w:tr w:rsidR="00AD76AC" w14:paraId="14BC5E38"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0ECF0B4F" w14:textId="77777777" w:rsidR="00AD76AC" w:rsidRDefault="002657CA">
            <w:pPr>
              <w:spacing w:line="280" w:lineRule="auto"/>
            </w:pPr>
            <w:r>
              <w:rPr>
                <w:sz w:val="20"/>
                <w:szCs w:val="20"/>
              </w:rPr>
              <w:t>4</w:t>
            </w:r>
          </w:p>
        </w:tc>
        <w:tc>
          <w:tcPr>
            <w:tcW w:w="2600" w:type="dxa"/>
            <w:shd w:val="clear" w:color="auto" w:fill="F2F6FB"/>
            <w:tcMar>
              <w:top w:w="80" w:type="dxa"/>
              <w:left w:w="120" w:type="dxa"/>
              <w:bottom w:w="80" w:type="dxa"/>
              <w:right w:w="120" w:type="dxa"/>
            </w:tcMar>
          </w:tcPr>
          <w:p w14:paraId="37F19C5B" w14:textId="77777777" w:rsidR="00AD76AC" w:rsidRDefault="002657CA">
            <w:pPr>
              <w:spacing w:line="280" w:lineRule="auto"/>
            </w:pPr>
            <w:r>
              <w:rPr>
                <w:sz w:val="20"/>
                <w:szCs w:val="20"/>
              </w:rPr>
              <w:t>SA-first regulatory depth</w:t>
            </w:r>
          </w:p>
        </w:tc>
        <w:tc>
          <w:tcPr>
            <w:tcW w:w="6260" w:type="dxa"/>
            <w:shd w:val="clear" w:color="auto" w:fill="F2F6FB"/>
            <w:tcMar>
              <w:top w:w="80" w:type="dxa"/>
              <w:left w:w="120" w:type="dxa"/>
              <w:bottom w:w="80" w:type="dxa"/>
              <w:right w:w="120" w:type="dxa"/>
            </w:tcMar>
          </w:tcPr>
          <w:p w14:paraId="4B0833E9" w14:textId="77777777" w:rsidR="00AD76AC" w:rsidRDefault="002657CA">
            <w:pPr>
              <w:spacing w:line="280" w:lineRule="auto"/>
            </w:pPr>
            <w:r>
              <w:rPr>
                <w:sz w:val="20"/>
                <w:szCs w:val="20"/>
              </w:rPr>
              <w:t>Global tools treat POPIA as a GDPR footnote. Native handling of IO/DIO registration, PAIA manuals and annual returns, eServices breach notification, and Section 72 transfers is a genuine moat in the SA market.</w:t>
            </w:r>
          </w:p>
        </w:tc>
      </w:tr>
      <w:tr w:rsidR="00AD76AC" w14:paraId="16FF252F" w14:textId="77777777">
        <w:tblPrEx>
          <w:tblCellMar>
            <w:top w:w="0" w:type="dxa"/>
            <w:bottom w:w="0" w:type="dxa"/>
          </w:tblCellMar>
        </w:tblPrEx>
        <w:tc>
          <w:tcPr>
            <w:tcW w:w="500" w:type="dxa"/>
            <w:tcMar>
              <w:top w:w="80" w:type="dxa"/>
              <w:left w:w="120" w:type="dxa"/>
              <w:bottom w:w="80" w:type="dxa"/>
              <w:right w:w="120" w:type="dxa"/>
            </w:tcMar>
          </w:tcPr>
          <w:p w14:paraId="19774564" w14:textId="77777777" w:rsidR="00AD76AC" w:rsidRDefault="002657CA">
            <w:pPr>
              <w:spacing w:line="280" w:lineRule="auto"/>
            </w:pPr>
            <w:r>
              <w:rPr>
                <w:sz w:val="20"/>
                <w:szCs w:val="20"/>
              </w:rPr>
              <w:t>5</w:t>
            </w:r>
          </w:p>
        </w:tc>
        <w:tc>
          <w:tcPr>
            <w:tcW w:w="2600" w:type="dxa"/>
            <w:tcMar>
              <w:top w:w="80" w:type="dxa"/>
              <w:left w:w="120" w:type="dxa"/>
              <w:bottom w:w="80" w:type="dxa"/>
              <w:right w:w="120" w:type="dxa"/>
            </w:tcMar>
          </w:tcPr>
          <w:p w14:paraId="0FADC5E7" w14:textId="77777777" w:rsidR="00AD76AC" w:rsidRDefault="002657CA">
            <w:pPr>
              <w:spacing w:line="280" w:lineRule="auto"/>
            </w:pPr>
            <w:r>
              <w:rPr>
                <w:sz w:val="20"/>
                <w:szCs w:val="20"/>
              </w:rPr>
              <w:t>AI as capacity, not gimmick</w:t>
            </w:r>
          </w:p>
        </w:tc>
        <w:tc>
          <w:tcPr>
            <w:tcW w:w="6260" w:type="dxa"/>
            <w:tcMar>
              <w:top w:w="80" w:type="dxa"/>
              <w:left w:w="120" w:type="dxa"/>
              <w:bottom w:w="80" w:type="dxa"/>
              <w:right w:w="120" w:type="dxa"/>
            </w:tcMar>
          </w:tcPr>
          <w:p w14:paraId="188DE7B7" w14:textId="77777777" w:rsidR="00AD76AC" w:rsidRDefault="002657CA">
            <w:pPr>
              <w:spacing w:line="280" w:lineRule="auto"/>
            </w:pPr>
            <w:r>
              <w:rPr>
                <w:sz w:val="20"/>
                <w:szCs w:val="20"/>
              </w:rPr>
              <w:t>For an advisor, AI drafting means each consultant carries two to three times the client load; for a direct SMB, it means compliance without headcount. Both translate directly into willingness to pay.</w:t>
            </w:r>
          </w:p>
        </w:tc>
      </w:tr>
      <w:tr w:rsidR="00AD76AC" w14:paraId="64FB46DD" w14:textId="77777777">
        <w:tblPrEx>
          <w:tblCellMar>
            <w:top w:w="0" w:type="dxa"/>
            <w:bottom w:w="0" w:type="dxa"/>
          </w:tblCellMar>
        </w:tblPrEx>
        <w:tc>
          <w:tcPr>
            <w:tcW w:w="500" w:type="dxa"/>
            <w:shd w:val="clear" w:color="auto" w:fill="F2F6FB"/>
            <w:tcMar>
              <w:top w:w="80" w:type="dxa"/>
              <w:left w:w="120" w:type="dxa"/>
              <w:bottom w:w="80" w:type="dxa"/>
              <w:right w:w="120" w:type="dxa"/>
            </w:tcMar>
          </w:tcPr>
          <w:p w14:paraId="55423D69" w14:textId="77777777" w:rsidR="00AD76AC" w:rsidRDefault="002657CA">
            <w:pPr>
              <w:spacing w:line="280" w:lineRule="auto"/>
            </w:pPr>
            <w:r>
              <w:rPr>
                <w:sz w:val="20"/>
                <w:szCs w:val="20"/>
              </w:rPr>
              <w:t>6</w:t>
            </w:r>
          </w:p>
        </w:tc>
        <w:tc>
          <w:tcPr>
            <w:tcW w:w="2600" w:type="dxa"/>
            <w:shd w:val="clear" w:color="auto" w:fill="F2F6FB"/>
            <w:tcMar>
              <w:top w:w="80" w:type="dxa"/>
              <w:left w:w="120" w:type="dxa"/>
              <w:bottom w:w="80" w:type="dxa"/>
              <w:right w:w="120" w:type="dxa"/>
            </w:tcMar>
          </w:tcPr>
          <w:p w14:paraId="693ACDF8" w14:textId="77777777" w:rsidR="00AD76AC" w:rsidRDefault="002657CA">
            <w:pPr>
              <w:spacing w:line="280" w:lineRule="auto"/>
            </w:pPr>
            <w:r>
              <w:rPr>
                <w:sz w:val="20"/>
                <w:szCs w:val="20"/>
              </w:rPr>
              <w:t>Assessment-led land-and-expand</w:t>
            </w:r>
          </w:p>
        </w:tc>
        <w:tc>
          <w:tcPr>
            <w:tcW w:w="6260" w:type="dxa"/>
            <w:shd w:val="clear" w:color="auto" w:fill="F2F6FB"/>
            <w:tcMar>
              <w:top w:w="80" w:type="dxa"/>
              <w:left w:w="120" w:type="dxa"/>
              <w:bottom w:w="80" w:type="dxa"/>
              <w:right w:w="120" w:type="dxa"/>
            </w:tcMar>
          </w:tcPr>
          <w:p w14:paraId="0FFC815B" w14:textId="77777777" w:rsidR="00AD76AC" w:rsidRDefault="002657CA">
            <w:pPr>
              <w:spacing w:line="280" w:lineRule="auto"/>
            </w:pPr>
            <w:r>
              <w:rPr>
                <w:sz w:val="20"/>
                <w:szCs w:val="20"/>
              </w:rPr>
              <w:t>Part One is a paid, productised assessment that funds its own sales motion, and its outputs seed the workspace — conversion to the managed DIO/DPO retainer is structural, not a second sale from scratch.</w:t>
            </w:r>
          </w:p>
        </w:tc>
      </w:tr>
      <w:tr w:rsidR="00AD76AC" w14:paraId="5EDE8DBF" w14:textId="77777777">
        <w:tblPrEx>
          <w:tblCellMar>
            <w:top w:w="0" w:type="dxa"/>
            <w:bottom w:w="0" w:type="dxa"/>
          </w:tblCellMar>
        </w:tblPrEx>
        <w:tc>
          <w:tcPr>
            <w:tcW w:w="500" w:type="dxa"/>
            <w:tcMar>
              <w:top w:w="80" w:type="dxa"/>
              <w:left w:w="120" w:type="dxa"/>
              <w:bottom w:w="80" w:type="dxa"/>
              <w:right w:w="120" w:type="dxa"/>
            </w:tcMar>
          </w:tcPr>
          <w:p w14:paraId="16DA7F14" w14:textId="77777777" w:rsidR="00AD76AC" w:rsidRDefault="002657CA">
            <w:pPr>
              <w:spacing w:line="280" w:lineRule="auto"/>
            </w:pPr>
            <w:r>
              <w:rPr>
                <w:sz w:val="20"/>
                <w:szCs w:val="20"/>
              </w:rPr>
              <w:t>7</w:t>
            </w:r>
          </w:p>
        </w:tc>
        <w:tc>
          <w:tcPr>
            <w:tcW w:w="2600" w:type="dxa"/>
            <w:tcMar>
              <w:top w:w="80" w:type="dxa"/>
              <w:left w:w="120" w:type="dxa"/>
              <w:bottom w:w="80" w:type="dxa"/>
              <w:right w:w="120" w:type="dxa"/>
            </w:tcMar>
          </w:tcPr>
          <w:p w14:paraId="5749E03B" w14:textId="77777777" w:rsidR="00AD76AC" w:rsidRDefault="002657CA">
            <w:pPr>
              <w:spacing w:line="280" w:lineRule="auto"/>
            </w:pPr>
            <w:r>
              <w:rPr>
                <w:sz w:val="20"/>
                <w:szCs w:val="20"/>
              </w:rPr>
              <w:t>One evidence base, many outputs</w:t>
            </w:r>
          </w:p>
        </w:tc>
        <w:tc>
          <w:tcPr>
            <w:tcW w:w="6260" w:type="dxa"/>
            <w:tcMar>
              <w:top w:w="80" w:type="dxa"/>
              <w:left w:w="120" w:type="dxa"/>
              <w:bottom w:w="80" w:type="dxa"/>
              <w:right w:w="120" w:type="dxa"/>
            </w:tcMar>
          </w:tcPr>
          <w:p w14:paraId="482C1997" w14:textId="77777777" w:rsidR="00AD76AC" w:rsidRDefault="002657CA">
            <w:pPr>
              <w:spacing w:line="280" w:lineRule="auto"/>
            </w:pPr>
            <w:r>
              <w:rPr>
                <w:sz w:val="20"/>
                <w:szCs w:val="20"/>
              </w:rPr>
              <w:t>DPIA, insurer questionnaire, tender response, monthly report, and framework audit all draw from the same registers — the “answer once” economics are compelling at SMB scale.</w:t>
            </w:r>
          </w:p>
        </w:tc>
      </w:tr>
    </w:tbl>
    <w:p w14:paraId="1AF0B4B3" w14:textId="77777777" w:rsidR="00AD76AC" w:rsidRDefault="00AD76AC">
      <w:pPr>
        <w:spacing w:after="160"/>
      </w:pPr>
    </w:p>
    <w:p w14:paraId="1F51087A" w14:textId="77777777" w:rsidR="00AD76AC" w:rsidRDefault="002657CA">
      <w:pPr>
        <w:pStyle w:val="Heading1"/>
        <w:spacing w:before="360" w:after="200"/>
      </w:pPr>
      <w:bookmarkStart w:id="37" w:name="_Toc235165478"/>
      <w:r>
        <w:rPr>
          <w:b/>
          <w:bCs/>
          <w:color w:val="1F3864"/>
          <w:sz w:val="30"/>
          <w:szCs w:val="30"/>
        </w:rPr>
        <w:t>11. Packaging and Monetisation (Indicative)</w:t>
      </w:r>
      <w:bookmarkEnd w:id="37"/>
    </w:p>
    <w:p w14:paraId="02BEF4CF" w14:textId="77777777" w:rsidR="00AD76AC" w:rsidRDefault="002657CA">
      <w:pPr>
        <w:pStyle w:val="ListParagraph"/>
        <w:numPr>
          <w:ilvl w:val="0"/>
          <w:numId w:val="2"/>
        </w:numPr>
        <w:spacing w:after="100" w:line="300" w:lineRule="auto"/>
      </w:pPr>
      <w:r>
        <w:rPr>
          <w:b/>
          <w:bCs/>
        </w:rPr>
        <w:t xml:space="preserve">Part One — Assessment: </w:t>
      </w:r>
      <w:r>
        <w:t xml:space="preserve">Paid advisor-led POPIA or GDPR assessment as the standard engagement opener (priced per current practice bands by client size), with the free shortened self-assessment as </w:t>
      </w:r>
      <w:r>
        <w:lastRenderedPageBreak/>
        <w:t>the lead magnet above it. The assessment fee funds acquisition; the platform makes its delivery near-zero marginal cost.</w:t>
      </w:r>
    </w:p>
    <w:p w14:paraId="72C25D6C" w14:textId="77777777" w:rsidR="00AD76AC" w:rsidRDefault="002657CA">
      <w:pPr>
        <w:pStyle w:val="ListParagraph"/>
        <w:numPr>
          <w:ilvl w:val="0"/>
          <w:numId w:val="2"/>
        </w:numPr>
        <w:spacing w:after="100" w:line="300" w:lineRule="auto"/>
      </w:pPr>
      <w:r>
        <w:rPr>
          <w:b/>
          <w:bCs/>
        </w:rPr>
        <w:t xml:space="preserve">SMB Direct: </w:t>
      </w:r>
      <w:r>
        <w:t>Tiered per-organisation subscription. Starter: ROPA, policies, DSAR. Professional: adds DPIA, vendor management, monthly reports. Complete: adds framework mapping and insurance mode. Anchor pricing well below the cost of a part-time compliance hire.</w:t>
      </w:r>
    </w:p>
    <w:p w14:paraId="2586E93B" w14:textId="77777777" w:rsidR="00AD76AC" w:rsidRDefault="002657CA">
      <w:pPr>
        <w:pStyle w:val="ListParagraph"/>
        <w:numPr>
          <w:ilvl w:val="0"/>
          <w:numId w:val="2"/>
        </w:numPr>
        <w:spacing w:after="100" w:line="300" w:lineRule="auto"/>
      </w:pPr>
      <w:r>
        <w:rPr>
          <w:b/>
          <w:bCs/>
        </w:rPr>
        <w:t xml:space="preserve">Advisor / Partner: </w:t>
      </w:r>
      <w:r>
        <w:t>Per-managed-client pricing with volume bands, a white-label add-on, and a certification and onboarding programme that doubles as a lead-generation channel for the platform.</w:t>
      </w:r>
    </w:p>
    <w:p w14:paraId="43AE43B1" w14:textId="77777777" w:rsidR="00AD76AC" w:rsidRDefault="002657CA">
      <w:pPr>
        <w:pStyle w:val="ListParagraph"/>
        <w:numPr>
          <w:ilvl w:val="0"/>
          <w:numId w:val="2"/>
        </w:numPr>
        <w:spacing w:after="100" w:line="300" w:lineRule="auto"/>
      </w:pPr>
      <w:r>
        <w:rPr>
          <w:b/>
          <w:bCs/>
        </w:rPr>
        <w:t xml:space="preserve">Services attach: </w:t>
      </w:r>
      <w:r>
        <w:t>Template packs, migration services, and a marketplace matching advisors to direct-signup SMBs who realise they want help — turning would-be channel conflict into channel supply.</w:t>
      </w:r>
    </w:p>
    <w:p w14:paraId="0F67AD2D" w14:textId="77777777" w:rsidR="00AD76AC" w:rsidRDefault="002657CA">
      <w:pPr>
        <w:pStyle w:val="Heading1"/>
        <w:spacing w:before="360" w:after="200"/>
      </w:pPr>
      <w:bookmarkStart w:id="38" w:name="_Toc235165479"/>
      <w:r>
        <w:rPr>
          <w:b/>
          <w:bCs/>
          <w:color w:val="1F3864"/>
          <w:sz w:val="30"/>
          <w:szCs w:val="30"/>
        </w:rPr>
        <w:t>12. Phased Roadmap</w:t>
      </w:r>
      <w:bookmarkEnd w:id="3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500"/>
        <w:gridCol w:w="6160"/>
      </w:tblGrid>
      <w:tr w:rsidR="00AD76AC" w14:paraId="53A06B03" w14:textId="77777777">
        <w:tblPrEx>
          <w:tblCellMar>
            <w:top w:w="0" w:type="dxa"/>
            <w:bottom w:w="0" w:type="dxa"/>
          </w:tblCellMar>
        </w:tblPrEx>
        <w:trPr>
          <w:tblHeader/>
        </w:trPr>
        <w:tc>
          <w:tcPr>
            <w:tcW w:w="1700" w:type="dxa"/>
            <w:shd w:val="clear" w:color="auto" w:fill="1F3864"/>
            <w:tcMar>
              <w:top w:w="80" w:type="dxa"/>
              <w:left w:w="120" w:type="dxa"/>
              <w:bottom w:w="80" w:type="dxa"/>
              <w:right w:w="120" w:type="dxa"/>
            </w:tcMar>
          </w:tcPr>
          <w:p w14:paraId="176B62F4" w14:textId="77777777" w:rsidR="00AD76AC" w:rsidRDefault="002657CA">
            <w:r>
              <w:rPr>
                <w:b/>
                <w:bCs/>
                <w:color w:val="FFFFFF"/>
                <w:sz w:val="20"/>
                <w:szCs w:val="20"/>
              </w:rPr>
              <w:t>Phase</w:t>
            </w:r>
          </w:p>
        </w:tc>
        <w:tc>
          <w:tcPr>
            <w:tcW w:w="1500" w:type="dxa"/>
            <w:shd w:val="clear" w:color="auto" w:fill="1F3864"/>
            <w:tcMar>
              <w:top w:w="80" w:type="dxa"/>
              <w:left w:w="120" w:type="dxa"/>
              <w:bottom w:w="80" w:type="dxa"/>
              <w:right w:w="120" w:type="dxa"/>
            </w:tcMar>
          </w:tcPr>
          <w:p w14:paraId="0DBFE8AF" w14:textId="77777777" w:rsidR="00AD76AC" w:rsidRDefault="002657CA">
            <w:r>
              <w:rPr>
                <w:b/>
                <w:bCs/>
                <w:color w:val="FFFFFF"/>
                <w:sz w:val="20"/>
                <w:szCs w:val="20"/>
              </w:rPr>
              <w:t>Timeline</w:t>
            </w:r>
          </w:p>
        </w:tc>
        <w:tc>
          <w:tcPr>
            <w:tcW w:w="6160" w:type="dxa"/>
            <w:shd w:val="clear" w:color="auto" w:fill="1F3864"/>
            <w:tcMar>
              <w:top w:w="80" w:type="dxa"/>
              <w:left w:w="120" w:type="dxa"/>
              <w:bottom w:w="80" w:type="dxa"/>
              <w:right w:w="120" w:type="dxa"/>
            </w:tcMar>
          </w:tcPr>
          <w:p w14:paraId="164E4457" w14:textId="77777777" w:rsidR="00AD76AC" w:rsidRDefault="002657CA">
            <w:r>
              <w:rPr>
                <w:b/>
                <w:bCs/>
                <w:color w:val="FFFFFF"/>
                <w:sz w:val="20"/>
                <w:szCs w:val="20"/>
              </w:rPr>
              <w:t>Scope</w:t>
            </w:r>
          </w:p>
        </w:tc>
      </w:tr>
      <w:tr w:rsidR="00AD76AC" w14:paraId="000BEEF5" w14:textId="77777777">
        <w:tblPrEx>
          <w:tblCellMar>
            <w:top w:w="0" w:type="dxa"/>
            <w:bottom w:w="0" w:type="dxa"/>
          </w:tblCellMar>
        </w:tblPrEx>
        <w:tc>
          <w:tcPr>
            <w:tcW w:w="1700" w:type="dxa"/>
            <w:tcMar>
              <w:top w:w="80" w:type="dxa"/>
              <w:left w:w="120" w:type="dxa"/>
              <w:bottom w:w="80" w:type="dxa"/>
              <w:right w:w="120" w:type="dxa"/>
            </w:tcMar>
          </w:tcPr>
          <w:p w14:paraId="4C362EC7" w14:textId="77777777" w:rsidR="00AD76AC" w:rsidRDefault="002657CA">
            <w:pPr>
              <w:spacing w:line="280" w:lineRule="auto"/>
            </w:pPr>
            <w:r>
              <w:rPr>
                <w:sz w:val="20"/>
                <w:szCs w:val="20"/>
              </w:rPr>
              <w:t>Phase 1 — MVP</w:t>
            </w:r>
          </w:p>
        </w:tc>
        <w:tc>
          <w:tcPr>
            <w:tcW w:w="1500" w:type="dxa"/>
            <w:tcMar>
              <w:top w:w="80" w:type="dxa"/>
              <w:left w:w="120" w:type="dxa"/>
              <w:bottom w:w="80" w:type="dxa"/>
              <w:right w:w="120" w:type="dxa"/>
            </w:tcMar>
          </w:tcPr>
          <w:p w14:paraId="55AD5638" w14:textId="77777777" w:rsidR="00AD76AC" w:rsidRDefault="002657CA">
            <w:pPr>
              <w:spacing w:line="280" w:lineRule="auto"/>
            </w:pPr>
            <w:r>
              <w:rPr>
                <w:sz w:val="20"/>
                <w:szCs w:val="20"/>
              </w:rPr>
              <w:t>Months 1–4</w:t>
            </w:r>
          </w:p>
        </w:tc>
        <w:tc>
          <w:tcPr>
            <w:tcW w:w="6160" w:type="dxa"/>
            <w:tcMar>
              <w:top w:w="80" w:type="dxa"/>
              <w:left w:w="120" w:type="dxa"/>
              <w:bottom w:w="80" w:type="dxa"/>
              <w:right w:w="120" w:type="dxa"/>
            </w:tcMar>
          </w:tcPr>
          <w:p w14:paraId="75D17895" w14:textId="77777777" w:rsidR="00AD76AC" w:rsidRDefault="002657CA">
            <w:pPr>
              <w:spacing w:line="280" w:lineRule="auto"/>
            </w:pPr>
            <w:r>
              <w:rPr>
                <w:sz w:val="20"/>
                <w:szCs w:val="20"/>
              </w:rPr>
              <w:t>Multi-tenant core, POPIA/GDPR assessment engine (Part One, digitising the existing assessment sheets), ROPA, policy library, DSAR log, task and deadline engine, monthly report generator, basic AI drafting.</w:t>
            </w:r>
          </w:p>
        </w:tc>
      </w:tr>
      <w:tr w:rsidR="00AD76AC" w14:paraId="13E7ADE1" w14:textId="77777777">
        <w:tblPrEx>
          <w:tblCellMar>
            <w:top w:w="0" w:type="dxa"/>
            <w:bottom w:w="0" w:type="dxa"/>
          </w:tblCellMar>
        </w:tblPrEx>
        <w:tc>
          <w:tcPr>
            <w:tcW w:w="1700" w:type="dxa"/>
            <w:shd w:val="clear" w:color="auto" w:fill="F2F6FB"/>
            <w:tcMar>
              <w:top w:w="80" w:type="dxa"/>
              <w:left w:w="120" w:type="dxa"/>
              <w:bottom w:w="80" w:type="dxa"/>
              <w:right w:w="120" w:type="dxa"/>
            </w:tcMar>
          </w:tcPr>
          <w:p w14:paraId="64DAE62C" w14:textId="77777777" w:rsidR="00AD76AC" w:rsidRDefault="002657CA">
            <w:pPr>
              <w:spacing w:line="280" w:lineRule="auto"/>
            </w:pPr>
            <w:r>
              <w:rPr>
                <w:sz w:val="20"/>
                <w:szCs w:val="20"/>
              </w:rPr>
              <w:t>Phase 2</w:t>
            </w:r>
          </w:p>
        </w:tc>
        <w:tc>
          <w:tcPr>
            <w:tcW w:w="1500" w:type="dxa"/>
            <w:shd w:val="clear" w:color="auto" w:fill="F2F6FB"/>
            <w:tcMar>
              <w:top w:w="80" w:type="dxa"/>
              <w:left w:w="120" w:type="dxa"/>
              <w:bottom w:w="80" w:type="dxa"/>
              <w:right w:w="120" w:type="dxa"/>
            </w:tcMar>
          </w:tcPr>
          <w:p w14:paraId="3CBD1687" w14:textId="77777777" w:rsidR="00AD76AC" w:rsidRDefault="002657CA">
            <w:pPr>
              <w:spacing w:line="280" w:lineRule="auto"/>
            </w:pPr>
            <w:r>
              <w:rPr>
                <w:sz w:val="20"/>
                <w:szCs w:val="20"/>
              </w:rPr>
              <w:t>Months 5–8</w:t>
            </w:r>
          </w:p>
        </w:tc>
        <w:tc>
          <w:tcPr>
            <w:tcW w:w="6160" w:type="dxa"/>
            <w:shd w:val="clear" w:color="auto" w:fill="F2F6FB"/>
            <w:tcMar>
              <w:top w:w="80" w:type="dxa"/>
              <w:left w:w="120" w:type="dxa"/>
              <w:bottom w:w="80" w:type="dxa"/>
              <w:right w:w="120" w:type="dxa"/>
            </w:tcMar>
          </w:tcPr>
          <w:p w14:paraId="3D1619C7" w14:textId="77777777" w:rsidR="00AD76AC" w:rsidRDefault="002657CA">
            <w:pPr>
              <w:spacing w:line="280" w:lineRule="auto"/>
            </w:pPr>
            <w:r>
              <w:rPr>
                <w:sz w:val="20"/>
                <w:szCs w:val="20"/>
              </w:rPr>
              <w:t>DPIA workflow with conditions tracking, vendor/OCQ/DPA management, breach module, IO/DIO statutory duties engine, PAIA manual generation.</w:t>
            </w:r>
          </w:p>
        </w:tc>
      </w:tr>
      <w:tr w:rsidR="00AD76AC" w14:paraId="5D05739F" w14:textId="77777777">
        <w:tblPrEx>
          <w:tblCellMar>
            <w:top w:w="0" w:type="dxa"/>
            <w:bottom w:w="0" w:type="dxa"/>
          </w:tblCellMar>
        </w:tblPrEx>
        <w:tc>
          <w:tcPr>
            <w:tcW w:w="1700" w:type="dxa"/>
            <w:tcMar>
              <w:top w:w="80" w:type="dxa"/>
              <w:left w:w="120" w:type="dxa"/>
              <w:bottom w:w="80" w:type="dxa"/>
              <w:right w:w="120" w:type="dxa"/>
            </w:tcMar>
          </w:tcPr>
          <w:p w14:paraId="3A064843" w14:textId="77777777" w:rsidR="00AD76AC" w:rsidRDefault="002657CA">
            <w:pPr>
              <w:spacing w:line="280" w:lineRule="auto"/>
            </w:pPr>
            <w:r>
              <w:rPr>
                <w:sz w:val="20"/>
                <w:szCs w:val="20"/>
              </w:rPr>
              <w:t>Phase 3</w:t>
            </w:r>
          </w:p>
        </w:tc>
        <w:tc>
          <w:tcPr>
            <w:tcW w:w="1500" w:type="dxa"/>
            <w:tcMar>
              <w:top w:w="80" w:type="dxa"/>
              <w:left w:w="120" w:type="dxa"/>
              <w:bottom w:w="80" w:type="dxa"/>
              <w:right w:w="120" w:type="dxa"/>
            </w:tcMar>
          </w:tcPr>
          <w:p w14:paraId="1E0EFCAC" w14:textId="77777777" w:rsidR="00AD76AC" w:rsidRDefault="002657CA">
            <w:pPr>
              <w:spacing w:line="280" w:lineRule="auto"/>
            </w:pPr>
            <w:r>
              <w:rPr>
                <w:sz w:val="20"/>
                <w:szCs w:val="20"/>
              </w:rPr>
              <w:t>Months 9–12</w:t>
            </w:r>
          </w:p>
        </w:tc>
        <w:tc>
          <w:tcPr>
            <w:tcW w:w="6160" w:type="dxa"/>
            <w:tcMar>
              <w:top w:w="80" w:type="dxa"/>
              <w:left w:w="120" w:type="dxa"/>
              <w:bottom w:w="80" w:type="dxa"/>
              <w:right w:w="120" w:type="dxa"/>
            </w:tcMar>
          </w:tcPr>
          <w:p w14:paraId="40000D27" w14:textId="77777777" w:rsidR="00AD76AC" w:rsidRDefault="002657CA">
            <w:pPr>
              <w:spacing w:line="280" w:lineRule="auto"/>
            </w:pPr>
            <w:r>
              <w:rPr>
                <w:sz w:val="20"/>
                <w:szCs w:val="20"/>
              </w:rPr>
              <w:t>Framework library and cross-mapping, IT risk register, gap analysis, insurance and due-diligence mode, advisor benchmarking, white-label.</w:t>
            </w:r>
          </w:p>
        </w:tc>
      </w:tr>
      <w:tr w:rsidR="00AD76AC" w14:paraId="4B4F38C4" w14:textId="77777777">
        <w:tblPrEx>
          <w:tblCellMar>
            <w:top w:w="0" w:type="dxa"/>
            <w:bottom w:w="0" w:type="dxa"/>
          </w:tblCellMar>
        </w:tblPrEx>
        <w:tc>
          <w:tcPr>
            <w:tcW w:w="1700" w:type="dxa"/>
            <w:shd w:val="clear" w:color="auto" w:fill="F2F6FB"/>
            <w:tcMar>
              <w:top w:w="80" w:type="dxa"/>
              <w:left w:w="120" w:type="dxa"/>
              <w:bottom w:w="80" w:type="dxa"/>
              <w:right w:w="120" w:type="dxa"/>
            </w:tcMar>
          </w:tcPr>
          <w:p w14:paraId="35318E87" w14:textId="77777777" w:rsidR="00AD76AC" w:rsidRDefault="002657CA">
            <w:pPr>
              <w:spacing w:line="280" w:lineRule="auto"/>
            </w:pPr>
            <w:r>
              <w:rPr>
                <w:sz w:val="20"/>
                <w:szCs w:val="20"/>
              </w:rPr>
              <w:t>Phase 4</w:t>
            </w:r>
          </w:p>
        </w:tc>
        <w:tc>
          <w:tcPr>
            <w:tcW w:w="1500" w:type="dxa"/>
            <w:shd w:val="clear" w:color="auto" w:fill="F2F6FB"/>
            <w:tcMar>
              <w:top w:w="80" w:type="dxa"/>
              <w:left w:w="120" w:type="dxa"/>
              <w:bottom w:w="80" w:type="dxa"/>
              <w:right w:w="120" w:type="dxa"/>
            </w:tcMar>
          </w:tcPr>
          <w:p w14:paraId="49359CDF" w14:textId="77777777" w:rsidR="00AD76AC" w:rsidRDefault="002657CA">
            <w:pPr>
              <w:spacing w:line="280" w:lineRule="auto"/>
            </w:pPr>
            <w:r>
              <w:rPr>
                <w:sz w:val="20"/>
                <w:szCs w:val="20"/>
              </w:rPr>
              <w:t>Month 12+</w:t>
            </w:r>
          </w:p>
        </w:tc>
        <w:tc>
          <w:tcPr>
            <w:tcW w:w="6160" w:type="dxa"/>
            <w:shd w:val="clear" w:color="auto" w:fill="F2F6FB"/>
            <w:tcMar>
              <w:top w:w="80" w:type="dxa"/>
              <w:left w:w="120" w:type="dxa"/>
              <w:bottom w:w="80" w:type="dxa"/>
              <w:right w:w="120" w:type="dxa"/>
            </w:tcMar>
          </w:tcPr>
          <w:p w14:paraId="28CFE9F6" w14:textId="77777777" w:rsidR="00AD76AC" w:rsidRDefault="002657CA">
            <w:pPr>
              <w:spacing w:line="280" w:lineRule="auto"/>
            </w:pPr>
            <w:r>
              <w:rPr>
                <w:sz w:val="20"/>
                <w:szCs w:val="20"/>
              </w:rPr>
              <w:t>UK GDPR and Cyber Essentials localisation, deep Microsoft 365 integration, API and marketplace, advisor copilot maturity.</w:t>
            </w:r>
          </w:p>
        </w:tc>
      </w:tr>
    </w:tbl>
    <w:p w14:paraId="39418C19" w14:textId="77777777" w:rsidR="00AD76AC" w:rsidRDefault="00AD76AC">
      <w:pPr>
        <w:spacing w:after="160"/>
      </w:pPr>
    </w:p>
    <w:p w14:paraId="22A86D35" w14:textId="77777777" w:rsidR="00AD76AC" w:rsidRDefault="002657CA">
      <w:pPr>
        <w:spacing w:after="160" w:line="300" w:lineRule="auto"/>
      </w:pPr>
      <w:r>
        <w:t>Validation approach: run Phases 1–2 against three to five design-partner clients drawn from an existing advisory book, entering each through the Part One assessment and then running real monthly reporting cycles as the acceptance test. If the platform can produce a client-ready monthly compliance report in under an hour of advisor time, the value proposition is proven.</w:t>
      </w:r>
    </w:p>
    <w:p w14:paraId="327240BA" w14:textId="77777777" w:rsidR="00AD76AC" w:rsidRDefault="002657CA">
      <w:pPr>
        <w:pStyle w:val="Heading1"/>
        <w:spacing w:before="360" w:after="200"/>
      </w:pPr>
      <w:bookmarkStart w:id="39" w:name="_Toc235165480"/>
      <w:r>
        <w:rPr>
          <w:b/>
          <w:bCs/>
          <w:color w:val="1F3864"/>
          <w:sz w:val="30"/>
          <w:szCs w:val="30"/>
        </w:rPr>
        <w:t>13. Key Risks and Mitigations</w:t>
      </w:r>
      <w:bookmarkEnd w:id="3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AD76AC" w14:paraId="3BB0105D" w14:textId="77777777">
        <w:tblPrEx>
          <w:tblCellMar>
            <w:top w:w="0" w:type="dxa"/>
            <w:bottom w:w="0" w:type="dxa"/>
          </w:tblCellMar>
        </w:tblPrEx>
        <w:trPr>
          <w:tblHeader/>
        </w:trPr>
        <w:tc>
          <w:tcPr>
            <w:tcW w:w="4680" w:type="dxa"/>
            <w:shd w:val="clear" w:color="auto" w:fill="1F3864"/>
            <w:tcMar>
              <w:top w:w="80" w:type="dxa"/>
              <w:left w:w="120" w:type="dxa"/>
              <w:bottom w:w="80" w:type="dxa"/>
              <w:right w:w="120" w:type="dxa"/>
            </w:tcMar>
          </w:tcPr>
          <w:p w14:paraId="6429FB6E" w14:textId="77777777" w:rsidR="00AD76AC" w:rsidRDefault="002657CA">
            <w:r>
              <w:rPr>
                <w:b/>
                <w:bCs/>
                <w:color w:val="FFFFFF"/>
                <w:sz w:val="20"/>
                <w:szCs w:val="20"/>
              </w:rPr>
              <w:t>Risk</w:t>
            </w:r>
          </w:p>
        </w:tc>
        <w:tc>
          <w:tcPr>
            <w:tcW w:w="4680" w:type="dxa"/>
            <w:shd w:val="clear" w:color="auto" w:fill="1F3864"/>
            <w:tcMar>
              <w:top w:w="80" w:type="dxa"/>
              <w:left w:w="120" w:type="dxa"/>
              <w:bottom w:w="80" w:type="dxa"/>
              <w:right w:w="120" w:type="dxa"/>
            </w:tcMar>
          </w:tcPr>
          <w:p w14:paraId="399F9F53" w14:textId="77777777" w:rsidR="00AD76AC" w:rsidRDefault="002657CA">
            <w:r>
              <w:rPr>
                <w:b/>
                <w:bCs/>
                <w:color w:val="FFFFFF"/>
                <w:sz w:val="20"/>
                <w:szCs w:val="20"/>
              </w:rPr>
              <w:t>Mitigation</w:t>
            </w:r>
          </w:p>
        </w:tc>
      </w:tr>
      <w:tr w:rsidR="00AD76AC" w14:paraId="3C8805D6" w14:textId="77777777">
        <w:tblPrEx>
          <w:tblCellMar>
            <w:top w:w="0" w:type="dxa"/>
            <w:bottom w:w="0" w:type="dxa"/>
          </w:tblCellMar>
        </w:tblPrEx>
        <w:tc>
          <w:tcPr>
            <w:tcW w:w="4680" w:type="dxa"/>
            <w:tcMar>
              <w:top w:w="80" w:type="dxa"/>
              <w:left w:w="120" w:type="dxa"/>
              <w:bottom w:w="80" w:type="dxa"/>
              <w:right w:w="120" w:type="dxa"/>
            </w:tcMar>
          </w:tcPr>
          <w:p w14:paraId="6C709820" w14:textId="77777777" w:rsidR="00AD76AC" w:rsidRDefault="002657CA">
            <w:pPr>
              <w:spacing w:line="280" w:lineRule="auto"/>
            </w:pPr>
            <w:r>
              <w:rPr>
                <w:sz w:val="20"/>
                <w:szCs w:val="20"/>
              </w:rPr>
              <w:t>Regulatory drift — POPIA Regulations and Regulator guidance are actively evolving.</w:t>
            </w:r>
          </w:p>
        </w:tc>
        <w:tc>
          <w:tcPr>
            <w:tcW w:w="4680" w:type="dxa"/>
            <w:tcMar>
              <w:top w:w="80" w:type="dxa"/>
              <w:left w:w="120" w:type="dxa"/>
              <w:bottom w:w="80" w:type="dxa"/>
              <w:right w:w="120" w:type="dxa"/>
            </w:tcMar>
          </w:tcPr>
          <w:p w14:paraId="3688E362" w14:textId="77777777" w:rsidR="00AD76AC" w:rsidRDefault="002657CA">
            <w:pPr>
              <w:spacing w:line="280" w:lineRule="auto"/>
            </w:pPr>
            <w:r>
              <w:rPr>
                <w:sz w:val="20"/>
                <w:szCs w:val="20"/>
              </w:rPr>
              <w:t>Maintain a managed content layer: templates and mappings shipped as updatable content, not hard-coded product.</w:t>
            </w:r>
          </w:p>
        </w:tc>
      </w:tr>
      <w:tr w:rsidR="00AD76AC" w14:paraId="5BC71468" w14:textId="77777777">
        <w:tblPrEx>
          <w:tblCellMar>
            <w:top w:w="0" w:type="dxa"/>
            <w:bottom w:w="0" w:type="dxa"/>
          </w:tblCellMar>
        </w:tblPrEx>
        <w:tc>
          <w:tcPr>
            <w:tcW w:w="4680" w:type="dxa"/>
            <w:shd w:val="clear" w:color="auto" w:fill="F2F6FB"/>
            <w:tcMar>
              <w:top w:w="80" w:type="dxa"/>
              <w:left w:w="120" w:type="dxa"/>
              <w:bottom w:w="80" w:type="dxa"/>
              <w:right w:w="120" w:type="dxa"/>
            </w:tcMar>
          </w:tcPr>
          <w:p w14:paraId="4954B769" w14:textId="77777777" w:rsidR="00AD76AC" w:rsidRDefault="002657CA">
            <w:pPr>
              <w:spacing w:line="280" w:lineRule="auto"/>
            </w:pPr>
            <w:r>
              <w:rPr>
                <w:sz w:val="20"/>
                <w:szCs w:val="20"/>
              </w:rPr>
              <w:t>AI accuracy in legal-adjacent drafting.</w:t>
            </w:r>
          </w:p>
        </w:tc>
        <w:tc>
          <w:tcPr>
            <w:tcW w:w="4680" w:type="dxa"/>
            <w:shd w:val="clear" w:color="auto" w:fill="F2F6FB"/>
            <w:tcMar>
              <w:top w:w="80" w:type="dxa"/>
              <w:left w:w="120" w:type="dxa"/>
              <w:bottom w:w="80" w:type="dxa"/>
              <w:right w:w="120" w:type="dxa"/>
            </w:tcMar>
          </w:tcPr>
          <w:p w14:paraId="520D1AB9" w14:textId="77777777" w:rsidR="00AD76AC" w:rsidRDefault="002657CA">
            <w:pPr>
              <w:spacing w:line="280" w:lineRule="auto"/>
            </w:pPr>
            <w:r>
              <w:rPr>
                <w:sz w:val="20"/>
                <w:szCs w:val="20"/>
              </w:rPr>
              <w:t>Enforce human-approval gates, cite sources within drafts, and log approvals as evidence. Market as “advisor-supervised AI”.</w:t>
            </w:r>
          </w:p>
        </w:tc>
      </w:tr>
      <w:tr w:rsidR="00AD76AC" w14:paraId="7A01EE8C" w14:textId="77777777">
        <w:tblPrEx>
          <w:tblCellMar>
            <w:top w:w="0" w:type="dxa"/>
            <w:bottom w:w="0" w:type="dxa"/>
          </w:tblCellMar>
        </w:tblPrEx>
        <w:tc>
          <w:tcPr>
            <w:tcW w:w="4680" w:type="dxa"/>
            <w:tcMar>
              <w:top w:w="80" w:type="dxa"/>
              <w:left w:w="120" w:type="dxa"/>
              <w:bottom w:w="80" w:type="dxa"/>
              <w:right w:w="120" w:type="dxa"/>
            </w:tcMar>
          </w:tcPr>
          <w:p w14:paraId="7F66B484" w14:textId="77777777" w:rsidR="00AD76AC" w:rsidRDefault="002657CA">
            <w:pPr>
              <w:spacing w:line="280" w:lineRule="auto"/>
            </w:pPr>
            <w:r>
              <w:rPr>
                <w:sz w:val="20"/>
                <w:szCs w:val="20"/>
              </w:rPr>
              <w:t>Channel conflict — direct SMB sales can threaten the advisor channel.</w:t>
            </w:r>
          </w:p>
        </w:tc>
        <w:tc>
          <w:tcPr>
            <w:tcW w:w="4680" w:type="dxa"/>
            <w:tcMar>
              <w:top w:w="80" w:type="dxa"/>
              <w:left w:w="120" w:type="dxa"/>
              <w:bottom w:w="80" w:type="dxa"/>
              <w:right w:w="120" w:type="dxa"/>
            </w:tcMar>
          </w:tcPr>
          <w:p w14:paraId="22282AE2" w14:textId="77777777" w:rsidR="00AD76AC" w:rsidRDefault="002657CA">
            <w:pPr>
              <w:spacing w:line="280" w:lineRule="auto"/>
            </w:pPr>
            <w:r>
              <w:rPr>
                <w:sz w:val="20"/>
                <w:szCs w:val="20"/>
              </w:rPr>
              <w:t>Lead-referral marketplace and channel-first pricing.</w:t>
            </w:r>
          </w:p>
        </w:tc>
      </w:tr>
      <w:tr w:rsidR="00AD76AC" w14:paraId="1BD4863B" w14:textId="77777777">
        <w:tblPrEx>
          <w:tblCellMar>
            <w:top w:w="0" w:type="dxa"/>
            <w:bottom w:w="0" w:type="dxa"/>
          </w:tblCellMar>
        </w:tblPrEx>
        <w:tc>
          <w:tcPr>
            <w:tcW w:w="4680" w:type="dxa"/>
            <w:shd w:val="clear" w:color="auto" w:fill="F2F6FB"/>
            <w:tcMar>
              <w:top w:w="80" w:type="dxa"/>
              <w:left w:w="120" w:type="dxa"/>
              <w:bottom w:w="80" w:type="dxa"/>
              <w:right w:w="120" w:type="dxa"/>
            </w:tcMar>
          </w:tcPr>
          <w:p w14:paraId="372977E2" w14:textId="77777777" w:rsidR="00AD76AC" w:rsidRDefault="002657CA">
            <w:pPr>
              <w:spacing w:line="280" w:lineRule="auto"/>
            </w:pPr>
            <w:r>
              <w:rPr>
                <w:sz w:val="20"/>
                <w:szCs w:val="20"/>
              </w:rPr>
              <w:lastRenderedPageBreak/>
              <w:t>Incumbent response — Vanta/</w:t>
            </w:r>
            <w:proofErr w:type="spellStart"/>
            <w:r>
              <w:rPr>
                <w:sz w:val="20"/>
                <w:szCs w:val="20"/>
              </w:rPr>
              <w:t>Drata</w:t>
            </w:r>
            <w:proofErr w:type="spellEnd"/>
            <w:r>
              <w:rPr>
                <w:sz w:val="20"/>
                <w:szCs w:val="20"/>
              </w:rPr>
              <w:t xml:space="preserve"> moving down-market.</w:t>
            </w:r>
          </w:p>
        </w:tc>
        <w:tc>
          <w:tcPr>
            <w:tcW w:w="4680" w:type="dxa"/>
            <w:shd w:val="clear" w:color="auto" w:fill="F2F6FB"/>
            <w:tcMar>
              <w:top w:w="80" w:type="dxa"/>
              <w:left w:w="120" w:type="dxa"/>
              <w:bottom w:w="80" w:type="dxa"/>
              <w:right w:w="120" w:type="dxa"/>
            </w:tcMar>
          </w:tcPr>
          <w:p w14:paraId="4CE8D8DD" w14:textId="77777777" w:rsidR="00AD76AC" w:rsidRDefault="002657CA">
            <w:pPr>
              <w:spacing w:line="280" w:lineRule="auto"/>
            </w:pPr>
            <w:r>
              <w:rPr>
                <w:sz w:val="20"/>
                <w:szCs w:val="20"/>
              </w:rPr>
              <w:t>POPIA depth, the DIO service model, and a price point incumbents cannot profitably match for ten-seat clients.</w:t>
            </w:r>
          </w:p>
        </w:tc>
      </w:tr>
      <w:tr w:rsidR="00AD76AC" w14:paraId="103CD80B" w14:textId="77777777">
        <w:tblPrEx>
          <w:tblCellMar>
            <w:top w:w="0" w:type="dxa"/>
            <w:bottom w:w="0" w:type="dxa"/>
          </w:tblCellMar>
        </w:tblPrEx>
        <w:tc>
          <w:tcPr>
            <w:tcW w:w="4680" w:type="dxa"/>
            <w:tcMar>
              <w:top w:w="80" w:type="dxa"/>
              <w:left w:w="120" w:type="dxa"/>
              <w:bottom w:w="80" w:type="dxa"/>
              <w:right w:w="120" w:type="dxa"/>
            </w:tcMar>
          </w:tcPr>
          <w:p w14:paraId="432E4725" w14:textId="77777777" w:rsidR="00AD76AC" w:rsidRDefault="002657CA">
            <w:pPr>
              <w:spacing w:line="280" w:lineRule="auto"/>
            </w:pPr>
            <w:r>
              <w:rPr>
                <w:sz w:val="20"/>
                <w:szCs w:val="20"/>
              </w:rPr>
              <w:t>Trust threshold — compliance buyers scrutinise the vendor’s own posture.</w:t>
            </w:r>
          </w:p>
        </w:tc>
        <w:tc>
          <w:tcPr>
            <w:tcW w:w="4680" w:type="dxa"/>
            <w:tcMar>
              <w:top w:w="80" w:type="dxa"/>
              <w:left w:w="120" w:type="dxa"/>
              <w:bottom w:w="80" w:type="dxa"/>
              <w:right w:w="120" w:type="dxa"/>
            </w:tcMar>
          </w:tcPr>
          <w:p w14:paraId="616C3BBE" w14:textId="77777777" w:rsidR="00AD76AC" w:rsidRDefault="002657CA">
            <w:pPr>
              <w:spacing w:line="280" w:lineRule="auto"/>
            </w:pPr>
            <w:r>
              <w:rPr>
                <w:sz w:val="20"/>
                <w:szCs w:val="20"/>
              </w:rPr>
              <w:t>Invest early in the platform’s own certifications; publish its DPIA and security pack.</w:t>
            </w:r>
          </w:p>
        </w:tc>
      </w:tr>
    </w:tbl>
    <w:p w14:paraId="0938E6AE" w14:textId="77777777" w:rsidR="002657CA" w:rsidRDefault="002657CA"/>
    <w:sectPr w:rsidR="002657CA">
      <w:headerReference w:type="default" r:id="rId7"/>
      <w:footerReference w:type="default" r:id="rId8"/>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FE6BA" w14:textId="77777777" w:rsidR="002657CA" w:rsidRDefault="002657CA">
      <w:r>
        <w:separator/>
      </w:r>
    </w:p>
  </w:endnote>
  <w:endnote w:type="continuationSeparator" w:id="0">
    <w:p w14:paraId="248A329D" w14:textId="77777777" w:rsidR="002657CA" w:rsidRDefault="0026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C1E1" w14:textId="77777777" w:rsidR="00AD76AC" w:rsidRDefault="002657CA">
    <w:pPr>
      <w:jc w:val="center"/>
    </w:pPr>
    <w:r>
      <w:rPr>
        <w:color w:val="808080"/>
        <w:sz w:val="16"/>
        <w:szCs w:val="16"/>
      </w:rPr>
      <w:t xml:space="preserve">Confidential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11D1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60A7" w14:textId="77777777" w:rsidR="002657CA" w:rsidRDefault="002657CA">
      <w:r>
        <w:separator/>
      </w:r>
    </w:p>
  </w:footnote>
  <w:footnote w:type="continuationSeparator" w:id="0">
    <w:p w14:paraId="4EF8A756" w14:textId="77777777" w:rsidR="002657CA" w:rsidRDefault="00265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7534" w14:textId="77777777" w:rsidR="00AD76AC" w:rsidRDefault="002657CA">
    <w:pPr>
      <w:pBdr>
        <w:bottom w:val="single" w:sz="4" w:space="0" w:color="D9E2F3"/>
      </w:pBdr>
      <w:jc w:val="right"/>
    </w:pPr>
    <w:r>
      <w:rPr>
        <w:color w:val="808080"/>
        <w:sz w:val="16"/>
        <w:szCs w:val="16"/>
      </w:rPr>
      <w:t>Product Scope — AI-Powered Privacy &amp; Compliance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31795"/>
    <w:multiLevelType w:val="hybridMultilevel"/>
    <w:tmpl w:val="D3842766"/>
    <w:lvl w:ilvl="0" w:tplc="EC16CDD6">
      <w:start w:val="1"/>
      <w:numFmt w:val="bullet"/>
      <w:lvlText w:val="●"/>
      <w:lvlJc w:val="left"/>
      <w:pPr>
        <w:ind w:left="720" w:hanging="360"/>
      </w:pPr>
    </w:lvl>
    <w:lvl w:ilvl="1" w:tplc="3A0ADEAA">
      <w:start w:val="1"/>
      <w:numFmt w:val="bullet"/>
      <w:lvlText w:val="○"/>
      <w:lvlJc w:val="left"/>
      <w:pPr>
        <w:ind w:left="1440" w:hanging="360"/>
      </w:pPr>
    </w:lvl>
    <w:lvl w:ilvl="2" w:tplc="B45808AE">
      <w:start w:val="1"/>
      <w:numFmt w:val="bullet"/>
      <w:lvlText w:val="■"/>
      <w:lvlJc w:val="left"/>
      <w:pPr>
        <w:ind w:left="2160" w:hanging="360"/>
      </w:pPr>
    </w:lvl>
    <w:lvl w:ilvl="3" w:tplc="45D2FAD6">
      <w:start w:val="1"/>
      <w:numFmt w:val="bullet"/>
      <w:lvlText w:val="●"/>
      <w:lvlJc w:val="left"/>
      <w:pPr>
        <w:ind w:left="2880" w:hanging="360"/>
      </w:pPr>
    </w:lvl>
    <w:lvl w:ilvl="4" w:tplc="AC966352">
      <w:start w:val="1"/>
      <w:numFmt w:val="bullet"/>
      <w:lvlText w:val="○"/>
      <w:lvlJc w:val="left"/>
      <w:pPr>
        <w:ind w:left="3600" w:hanging="360"/>
      </w:pPr>
    </w:lvl>
    <w:lvl w:ilvl="5" w:tplc="CE22753C">
      <w:start w:val="1"/>
      <w:numFmt w:val="bullet"/>
      <w:lvlText w:val="■"/>
      <w:lvlJc w:val="left"/>
      <w:pPr>
        <w:ind w:left="4320" w:hanging="360"/>
      </w:pPr>
    </w:lvl>
    <w:lvl w:ilvl="6" w:tplc="1354D5E8">
      <w:start w:val="1"/>
      <w:numFmt w:val="bullet"/>
      <w:lvlText w:val="●"/>
      <w:lvlJc w:val="left"/>
      <w:pPr>
        <w:ind w:left="5040" w:hanging="360"/>
      </w:pPr>
    </w:lvl>
    <w:lvl w:ilvl="7" w:tplc="B09E1106">
      <w:start w:val="1"/>
      <w:numFmt w:val="bullet"/>
      <w:lvlText w:val="●"/>
      <w:lvlJc w:val="left"/>
      <w:pPr>
        <w:ind w:left="5760" w:hanging="360"/>
      </w:pPr>
    </w:lvl>
    <w:lvl w:ilvl="8" w:tplc="8278C118">
      <w:start w:val="1"/>
      <w:numFmt w:val="bullet"/>
      <w:lvlText w:val="●"/>
      <w:lvlJc w:val="left"/>
      <w:pPr>
        <w:ind w:left="6480" w:hanging="360"/>
      </w:pPr>
    </w:lvl>
  </w:abstractNum>
  <w:abstractNum w:abstractNumId="1" w15:restartNumberingAfterBreak="0">
    <w:nsid w:val="5B2E4BBF"/>
    <w:multiLevelType w:val="hybridMultilevel"/>
    <w:tmpl w:val="5ACCDCE0"/>
    <w:lvl w:ilvl="0" w:tplc="063A212E">
      <w:start w:val="1"/>
      <w:numFmt w:val="bullet"/>
      <w:lvlText w:val="•"/>
      <w:lvlJc w:val="left"/>
      <w:pPr>
        <w:ind w:left="431" w:hanging="259"/>
      </w:pPr>
    </w:lvl>
    <w:lvl w:ilvl="1" w:tplc="2924C2C8">
      <w:start w:val="1"/>
      <w:numFmt w:val="bullet"/>
      <w:lvlText w:val="◦"/>
      <w:lvlJc w:val="left"/>
      <w:pPr>
        <w:ind w:left="863" w:hanging="259"/>
      </w:pPr>
    </w:lvl>
    <w:lvl w:ilvl="2" w:tplc="FAFAF426">
      <w:numFmt w:val="decimal"/>
      <w:lvlText w:val=""/>
      <w:lvlJc w:val="left"/>
    </w:lvl>
    <w:lvl w:ilvl="3" w:tplc="06BA89EC">
      <w:numFmt w:val="decimal"/>
      <w:lvlText w:val=""/>
      <w:lvlJc w:val="left"/>
    </w:lvl>
    <w:lvl w:ilvl="4" w:tplc="B1DA9E56">
      <w:numFmt w:val="decimal"/>
      <w:lvlText w:val=""/>
      <w:lvlJc w:val="left"/>
    </w:lvl>
    <w:lvl w:ilvl="5" w:tplc="B718C550">
      <w:numFmt w:val="decimal"/>
      <w:lvlText w:val=""/>
      <w:lvlJc w:val="left"/>
    </w:lvl>
    <w:lvl w:ilvl="6" w:tplc="37CAAC7A">
      <w:numFmt w:val="decimal"/>
      <w:lvlText w:val=""/>
      <w:lvlJc w:val="left"/>
    </w:lvl>
    <w:lvl w:ilvl="7" w:tplc="3738ED02">
      <w:numFmt w:val="decimal"/>
      <w:lvlText w:val=""/>
      <w:lvlJc w:val="left"/>
    </w:lvl>
    <w:lvl w:ilvl="8" w:tplc="27A41BF8">
      <w:numFmt w:val="decimal"/>
      <w:lvlText w:val=""/>
      <w:lvlJc w:val="left"/>
    </w:lvl>
  </w:abstractNum>
  <w:num w:numId="1" w16cid:durableId="1847943929">
    <w:abstractNumId w:val="0"/>
    <w:lvlOverride w:ilvl="0">
      <w:startOverride w:val="1"/>
    </w:lvlOverride>
  </w:num>
  <w:num w:numId="2" w16cid:durableId="20915350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AC"/>
    <w:rsid w:val="00211D13"/>
    <w:rsid w:val="002657CA"/>
    <w:rsid w:val="005F5056"/>
    <w:rsid w:val="00AD76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CE43"/>
  <w15:docId w15:val="{C8ABE988-5B06-4A22-A3E4-3A2CC569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1D13"/>
    <w:pPr>
      <w:spacing w:after="100"/>
    </w:pPr>
  </w:style>
  <w:style w:type="paragraph" w:styleId="TOC2">
    <w:name w:val="toc 2"/>
    <w:basedOn w:val="Normal"/>
    <w:next w:val="Normal"/>
    <w:autoRedefine/>
    <w:uiPriority w:val="39"/>
    <w:unhideWhenUsed/>
    <w:rsid w:val="00211D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2897</Words>
  <Characters>18329</Characters>
  <Application>Microsoft Office Word</Application>
  <DocSecurity>0</DocSecurity>
  <Lines>374</Lines>
  <Paragraphs>227</Paragraphs>
  <ScaleCrop>false</ScaleCrop>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Despard</cp:lastModifiedBy>
  <cp:revision>2</cp:revision>
  <dcterms:created xsi:type="dcterms:W3CDTF">2026-07-17T05:24:00Z</dcterms:created>
  <dcterms:modified xsi:type="dcterms:W3CDTF">2026-07-17T05:24:00Z</dcterms:modified>
</cp:coreProperties>
</file>