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Arial" w:hAnsi="Arial"/>
          <w:b/>
          <w:sz w:val="24"/>
        </w:rPr>
        <w:t>Impact of an "Internal Use Only" Data Classification Standard</w:t>
      </w:r>
    </w:p>
    <w:p>
      <w:pPr>
        <w:spacing w:line="240" w:lineRule="auto"/>
        <w:jc w:val="center"/>
      </w:pPr>
      <w:r>
        <w:rPr>
          <w:rFonts w:ascii="Arial" w:hAnsi="Arial"/>
          <w:sz w:val="24"/>
        </w:rPr>
        <w:t>Durga Kalyan Gandiboyina | ISM 630Y | April 28, 2026</w:t>
      </w:r>
    </w:p>
    <w:p>
      <w:pPr>
        <w:spacing w:line="480" w:lineRule="auto"/>
        <w:ind w:firstLine="720"/>
      </w:pPr>
      <w:r>
        <w:rPr>
          <w:rFonts w:ascii="Arial" w:hAnsi="Arial"/>
          <w:b/>
          <w:sz w:val="24"/>
        </w:rPr>
        <w:t xml:space="preserve">Introduction. </w:t>
      </w:r>
      <w:r>
        <w:rPr>
          <w:rFonts w:ascii="Arial" w:hAnsi="Arial"/>
          <w:sz w:val="24"/>
        </w:rPr>
        <w:t>Richman Investments should classify internal procedures, branch reports, project files, network information, and routine financial summaries as "Internal Use Only" when the information belongs inside the company but is not in the highest confidential category. The standard should require labeling, approved storage, business-need sharing, and approved disposal. NIST connects information categorization to the controls used to protect systems, so the label affects daily IT operations, not just paperwork (National Institute of Standards and Technology [NIST], 2008).</w:t>
      </w:r>
    </w:p>
    <w:p>
      <w:pPr>
        <w:spacing w:line="480" w:lineRule="auto"/>
        <w:ind w:firstLine="720"/>
      </w:pPr>
      <w:r>
        <w:rPr>
          <w:rFonts w:ascii="Arial" w:hAnsi="Arial"/>
          <w:b/>
          <w:sz w:val="24"/>
        </w:rPr>
        <w:t xml:space="preserve">User Domain. </w:t>
      </w:r>
      <w:r>
        <w:rPr>
          <w:rFonts w:ascii="Arial" w:hAnsi="Arial"/>
          <w:sz w:val="24"/>
        </w:rPr>
        <w:t>Employees are the first control point because they decide how information is handled. Richman's acceptable use policy should prohibit posting Internal Use Only data publicly, forwarding it to personal email, saving it to personal cloud storage, or discussing it with outsiders. Since the class notes identify people as a major weakness in security, recurring awareness training should explain examples, reporting steps, and consequences. This also supports the FTC Safeguards Rule emphasis on training staff to recognize security risks (Federal Trade Commission, n.d.; Kim &amp; Solomon, 2021).</w:t>
      </w:r>
    </w:p>
    <w:p>
      <w:pPr>
        <w:spacing w:line="480" w:lineRule="auto"/>
        <w:ind w:firstLine="720"/>
      </w:pPr>
      <w:r>
        <w:rPr>
          <w:rFonts w:ascii="Arial" w:hAnsi="Arial"/>
          <w:b/>
          <w:sz w:val="24"/>
        </w:rPr>
        <w:t xml:space="preserve">Workstation Domain. </w:t>
      </w:r>
      <w:r>
        <w:rPr>
          <w:rFonts w:ascii="Arial" w:hAnsi="Arial"/>
          <w:sz w:val="24"/>
        </w:rPr>
        <w:t>Desktops, laptops, and mobile computers must enforce the classification. Richman should require endpoint protection, current patches, full-disk encryption, automatic screen locks, and approved configurations. Access to Internal Use Only files should follow role-based need, not convenience. Data loss prevention tools can warn or block users who copy internal files to removable media, upload them to unapproved services, or print them without a business reason.</w:t>
      </w:r>
    </w:p>
    <w:p>
      <w:pPr>
        <w:spacing w:line="480" w:lineRule="auto"/>
        <w:ind w:firstLine="720"/>
      </w:pPr>
      <w:r>
        <w:rPr>
          <w:rFonts w:ascii="Arial" w:hAnsi="Arial"/>
          <w:b/>
          <w:sz w:val="24"/>
        </w:rPr>
        <w:t xml:space="preserve">LAN-to-WAN and Remote Access Domains. </w:t>
      </w:r>
      <w:r>
        <w:rPr>
          <w:rFonts w:ascii="Arial" w:hAnsi="Arial"/>
          <w:sz w:val="24"/>
        </w:rPr>
        <w:t>Richman has headquarters, eight branches, and mobile users, so internal data will move across networks. Traffic between offices, cloud services, and remote users should use approved VPN or secure web connections. Firewalls, intrusion detection, wireless security, and logging should be tuned to detect unusual movement of internal documents. Remote access should require multifactor authentication and managed devices so data is protected when employees work away from the office.</w:t>
      </w:r>
    </w:p>
    <w:p>
      <w:pPr>
        <w:spacing w:line="480" w:lineRule="auto"/>
        <w:ind w:firstLine="720"/>
      </w:pPr>
      <w:r>
        <w:rPr>
          <w:rFonts w:ascii="Arial" w:hAnsi="Arial"/>
          <w:b/>
          <w:sz w:val="24"/>
        </w:rPr>
        <w:t xml:space="preserve">System/Application Domain. </w:t>
      </w:r>
      <w:r>
        <w:rPr>
          <w:rFonts w:ascii="Arial" w:hAnsi="Arial"/>
          <w:sz w:val="24"/>
        </w:rPr>
        <w:t>Business applications, file shares, and databases must recognize the classification through role-based access, audit logs, backups, and retention rules. Application owners should review permissions regularly so former project members, transferred employees, and unnecessary service accounts do not keep access. This makes the classification practical instead of symbolic.</w:t>
      </w:r>
    </w:p>
    <w:p>
      <w:pPr>
        <w:spacing w:line="480" w:lineRule="auto"/>
        <w:ind w:firstLine="720"/>
      </w:pPr>
      <w:r>
        <w:rPr>
          <w:rFonts w:ascii="Arial" w:hAnsi="Arial"/>
          <w:b/>
          <w:sz w:val="24"/>
        </w:rPr>
        <w:t xml:space="preserve">Conclusion. </w:t>
      </w:r>
      <w:r>
        <w:rPr>
          <w:rFonts w:ascii="Arial" w:hAnsi="Arial"/>
          <w:sz w:val="24"/>
        </w:rPr>
        <w:t>An Internal Use Only standard gives Richman a clear middle category for information that must stay inside the company. Its impact reaches users, endpoints, networks, remote access, and applications. Used consistently, it protects confidentiality while allowing normal business work to continue.</w:t>
      </w:r>
    </w:p>
    <w:p>
      <w:pPr>
        <w:spacing w:line="480" w:lineRule="auto"/>
      </w:pPr>
      <w:r>
        <w:rPr>
          <w:rFonts w:ascii="Arial" w:hAnsi="Arial"/>
          <w:b/>
          <w:sz w:val="24"/>
        </w:rPr>
        <w:t>References</w:t>
      </w:r>
    </w:p>
    <w:p>
      <w:pPr>
        <w:spacing w:line="480" w:lineRule="auto"/>
        <w:ind w:left="720" w:hanging="720"/>
      </w:pPr>
      <w:r>
        <w:rPr>
          <w:rFonts w:ascii="Arial" w:hAnsi="Arial"/>
          <w:sz w:val="24"/>
        </w:rPr>
        <w:t>Federal Trade Commission. (n.d.). FTC Safeguards Rule: What your business needs to know. https://www.ftc.gov/business-guidance/resources/ftc-safeguards-rule-what-your-business-needs-know</w:t>
      </w:r>
    </w:p>
    <w:p>
      <w:pPr>
        <w:spacing w:line="480" w:lineRule="auto"/>
        <w:ind w:left="720" w:hanging="720"/>
      </w:pPr>
      <w:r>
        <w:rPr>
          <w:rFonts w:ascii="Arial" w:hAnsi="Arial"/>
          <w:sz w:val="24"/>
        </w:rPr>
        <w:t>Kim, D., &amp; Solomon, M. G. (2021). Fundamentals of information systems security (4th ed.). Jones &amp; Bartlett Learning.</w:t>
      </w:r>
    </w:p>
    <w:p>
      <w:pPr>
        <w:spacing w:line="480" w:lineRule="auto"/>
        <w:ind w:left="720" w:hanging="720"/>
      </w:pPr>
      <w:r>
        <w:rPr>
          <w:rFonts w:ascii="Arial" w:hAnsi="Arial"/>
          <w:sz w:val="24"/>
        </w:rPr>
        <w:t>National Institute of Standards and Technology. (2008). Guide for mapping types of information and information systems to security categories (NIST SP 800-60 Vol. 1 Rev. 1). https://doi.org/10.6028/NIST.SP.800-60v1r1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