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A3020" w14:textId="77777777" w:rsidR="00286AA3" w:rsidRDefault="00286AA3" w:rsidP="00286AA3">
      <w:pPr>
        <w:rPr>
          <w:rFonts w:ascii="Times New Roman" w:hAnsi="Times New Roman" w:cs="Times New Roman"/>
          <w:b/>
          <w:bCs/>
          <w:sz w:val="32"/>
          <w:szCs w:val="32"/>
        </w:rPr>
      </w:pPr>
      <w:r>
        <w:rPr>
          <w:rFonts w:ascii="Times New Roman" w:hAnsi="Times New Roman" w:cs="Times New Roman"/>
          <w:b/>
          <w:bCs/>
          <w:sz w:val="32"/>
          <w:szCs w:val="32"/>
        </w:rPr>
        <w:t>In component 1</w:t>
      </w:r>
    </w:p>
    <w:p w14:paraId="35885601" w14:textId="77777777" w:rsidR="00286AA3" w:rsidRPr="00B846EB" w:rsidRDefault="00286AA3" w:rsidP="00286AA3">
      <w:pPr>
        <w:rPr>
          <w:rFonts w:ascii="Arial" w:eastAsia="Times New Roman" w:hAnsi="Arial" w:cs="Arial"/>
          <w:color w:val="404040"/>
          <w:sz w:val="28"/>
          <w:szCs w:val="28"/>
        </w:rPr>
      </w:pPr>
      <w:r w:rsidRPr="00B846EB">
        <w:rPr>
          <w:rFonts w:ascii="Arial" w:eastAsia="Times New Roman" w:hAnsi="Arial" w:cs="Arial"/>
          <w:color w:val="404040"/>
          <w:sz w:val="28"/>
          <w:szCs w:val="28"/>
        </w:rPr>
        <w:t>number of nodes:180</w:t>
      </w:r>
    </w:p>
    <w:p w14:paraId="6A27BAB5" w14:textId="683E351C" w:rsidR="00286AA3" w:rsidRPr="00B846EB" w:rsidRDefault="00286AA3" w:rsidP="00286AA3">
      <w:pPr>
        <w:rPr>
          <w:rFonts w:ascii="Arial" w:eastAsia="Times New Roman" w:hAnsi="Arial" w:cs="Arial"/>
          <w:color w:val="404040"/>
          <w:sz w:val="28"/>
          <w:szCs w:val="28"/>
        </w:rPr>
      </w:pPr>
      <w:r w:rsidRPr="00B846EB">
        <w:rPr>
          <w:rFonts w:ascii="Arial" w:eastAsia="Times New Roman" w:hAnsi="Arial" w:cs="Arial"/>
          <w:color w:val="404040"/>
          <w:sz w:val="28"/>
          <w:szCs w:val="28"/>
        </w:rPr>
        <w:t>number of edges:424</w:t>
      </w:r>
    </w:p>
    <w:p w14:paraId="5C7DE83E" w14:textId="3E96119B" w:rsidR="00286AA3" w:rsidRPr="00B846EB" w:rsidRDefault="00286AA3" w:rsidP="00286AA3">
      <w:pPr>
        <w:shd w:val="clear" w:color="auto" w:fill="FFFFFF"/>
        <w:spacing w:after="0" w:line="240" w:lineRule="auto"/>
        <w:rPr>
          <w:rFonts w:ascii="Arial" w:eastAsia="Times New Roman" w:hAnsi="Arial" w:cs="Arial"/>
          <w:color w:val="404040"/>
          <w:sz w:val="28"/>
          <w:szCs w:val="28"/>
        </w:rPr>
      </w:pPr>
      <w:r w:rsidRPr="00B846EB">
        <w:rPr>
          <w:rFonts w:ascii="Arial" w:eastAsia="Times New Roman" w:hAnsi="Arial" w:cs="Arial"/>
          <w:color w:val="404040"/>
          <w:sz w:val="28"/>
          <w:szCs w:val="28"/>
        </w:rPr>
        <w:t xml:space="preserve"> average node degree: 4.71</w:t>
      </w:r>
    </w:p>
    <w:p w14:paraId="65436BFC" w14:textId="78911925" w:rsidR="00286AA3" w:rsidRPr="00B846EB" w:rsidRDefault="00286AA3" w:rsidP="00286AA3">
      <w:pPr>
        <w:shd w:val="clear" w:color="auto" w:fill="FFFFFF"/>
        <w:spacing w:after="0" w:line="240" w:lineRule="auto"/>
        <w:jc w:val="right"/>
        <w:rPr>
          <w:rFonts w:ascii="Arial" w:eastAsia="Times New Roman" w:hAnsi="Arial" w:cs="Arial"/>
          <w:color w:val="404040"/>
          <w:sz w:val="28"/>
          <w:szCs w:val="28"/>
        </w:rPr>
      </w:pPr>
      <w:bookmarkStart w:id="0" w:name="_Hlk231821217"/>
    </w:p>
    <w:bookmarkEnd w:id="0"/>
    <w:p w14:paraId="66929E1A" w14:textId="2D2306F1" w:rsidR="00286AA3" w:rsidRPr="00B846EB" w:rsidRDefault="00286AA3" w:rsidP="00286AA3">
      <w:pPr>
        <w:shd w:val="clear" w:color="auto" w:fill="FFFFFF"/>
        <w:spacing w:after="0" w:line="240" w:lineRule="auto"/>
        <w:rPr>
          <w:rFonts w:ascii="Arial" w:eastAsia="Times New Roman" w:hAnsi="Arial" w:cs="Arial"/>
          <w:color w:val="404040"/>
          <w:sz w:val="28"/>
          <w:szCs w:val="28"/>
        </w:rPr>
      </w:pPr>
      <w:r w:rsidRPr="00B846EB">
        <w:rPr>
          <w:rFonts w:ascii="Arial" w:eastAsia="Times New Roman" w:hAnsi="Arial" w:cs="Arial"/>
          <w:color w:val="404040"/>
          <w:sz w:val="28"/>
          <w:szCs w:val="28"/>
        </w:rPr>
        <w:t>avg. local clustering coefficient:0.433</w:t>
      </w:r>
    </w:p>
    <w:p w14:paraId="66B792E5" w14:textId="1DEEEAA4" w:rsidR="003F30DB" w:rsidRPr="00B846EB" w:rsidRDefault="003F30DB" w:rsidP="003F30DB">
      <w:pPr>
        <w:shd w:val="clear" w:color="auto" w:fill="FFFFFF"/>
        <w:spacing w:after="0" w:line="240" w:lineRule="auto"/>
        <w:rPr>
          <w:rFonts w:ascii="Arial" w:eastAsia="Times New Roman" w:hAnsi="Arial" w:cs="Arial"/>
          <w:color w:val="404040"/>
          <w:sz w:val="28"/>
          <w:szCs w:val="28"/>
        </w:rPr>
      </w:pPr>
      <w:r w:rsidRPr="00B846EB">
        <w:rPr>
          <w:rFonts w:ascii="Arial" w:eastAsia="Times New Roman" w:hAnsi="Arial" w:cs="Arial"/>
          <w:color w:val="404040"/>
          <w:sz w:val="28"/>
          <w:szCs w:val="28"/>
        </w:rPr>
        <w:t>expected number of edges: 54</w:t>
      </w:r>
    </w:p>
    <w:p w14:paraId="6C0812A5" w14:textId="037A67E1" w:rsidR="003F30DB" w:rsidRPr="00B846EB" w:rsidRDefault="003F30DB" w:rsidP="003F30DB">
      <w:pPr>
        <w:shd w:val="clear" w:color="auto" w:fill="FFFFFF"/>
        <w:spacing w:after="0" w:line="240" w:lineRule="auto"/>
        <w:rPr>
          <w:rFonts w:ascii="Arial" w:eastAsia="Times New Roman" w:hAnsi="Arial" w:cs="Arial"/>
          <w:color w:val="404040"/>
          <w:sz w:val="28"/>
          <w:szCs w:val="28"/>
        </w:rPr>
      </w:pPr>
      <w:r w:rsidRPr="00B846EB">
        <w:rPr>
          <w:rFonts w:ascii="Arial" w:eastAsia="Times New Roman" w:hAnsi="Arial" w:cs="Arial"/>
          <w:color w:val="404040"/>
          <w:sz w:val="28"/>
          <w:szCs w:val="28"/>
        </w:rPr>
        <w:t>PPI enrichment p-value:</w:t>
      </w:r>
      <w:r w:rsidRPr="00B846EB">
        <w:rPr>
          <w:rFonts w:ascii="Arial" w:hAnsi="Arial" w:cs="Arial"/>
          <w:color w:val="404040"/>
          <w:sz w:val="28"/>
          <w:szCs w:val="28"/>
          <w:shd w:val="clear" w:color="auto" w:fill="FFFFFF"/>
        </w:rPr>
        <w:t xml:space="preserve"> &lt; 1.0e-16</w:t>
      </w:r>
    </w:p>
    <w:p w14:paraId="71AC4933" w14:textId="77777777" w:rsidR="003F30DB" w:rsidRPr="00B846EB" w:rsidRDefault="003F30DB" w:rsidP="003F30DB">
      <w:pPr>
        <w:shd w:val="clear" w:color="auto" w:fill="FFFFFF"/>
        <w:spacing w:after="0" w:line="240" w:lineRule="auto"/>
        <w:rPr>
          <w:rFonts w:ascii="Arial" w:eastAsia="Times New Roman" w:hAnsi="Arial" w:cs="Arial"/>
          <w:color w:val="404040"/>
          <w:sz w:val="28"/>
          <w:szCs w:val="28"/>
        </w:rPr>
      </w:pPr>
    </w:p>
    <w:tbl>
      <w:tblPr>
        <w:tblStyle w:val="TableGrid"/>
        <w:tblW w:w="9555" w:type="dxa"/>
        <w:tblLook w:val="04A0" w:firstRow="1" w:lastRow="0" w:firstColumn="1" w:lastColumn="0" w:noHBand="0" w:noVBand="1"/>
      </w:tblPr>
      <w:tblGrid>
        <w:gridCol w:w="1911"/>
        <w:gridCol w:w="1911"/>
        <w:gridCol w:w="1911"/>
        <w:gridCol w:w="1911"/>
        <w:gridCol w:w="1911"/>
      </w:tblGrid>
      <w:tr w:rsidR="003C0E03" w:rsidRPr="00B846EB" w14:paraId="14EB4E6C" w14:textId="77777777" w:rsidTr="0067183F">
        <w:trPr>
          <w:trHeight w:val="378"/>
        </w:trPr>
        <w:tc>
          <w:tcPr>
            <w:tcW w:w="1911" w:type="dxa"/>
          </w:tcPr>
          <w:p w14:paraId="16384DDB" w14:textId="77777777" w:rsidR="003C0E03" w:rsidRPr="00B846EB" w:rsidRDefault="003C0E03" w:rsidP="003F30DB">
            <w:pPr>
              <w:jc w:val="right"/>
              <w:rPr>
                <w:rFonts w:ascii="Arial" w:eastAsia="Times New Roman" w:hAnsi="Arial" w:cs="Arial"/>
                <w:color w:val="404040"/>
                <w:sz w:val="28"/>
                <w:szCs w:val="28"/>
              </w:rPr>
            </w:pPr>
          </w:p>
        </w:tc>
        <w:tc>
          <w:tcPr>
            <w:tcW w:w="1911" w:type="dxa"/>
          </w:tcPr>
          <w:p w14:paraId="090F9A23" w14:textId="6E864465" w:rsidR="003C0E03" w:rsidRPr="00B846EB" w:rsidRDefault="003C0E03" w:rsidP="003F30DB">
            <w:pPr>
              <w:jc w:val="right"/>
              <w:rPr>
                <w:rFonts w:ascii="Arial" w:eastAsia="Times New Roman" w:hAnsi="Arial" w:cs="Arial"/>
                <w:color w:val="404040"/>
                <w:sz w:val="28"/>
                <w:szCs w:val="28"/>
              </w:rPr>
            </w:pPr>
            <w:proofErr w:type="spellStart"/>
            <w:r w:rsidRPr="00B846EB">
              <w:rPr>
                <w:rFonts w:ascii="Arial" w:eastAsia="Times New Roman" w:hAnsi="Arial" w:cs="Arial"/>
                <w:color w:val="404040"/>
                <w:sz w:val="28"/>
                <w:szCs w:val="28"/>
              </w:rPr>
              <w:t>Mcode</w:t>
            </w:r>
            <w:proofErr w:type="spellEnd"/>
            <w:r w:rsidRPr="00B846EB">
              <w:rPr>
                <w:rFonts w:ascii="Arial" w:eastAsia="Times New Roman" w:hAnsi="Arial" w:cs="Arial"/>
                <w:color w:val="404040"/>
                <w:sz w:val="28"/>
                <w:szCs w:val="28"/>
              </w:rPr>
              <w:t xml:space="preserve"> Score</w:t>
            </w:r>
          </w:p>
        </w:tc>
        <w:tc>
          <w:tcPr>
            <w:tcW w:w="1911" w:type="dxa"/>
          </w:tcPr>
          <w:p w14:paraId="3698E072" w14:textId="1D58DF3E"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Nodes</w:t>
            </w:r>
          </w:p>
        </w:tc>
        <w:tc>
          <w:tcPr>
            <w:tcW w:w="1911" w:type="dxa"/>
          </w:tcPr>
          <w:p w14:paraId="21E743F1" w14:textId="2F81201A"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Edges</w:t>
            </w:r>
          </w:p>
        </w:tc>
        <w:tc>
          <w:tcPr>
            <w:tcW w:w="1911" w:type="dxa"/>
          </w:tcPr>
          <w:p w14:paraId="402635D0" w14:textId="60451F4A"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Seed node</w:t>
            </w:r>
          </w:p>
        </w:tc>
      </w:tr>
      <w:tr w:rsidR="003C0E03" w:rsidRPr="00B846EB" w14:paraId="792FE8D4" w14:textId="77777777" w:rsidTr="0067183F">
        <w:trPr>
          <w:trHeight w:val="378"/>
        </w:trPr>
        <w:tc>
          <w:tcPr>
            <w:tcW w:w="1911" w:type="dxa"/>
          </w:tcPr>
          <w:p w14:paraId="222C4141" w14:textId="68D0664F"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Module_1</w:t>
            </w:r>
          </w:p>
        </w:tc>
        <w:tc>
          <w:tcPr>
            <w:tcW w:w="1911" w:type="dxa"/>
          </w:tcPr>
          <w:p w14:paraId="16D0210C" w14:textId="526F718A"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18.667</w:t>
            </w:r>
          </w:p>
        </w:tc>
        <w:tc>
          <w:tcPr>
            <w:tcW w:w="1911" w:type="dxa"/>
          </w:tcPr>
          <w:p w14:paraId="4990994F" w14:textId="3DDB7733"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19</w:t>
            </w:r>
          </w:p>
        </w:tc>
        <w:tc>
          <w:tcPr>
            <w:tcW w:w="1911" w:type="dxa"/>
          </w:tcPr>
          <w:p w14:paraId="4B563E45" w14:textId="23421047"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168</w:t>
            </w:r>
          </w:p>
        </w:tc>
        <w:tc>
          <w:tcPr>
            <w:tcW w:w="1911" w:type="dxa"/>
          </w:tcPr>
          <w:p w14:paraId="469FBD59" w14:textId="4C4F7B81"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ZWINT</w:t>
            </w:r>
          </w:p>
        </w:tc>
      </w:tr>
      <w:tr w:rsidR="003C0E03" w:rsidRPr="00B846EB" w14:paraId="4860B531" w14:textId="77777777" w:rsidTr="0067183F">
        <w:trPr>
          <w:trHeight w:val="378"/>
        </w:trPr>
        <w:tc>
          <w:tcPr>
            <w:tcW w:w="1911" w:type="dxa"/>
          </w:tcPr>
          <w:p w14:paraId="3E0403A1" w14:textId="08ACF1CA"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Module 2</w:t>
            </w:r>
          </w:p>
        </w:tc>
        <w:tc>
          <w:tcPr>
            <w:tcW w:w="1911" w:type="dxa"/>
          </w:tcPr>
          <w:p w14:paraId="3B0BFFA5" w14:textId="3D36EAF2"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5.667</w:t>
            </w:r>
          </w:p>
        </w:tc>
        <w:tc>
          <w:tcPr>
            <w:tcW w:w="1911" w:type="dxa"/>
          </w:tcPr>
          <w:p w14:paraId="565B33B5" w14:textId="7EE01A34"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7</w:t>
            </w:r>
          </w:p>
        </w:tc>
        <w:tc>
          <w:tcPr>
            <w:tcW w:w="1911" w:type="dxa"/>
          </w:tcPr>
          <w:p w14:paraId="03DB8DA2" w14:textId="00E35C81"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17</w:t>
            </w:r>
          </w:p>
        </w:tc>
        <w:tc>
          <w:tcPr>
            <w:tcW w:w="1911" w:type="dxa"/>
          </w:tcPr>
          <w:p w14:paraId="18D54264" w14:textId="6BD3C234" w:rsidR="003C0E03" w:rsidRPr="00B846EB" w:rsidRDefault="003C0E03"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CDC7</w:t>
            </w:r>
          </w:p>
        </w:tc>
      </w:tr>
      <w:tr w:rsidR="0067183F" w:rsidRPr="00B846EB" w14:paraId="0ED4917A" w14:textId="77777777" w:rsidTr="0067183F">
        <w:trPr>
          <w:trHeight w:val="378"/>
        </w:trPr>
        <w:tc>
          <w:tcPr>
            <w:tcW w:w="1911" w:type="dxa"/>
          </w:tcPr>
          <w:p w14:paraId="05444B69" w14:textId="6DB2894B" w:rsidR="0067183F" w:rsidRPr="00B846EB" w:rsidRDefault="0067183F"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Module 3</w:t>
            </w:r>
          </w:p>
        </w:tc>
        <w:tc>
          <w:tcPr>
            <w:tcW w:w="1911" w:type="dxa"/>
          </w:tcPr>
          <w:p w14:paraId="280D9C57" w14:textId="55FBBCB0" w:rsidR="0067183F" w:rsidRPr="00B846EB" w:rsidRDefault="0067183F"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5.143</w:t>
            </w:r>
          </w:p>
        </w:tc>
        <w:tc>
          <w:tcPr>
            <w:tcW w:w="1911" w:type="dxa"/>
          </w:tcPr>
          <w:p w14:paraId="2D337AFE" w14:textId="35827F2F" w:rsidR="0067183F" w:rsidRPr="00B846EB" w:rsidRDefault="0067183F"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8</w:t>
            </w:r>
          </w:p>
        </w:tc>
        <w:tc>
          <w:tcPr>
            <w:tcW w:w="1911" w:type="dxa"/>
          </w:tcPr>
          <w:p w14:paraId="2B021D65" w14:textId="00581ABF" w:rsidR="0067183F" w:rsidRPr="00B846EB" w:rsidRDefault="0067183F"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18</w:t>
            </w:r>
          </w:p>
        </w:tc>
        <w:tc>
          <w:tcPr>
            <w:tcW w:w="1911" w:type="dxa"/>
          </w:tcPr>
          <w:p w14:paraId="0B2E6B3C" w14:textId="528B00DB" w:rsidR="0067183F" w:rsidRPr="00B846EB" w:rsidRDefault="0067183F"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DSG3</w:t>
            </w:r>
          </w:p>
        </w:tc>
      </w:tr>
      <w:tr w:rsidR="003C0E03" w:rsidRPr="00B846EB" w14:paraId="3B9314FE" w14:textId="77777777" w:rsidTr="0067183F">
        <w:trPr>
          <w:trHeight w:val="378"/>
        </w:trPr>
        <w:tc>
          <w:tcPr>
            <w:tcW w:w="1911" w:type="dxa"/>
          </w:tcPr>
          <w:p w14:paraId="411401DA" w14:textId="7ADD855A" w:rsidR="003C0E03" w:rsidRPr="00B846EB" w:rsidRDefault="0067183F"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Module 4</w:t>
            </w:r>
          </w:p>
        </w:tc>
        <w:tc>
          <w:tcPr>
            <w:tcW w:w="1911" w:type="dxa"/>
          </w:tcPr>
          <w:p w14:paraId="3797D4FF" w14:textId="0997C021" w:rsidR="003C0E03" w:rsidRPr="00B846EB" w:rsidRDefault="0067183F"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4.000</w:t>
            </w:r>
          </w:p>
        </w:tc>
        <w:tc>
          <w:tcPr>
            <w:tcW w:w="1911" w:type="dxa"/>
          </w:tcPr>
          <w:p w14:paraId="56D31B71" w14:textId="1DB26CA9" w:rsidR="003C0E03" w:rsidRPr="00B846EB" w:rsidRDefault="0067183F"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4</w:t>
            </w:r>
          </w:p>
        </w:tc>
        <w:tc>
          <w:tcPr>
            <w:tcW w:w="1911" w:type="dxa"/>
          </w:tcPr>
          <w:p w14:paraId="7BD0B1F6" w14:textId="60FF4B7C" w:rsidR="003C0E03" w:rsidRPr="00B846EB" w:rsidRDefault="0067183F"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6</w:t>
            </w:r>
          </w:p>
        </w:tc>
        <w:tc>
          <w:tcPr>
            <w:tcW w:w="1911" w:type="dxa"/>
          </w:tcPr>
          <w:p w14:paraId="10482A7F" w14:textId="2B4E20C0" w:rsidR="003C0E03" w:rsidRPr="00B846EB" w:rsidRDefault="0067183F" w:rsidP="003F30DB">
            <w:pPr>
              <w:jc w:val="right"/>
              <w:rPr>
                <w:rFonts w:ascii="Arial" w:eastAsia="Times New Roman" w:hAnsi="Arial" w:cs="Arial"/>
                <w:color w:val="404040"/>
                <w:sz w:val="28"/>
                <w:szCs w:val="28"/>
              </w:rPr>
            </w:pPr>
            <w:r w:rsidRPr="00B846EB">
              <w:rPr>
                <w:rFonts w:ascii="Arial" w:eastAsia="Times New Roman" w:hAnsi="Arial" w:cs="Arial"/>
                <w:color w:val="404040"/>
                <w:sz w:val="28"/>
                <w:szCs w:val="28"/>
              </w:rPr>
              <w:t>CXCL12</w:t>
            </w:r>
          </w:p>
        </w:tc>
      </w:tr>
    </w:tbl>
    <w:p w14:paraId="2B8B3B53" w14:textId="4B7C8AC7" w:rsidR="003F30DB" w:rsidRPr="003F30DB" w:rsidRDefault="003F30DB" w:rsidP="003F30DB">
      <w:pPr>
        <w:shd w:val="clear" w:color="auto" w:fill="FFFFFF"/>
        <w:spacing w:after="0" w:line="240" w:lineRule="auto"/>
        <w:jc w:val="right"/>
        <w:rPr>
          <w:rFonts w:ascii="Arial" w:eastAsia="Times New Roman" w:hAnsi="Arial" w:cs="Arial"/>
          <w:color w:val="404040"/>
          <w:sz w:val="20"/>
          <w:szCs w:val="20"/>
        </w:rPr>
      </w:pPr>
    </w:p>
    <w:p w14:paraId="77F9AE3F" w14:textId="4D78CAAC" w:rsidR="003C0E03" w:rsidRPr="00286AA3" w:rsidRDefault="003C0E03" w:rsidP="0067183F">
      <w:pPr>
        <w:rPr>
          <w:rFonts w:ascii="Times New Roman" w:hAnsi="Times New Roman" w:cs="Times New Roman"/>
          <w:b/>
          <w:bCs/>
          <w:sz w:val="32"/>
          <w:szCs w:val="32"/>
        </w:rPr>
      </w:pPr>
    </w:p>
    <w:p w14:paraId="3CC2EFEE" w14:textId="77777777" w:rsidR="00286AA3" w:rsidRDefault="00286AA3">
      <w:pPr>
        <w:rPr>
          <w:rFonts w:ascii="Times New Roman" w:hAnsi="Times New Roman" w:cs="Times New Roman"/>
          <w:b/>
          <w:bCs/>
          <w:sz w:val="32"/>
          <w:szCs w:val="32"/>
        </w:rPr>
      </w:pPr>
    </w:p>
    <w:p w14:paraId="12FDF3D3" w14:textId="144DFA3A" w:rsidR="00C52A49" w:rsidRPr="00C52A49" w:rsidRDefault="00C52A49">
      <w:pPr>
        <w:rPr>
          <w:rFonts w:ascii="Times New Roman" w:hAnsi="Times New Roman" w:cs="Times New Roman"/>
          <w:sz w:val="32"/>
          <w:szCs w:val="32"/>
        </w:rPr>
      </w:pPr>
      <w:r w:rsidRPr="00C52A49">
        <w:rPr>
          <w:rFonts w:ascii="Times New Roman" w:hAnsi="Times New Roman" w:cs="Times New Roman"/>
          <w:b/>
          <w:bCs/>
          <w:sz w:val="32"/>
          <w:szCs w:val="32"/>
        </w:rPr>
        <w:t>Question 1 Does the observed interaction density suggest random co-occurrence or coordinated biological organization? Support your answer using STRING statistics</w:t>
      </w:r>
      <w:r w:rsidRPr="00C52A49">
        <w:rPr>
          <w:rFonts w:ascii="Times New Roman" w:hAnsi="Times New Roman" w:cs="Times New Roman"/>
          <w:sz w:val="32"/>
          <w:szCs w:val="32"/>
        </w:rPr>
        <w:t>.</w:t>
      </w:r>
    </w:p>
    <w:p w14:paraId="2D471DDF" w14:textId="2E31A984" w:rsidR="00C52A49" w:rsidRDefault="00C52A49" w:rsidP="00C52A49">
      <w:pPr>
        <w:pStyle w:val="NormalWeb"/>
      </w:pPr>
      <w:r w:rsidRPr="00C52A49">
        <w:rPr>
          <w:sz w:val="32"/>
          <w:szCs w:val="32"/>
        </w:rPr>
        <w:t>Answer -1.</w:t>
      </w:r>
      <w:r w:rsidRPr="00C52A49">
        <w:t xml:space="preserve"> The observed interaction density strongly suggests </w:t>
      </w:r>
      <w:r w:rsidRPr="00C52A49">
        <w:rPr>
          <w:rStyle w:val="Strong"/>
        </w:rPr>
        <w:t>coordinated biological organization rather than random co</w:t>
      </w:r>
      <w:r w:rsidRPr="00C52A49">
        <w:rPr>
          <w:rStyle w:val="Strong"/>
        </w:rPr>
        <w:noBreakHyphen/>
        <w:t>occurrence</w:t>
      </w:r>
      <w:r w:rsidRPr="00C52A49">
        <w:t>. In STRING, a PPI enrichment p</w:t>
      </w:r>
      <w:r w:rsidRPr="00C52A49">
        <w:noBreakHyphen/>
        <w:t>value far below 0.05 (here &lt; 1e</w:t>
      </w:r>
      <w:r w:rsidRPr="00C52A49">
        <w:noBreakHyphen/>
        <w:t>16) indicates that the number of observed edges is significantly higher than expected by chance, meaning the proteins are functionally connected. Moreover, the average local clustering coefficient of 0.433 reflects a moderate to high tendency of nodes to form tightly knit groups, consistent with biologically meaningful modules or complexes. Together, these statistics demonstrate that the cervical carcinoma transcriptomic signature is embedded within a structured and coordinated interaction landscape, not a random assembly of differentially expressed proteins.</w:t>
      </w:r>
    </w:p>
    <w:p w14:paraId="4240E8BF" w14:textId="79A7A421" w:rsidR="00C52A49" w:rsidRPr="00C52A49" w:rsidRDefault="00C52A49" w:rsidP="00C52A49">
      <w:pPr>
        <w:pStyle w:val="NormalWeb"/>
        <w:rPr>
          <w:sz w:val="32"/>
          <w:szCs w:val="32"/>
        </w:rPr>
      </w:pPr>
      <w:r w:rsidRPr="00C52A49">
        <w:rPr>
          <w:sz w:val="32"/>
          <w:szCs w:val="32"/>
        </w:rPr>
        <w:t>Question 2 If a protein is significantly differentially expressed but absent from every detected network module, should it still be considered a therapeutic target? Justify using principles of network biology.</w:t>
      </w:r>
    </w:p>
    <w:p w14:paraId="1648C93A" w14:textId="61E25947" w:rsidR="004F5BD9" w:rsidRDefault="004F5BD9" w:rsidP="004F5BD9">
      <w:pPr>
        <w:pStyle w:val="NormalWeb"/>
      </w:pPr>
      <w:r>
        <w:rPr>
          <w:sz w:val="32"/>
          <w:szCs w:val="32"/>
        </w:rPr>
        <w:lastRenderedPageBreak/>
        <w:t>Answer-2.</w:t>
      </w:r>
      <w:r w:rsidRPr="004F5BD9">
        <w:t xml:space="preserve"> </w:t>
      </w:r>
      <w:r>
        <w:t>Our analysis detected four network modules. Many of the differentially expressed genes (DEGs) are embedded within these modules (e.g., NUSAP1, CCNB1, TOP2A, CDC20, FOXM1, CDK1, MCM2, RFC4, CXCL8, CXCL12), indicating that they participate in coordinated biological processes and are more robust candidates for therapeutic targeting. In contrast, a substantial number of DEGs (e.g., SPP1, CDKN2A, EPCAM, FN1, MMP12, IGKC, KRT family genes) are not assigned to any module. According to network biology principles, module membership provides functional context and highlights proteins that act within disease</w:t>
      </w:r>
      <w:r>
        <w:noBreakHyphen/>
        <w:t>relevant pathways, whereas isolated DEGs may represent peripheral or context</w:t>
      </w:r>
      <w:r>
        <w:noBreakHyphen/>
        <w:t>specific changes.</w:t>
      </w:r>
    </w:p>
    <w:p w14:paraId="015C61AF" w14:textId="77777777" w:rsidR="004F5BD9" w:rsidRDefault="004F5BD9" w:rsidP="004F5BD9">
      <w:pPr>
        <w:pStyle w:val="NormalWeb"/>
      </w:pPr>
      <w:r>
        <w:t xml:space="preserve">Therefore, DEGs embedded in modules should be prioritized as therapeutic candidates, while those outside modules require independent biological plausibility (such as prior evidence of involvement in cervical carcinoma or known </w:t>
      </w:r>
      <w:proofErr w:type="spellStart"/>
      <w:r>
        <w:t>druggability</w:t>
      </w:r>
      <w:proofErr w:type="spellEnd"/>
      <w:r>
        <w:t>) before consideration.</w:t>
      </w:r>
    </w:p>
    <w:p w14:paraId="3315354B" w14:textId="5C64B610" w:rsidR="00C52A49" w:rsidRDefault="00B7466F">
      <w:pPr>
        <w:rPr>
          <w:rFonts w:ascii="Times New Roman" w:hAnsi="Times New Roman" w:cs="Times New Roman"/>
          <w:sz w:val="32"/>
          <w:szCs w:val="32"/>
        </w:rPr>
      </w:pPr>
      <w:r w:rsidRPr="00A14E6C">
        <w:rPr>
          <w:rFonts w:ascii="Times New Roman" w:hAnsi="Times New Roman" w:cs="Times New Roman"/>
          <w:b/>
          <w:bCs/>
          <w:sz w:val="32"/>
          <w:szCs w:val="32"/>
        </w:rPr>
        <w:t>Question 3 Assume the highest-ranked consensus protein is experimentally inhibited. Explain three different mechanisms by which the disease network could compensate for the loss of that protein</w:t>
      </w:r>
      <w:r w:rsidRPr="00B7466F">
        <w:rPr>
          <w:rFonts w:ascii="Times New Roman" w:hAnsi="Times New Roman" w:cs="Times New Roman"/>
          <w:sz w:val="32"/>
          <w:szCs w:val="32"/>
        </w:rPr>
        <w:t>.</w:t>
      </w:r>
    </w:p>
    <w:p w14:paraId="1F451CBF" w14:textId="12BA5850" w:rsidR="00B7466F" w:rsidRDefault="00B7466F" w:rsidP="00B7466F">
      <w:pPr>
        <w:pStyle w:val="NormalWeb"/>
      </w:pPr>
      <w:r>
        <w:rPr>
          <w:sz w:val="32"/>
          <w:szCs w:val="32"/>
        </w:rPr>
        <w:t>Answer-3.</w:t>
      </w:r>
      <w:r w:rsidRPr="00B7466F">
        <w:t xml:space="preserve"> </w:t>
      </w:r>
      <w:r>
        <w:t>Our network analysis identified four distinct modules, each enriched for specific biological processes. The DEGs embedded within these modules highlight coordinated functional programs relevant to cervical carcinoma. For example, Module 1 contained cell cycle regulators such as CDK1, CCNB1, CDC20, and FOXM1, pointing to dysregulated mitotic control. Module 2 included DNA replication factors like MCM2, MCM5, RFC4, and GINS1, emphasizing aberrant replication licensing. Module 3 was enriched with keratin and cornified envelope genes (SPRR family, TGM1, PI3, DSG3, CSTA), reflecting epithelial differentiation and barrier function. Module 4 contained chemokines (CXCL1, CXCL8, CXCL9, CXCL12), indicating immune signaling and tumor–microenvironment interactions.</w:t>
      </w:r>
    </w:p>
    <w:p w14:paraId="396C92CB" w14:textId="559929D4" w:rsidR="00B7466F" w:rsidRDefault="00B7466F" w:rsidP="00B7466F">
      <w:pPr>
        <w:pStyle w:val="NormalWeb"/>
      </w:pPr>
      <w:r>
        <w:t xml:space="preserve">Together, these modules demonstrate that cervical carcinoma progression is not driven by isolated genes but by coordinated dysregulation of cell cycle, DNA replication, epithelial integrity, and immune pathways. This modular organization provides a </w:t>
      </w:r>
      <w:proofErr w:type="gramStart"/>
      <w:r>
        <w:t>systems</w:t>
      </w:r>
      <w:proofErr w:type="gramEnd"/>
      <w:r>
        <w:noBreakHyphen/>
        <w:t>level view of disease biology and helps prioritize therapeutic targets that act within critical functional clusters.</w:t>
      </w:r>
    </w:p>
    <w:p w14:paraId="6FE69ADB" w14:textId="0D0E869F" w:rsidR="00A14E6C" w:rsidRPr="00A14E6C" w:rsidRDefault="00A14E6C" w:rsidP="00B7466F">
      <w:pPr>
        <w:pStyle w:val="NormalWeb"/>
        <w:rPr>
          <w:b/>
          <w:bCs/>
        </w:rPr>
      </w:pPr>
      <w:r w:rsidRPr="00A14E6C">
        <w:rPr>
          <w:b/>
          <w:bCs/>
          <w:sz w:val="32"/>
          <w:szCs w:val="32"/>
        </w:rPr>
        <w:t>Question 4 The pharmaceutical company can only validate two proteins experimentally. Describe a rational framework for selecting two candidates from the consensus target panel</w:t>
      </w:r>
      <w:r w:rsidRPr="00A14E6C">
        <w:rPr>
          <w:b/>
          <w:bCs/>
        </w:rPr>
        <w:t>.</w:t>
      </w:r>
    </w:p>
    <w:p w14:paraId="3F25C356" w14:textId="77777777" w:rsidR="00A14E6C" w:rsidRPr="00A14E6C" w:rsidRDefault="00A14E6C" w:rsidP="00A14E6C">
      <w:pPr>
        <w:spacing w:before="100" w:beforeAutospacing="1" w:after="100" w:afterAutospacing="1" w:line="240" w:lineRule="auto"/>
        <w:rPr>
          <w:rFonts w:ascii="Times New Roman" w:eastAsia="Times New Roman" w:hAnsi="Times New Roman" w:cs="Times New Roman"/>
          <w:sz w:val="24"/>
          <w:szCs w:val="24"/>
        </w:rPr>
      </w:pPr>
      <w:r w:rsidRPr="00A14E6C">
        <w:rPr>
          <w:rFonts w:ascii="Times New Roman" w:eastAsia="Times New Roman" w:hAnsi="Times New Roman" w:cs="Times New Roman"/>
          <w:sz w:val="24"/>
          <w:szCs w:val="24"/>
        </w:rPr>
        <w:t xml:space="preserve">Our centrality analysis highlights a consistent set of hub proteins across multiple ranking methods. Degree, MCC, and MNC all repeatedly identified </w:t>
      </w:r>
      <w:r w:rsidRPr="00A14E6C">
        <w:rPr>
          <w:rFonts w:ascii="Times New Roman" w:eastAsia="Times New Roman" w:hAnsi="Times New Roman" w:cs="Times New Roman"/>
          <w:b/>
          <w:bCs/>
          <w:sz w:val="24"/>
          <w:szCs w:val="24"/>
        </w:rPr>
        <w:t>CDK1, CCNB1, CDC20, TOP2A, RRM2, DLGAP5, CENPF, ASPM, MELK, PRC1, NUSAP1, KIF20A</w:t>
      </w:r>
      <w:r w:rsidRPr="00A14E6C">
        <w:rPr>
          <w:rFonts w:ascii="Times New Roman" w:eastAsia="Times New Roman" w:hAnsi="Times New Roman" w:cs="Times New Roman"/>
          <w:sz w:val="24"/>
          <w:szCs w:val="24"/>
        </w:rPr>
        <w:t xml:space="preserve"> as top</w:t>
      </w:r>
      <w:r w:rsidRPr="00A14E6C">
        <w:rPr>
          <w:rFonts w:ascii="Times New Roman" w:eastAsia="Times New Roman" w:hAnsi="Times New Roman" w:cs="Times New Roman"/>
          <w:sz w:val="24"/>
          <w:szCs w:val="24"/>
        </w:rPr>
        <w:noBreakHyphen/>
        <w:t xml:space="preserve">ranked nodes. These proteins are embedded in cell cycle and DNA replication modules, underscoring their role as master regulators of proliferation in cervical carcinoma. Their presence across several </w:t>
      </w:r>
      <w:r w:rsidRPr="00A14E6C">
        <w:rPr>
          <w:rFonts w:ascii="Times New Roman" w:eastAsia="Times New Roman" w:hAnsi="Times New Roman" w:cs="Times New Roman"/>
          <w:sz w:val="24"/>
          <w:szCs w:val="24"/>
        </w:rPr>
        <w:lastRenderedPageBreak/>
        <w:t>centrality measures strengthens confidence that they are structurally and functionally critical to the disease network.</w:t>
      </w:r>
    </w:p>
    <w:p w14:paraId="26C39A4D" w14:textId="77777777" w:rsidR="00A14E6C" w:rsidRPr="00A14E6C" w:rsidRDefault="00A14E6C" w:rsidP="00A14E6C">
      <w:pPr>
        <w:spacing w:before="100" w:beforeAutospacing="1" w:after="100" w:afterAutospacing="1" w:line="240" w:lineRule="auto"/>
        <w:rPr>
          <w:rFonts w:ascii="Times New Roman" w:eastAsia="Times New Roman" w:hAnsi="Times New Roman" w:cs="Times New Roman"/>
          <w:sz w:val="24"/>
          <w:szCs w:val="24"/>
        </w:rPr>
      </w:pPr>
      <w:r w:rsidRPr="00A14E6C">
        <w:rPr>
          <w:rFonts w:ascii="Times New Roman" w:eastAsia="Times New Roman" w:hAnsi="Times New Roman" w:cs="Times New Roman"/>
          <w:sz w:val="24"/>
          <w:szCs w:val="24"/>
        </w:rPr>
        <w:t xml:space="preserve">Interestingly, MNC and Bottleneck also highlighted immune and epithelial genes such as </w:t>
      </w:r>
      <w:r w:rsidRPr="00A14E6C">
        <w:rPr>
          <w:rFonts w:ascii="Times New Roman" w:eastAsia="Times New Roman" w:hAnsi="Times New Roman" w:cs="Times New Roman"/>
          <w:b/>
          <w:bCs/>
          <w:sz w:val="24"/>
          <w:szCs w:val="24"/>
        </w:rPr>
        <w:t>FN1, GJA1, CXCL8, CXCL9, CXCL12, DSG2, DSG3, SPRR1B, UBD, FOS, S100A12, ANXA1, MMP7, MMP12, IGFBP3</w:t>
      </w:r>
      <w:r w:rsidRPr="00A14E6C">
        <w:rPr>
          <w:rFonts w:ascii="Times New Roman" w:eastAsia="Times New Roman" w:hAnsi="Times New Roman" w:cs="Times New Roman"/>
          <w:sz w:val="24"/>
          <w:szCs w:val="24"/>
        </w:rPr>
        <w:t>. These represent peripheral but biologically important processes — extracellular matrix remodeling, chemokine signaling, and epithelial integrity — which may influence tumor microenvironment and invasion. While not as universally ranked as the cell cycle hubs, their identification by bottleneck and eccentricity suggests they act as bridges or bottlenecks in information flow.</w:t>
      </w:r>
    </w:p>
    <w:p w14:paraId="39035091" w14:textId="77777777" w:rsidR="00A14E6C" w:rsidRPr="00A14E6C" w:rsidRDefault="00A14E6C" w:rsidP="00A14E6C">
      <w:pPr>
        <w:spacing w:before="100" w:beforeAutospacing="1" w:after="100" w:afterAutospacing="1" w:line="240" w:lineRule="auto"/>
        <w:rPr>
          <w:rFonts w:ascii="Times New Roman" w:eastAsia="Times New Roman" w:hAnsi="Times New Roman" w:cs="Times New Roman"/>
          <w:sz w:val="24"/>
          <w:szCs w:val="24"/>
        </w:rPr>
      </w:pPr>
      <w:r w:rsidRPr="00A14E6C">
        <w:rPr>
          <w:rFonts w:ascii="Times New Roman" w:eastAsia="Times New Roman" w:hAnsi="Times New Roman" w:cs="Times New Roman"/>
          <w:sz w:val="24"/>
          <w:szCs w:val="24"/>
        </w:rPr>
        <w:t>Thus, the integration of multiple centrality measures reveals two tiers of therapeutic candidates:</w:t>
      </w:r>
    </w:p>
    <w:p w14:paraId="4F36A749" w14:textId="77777777" w:rsidR="00A14E6C" w:rsidRPr="00A14E6C" w:rsidRDefault="00A14E6C" w:rsidP="00A14E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4E6C">
        <w:rPr>
          <w:rFonts w:ascii="Times New Roman" w:eastAsia="Times New Roman" w:hAnsi="Times New Roman" w:cs="Times New Roman"/>
          <w:b/>
          <w:bCs/>
          <w:sz w:val="24"/>
          <w:szCs w:val="24"/>
        </w:rPr>
        <w:t>Core hubs (CDK1, CCNB1, TOP2A, CDC20, FOXM1, etc.)</w:t>
      </w:r>
      <w:r w:rsidRPr="00A14E6C">
        <w:rPr>
          <w:rFonts w:ascii="Times New Roman" w:eastAsia="Times New Roman" w:hAnsi="Times New Roman" w:cs="Times New Roman"/>
          <w:sz w:val="24"/>
          <w:szCs w:val="24"/>
        </w:rPr>
        <w:t xml:space="preserve"> → strongly dysregulated, module</w:t>
      </w:r>
      <w:r w:rsidRPr="00A14E6C">
        <w:rPr>
          <w:rFonts w:ascii="Times New Roman" w:eastAsia="Times New Roman" w:hAnsi="Times New Roman" w:cs="Times New Roman"/>
          <w:sz w:val="24"/>
          <w:szCs w:val="24"/>
        </w:rPr>
        <w:noBreakHyphen/>
        <w:t>embedded, and repeatedly top</w:t>
      </w:r>
      <w:r w:rsidRPr="00A14E6C">
        <w:rPr>
          <w:rFonts w:ascii="Times New Roman" w:eastAsia="Times New Roman" w:hAnsi="Times New Roman" w:cs="Times New Roman"/>
          <w:sz w:val="24"/>
          <w:szCs w:val="24"/>
        </w:rPr>
        <w:noBreakHyphen/>
        <w:t>ranked. These are prime targets for intervention.</w:t>
      </w:r>
    </w:p>
    <w:p w14:paraId="7EBC88D6" w14:textId="77777777" w:rsidR="00A14E6C" w:rsidRPr="00A14E6C" w:rsidRDefault="00A14E6C" w:rsidP="00A14E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4E6C">
        <w:rPr>
          <w:rFonts w:ascii="Times New Roman" w:eastAsia="Times New Roman" w:hAnsi="Times New Roman" w:cs="Times New Roman"/>
          <w:b/>
          <w:bCs/>
          <w:sz w:val="24"/>
          <w:szCs w:val="24"/>
        </w:rPr>
        <w:t>Peripheral connectors (FN1, CXCL8, CXCL12, MMP7, DSG family, etc.)</w:t>
      </w:r>
      <w:r w:rsidRPr="00A14E6C">
        <w:rPr>
          <w:rFonts w:ascii="Times New Roman" w:eastAsia="Times New Roman" w:hAnsi="Times New Roman" w:cs="Times New Roman"/>
          <w:sz w:val="24"/>
          <w:szCs w:val="24"/>
        </w:rPr>
        <w:t xml:space="preserve"> → context</w:t>
      </w:r>
      <w:r w:rsidRPr="00A14E6C">
        <w:rPr>
          <w:rFonts w:ascii="Times New Roman" w:eastAsia="Times New Roman" w:hAnsi="Times New Roman" w:cs="Times New Roman"/>
          <w:sz w:val="24"/>
          <w:szCs w:val="24"/>
        </w:rPr>
        <w:noBreakHyphen/>
        <w:t>specific but potentially critical for tumor progression and microenvironment interactions. These warrant secondary prioritization and literature validation.</w:t>
      </w:r>
    </w:p>
    <w:p w14:paraId="21DA7A79" w14:textId="77777777" w:rsidR="00A14E6C" w:rsidRPr="00A14E6C" w:rsidRDefault="00A14E6C" w:rsidP="00A14E6C">
      <w:pPr>
        <w:spacing w:before="100" w:beforeAutospacing="1" w:after="100" w:afterAutospacing="1" w:line="240" w:lineRule="auto"/>
        <w:rPr>
          <w:rFonts w:ascii="Times New Roman" w:eastAsia="Times New Roman" w:hAnsi="Times New Roman" w:cs="Times New Roman"/>
          <w:sz w:val="24"/>
          <w:szCs w:val="24"/>
        </w:rPr>
      </w:pPr>
      <w:r w:rsidRPr="00A14E6C">
        <w:rPr>
          <w:rFonts w:ascii="Times New Roman" w:eastAsia="Times New Roman" w:hAnsi="Times New Roman" w:cs="Times New Roman"/>
          <w:sz w:val="24"/>
          <w:szCs w:val="24"/>
        </w:rPr>
        <w:t>By combining DEG status, module membership, and centrality rankings, we ensure that therapeutic strategies focus on proteins most capable of disrupting cervical carcinoma progression when inhibited.</w:t>
      </w:r>
    </w:p>
    <w:p w14:paraId="1EA97D33" w14:textId="1548538F" w:rsidR="00B7466F" w:rsidRPr="00B7466F" w:rsidRDefault="00B7466F">
      <w:pPr>
        <w:rPr>
          <w:rFonts w:ascii="Times New Roman" w:hAnsi="Times New Roman" w:cs="Times New Roman"/>
          <w:sz w:val="32"/>
          <w:szCs w:val="32"/>
        </w:rPr>
      </w:pPr>
    </w:p>
    <w:sectPr w:rsidR="00B7466F" w:rsidRPr="00B74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C544AC"/>
    <w:multiLevelType w:val="multilevel"/>
    <w:tmpl w:val="6818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49"/>
    <w:rsid w:val="00286AA3"/>
    <w:rsid w:val="003C0E03"/>
    <w:rsid w:val="003F30DB"/>
    <w:rsid w:val="004F5BD9"/>
    <w:rsid w:val="0067183F"/>
    <w:rsid w:val="00A14E6C"/>
    <w:rsid w:val="00B7466F"/>
    <w:rsid w:val="00B846EB"/>
    <w:rsid w:val="00C52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25DA"/>
  <w15:chartTrackingRefBased/>
  <w15:docId w15:val="{EF763C1B-91C3-46A3-8633-D4DFF9795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2A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2A49"/>
    <w:rPr>
      <w:b/>
      <w:bCs/>
    </w:rPr>
  </w:style>
  <w:style w:type="table" w:styleId="TableGrid">
    <w:name w:val="Table Grid"/>
    <w:basedOn w:val="TableNormal"/>
    <w:uiPriority w:val="39"/>
    <w:rsid w:val="003C0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577025">
      <w:bodyDiv w:val="1"/>
      <w:marLeft w:val="0"/>
      <w:marRight w:val="0"/>
      <w:marTop w:val="0"/>
      <w:marBottom w:val="0"/>
      <w:divBdr>
        <w:top w:val="none" w:sz="0" w:space="0" w:color="auto"/>
        <w:left w:val="none" w:sz="0" w:space="0" w:color="auto"/>
        <w:bottom w:val="none" w:sz="0" w:space="0" w:color="auto"/>
        <w:right w:val="none" w:sz="0" w:space="0" w:color="auto"/>
      </w:divBdr>
    </w:div>
    <w:div w:id="789204042">
      <w:bodyDiv w:val="1"/>
      <w:marLeft w:val="0"/>
      <w:marRight w:val="0"/>
      <w:marTop w:val="0"/>
      <w:marBottom w:val="0"/>
      <w:divBdr>
        <w:top w:val="none" w:sz="0" w:space="0" w:color="auto"/>
        <w:left w:val="none" w:sz="0" w:space="0" w:color="auto"/>
        <w:bottom w:val="none" w:sz="0" w:space="0" w:color="auto"/>
        <w:right w:val="none" w:sz="0" w:space="0" w:color="auto"/>
      </w:divBdr>
    </w:div>
    <w:div w:id="917010603">
      <w:bodyDiv w:val="1"/>
      <w:marLeft w:val="0"/>
      <w:marRight w:val="0"/>
      <w:marTop w:val="0"/>
      <w:marBottom w:val="0"/>
      <w:divBdr>
        <w:top w:val="none" w:sz="0" w:space="0" w:color="auto"/>
        <w:left w:val="none" w:sz="0" w:space="0" w:color="auto"/>
        <w:bottom w:val="none" w:sz="0" w:space="0" w:color="auto"/>
        <w:right w:val="none" w:sz="0" w:space="0" w:color="auto"/>
      </w:divBdr>
    </w:div>
    <w:div w:id="1401438216">
      <w:bodyDiv w:val="1"/>
      <w:marLeft w:val="0"/>
      <w:marRight w:val="0"/>
      <w:marTop w:val="0"/>
      <w:marBottom w:val="0"/>
      <w:divBdr>
        <w:top w:val="none" w:sz="0" w:space="0" w:color="auto"/>
        <w:left w:val="none" w:sz="0" w:space="0" w:color="auto"/>
        <w:bottom w:val="none" w:sz="0" w:space="0" w:color="auto"/>
        <w:right w:val="none" w:sz="0" w:space="0" w:color="auto"/>
      </w:divBdr>
    </w:div>
    <w:div w:id="1747261647">
      <w:bodyDiv w:val="1"/>
      <w:marLeft w:val="0"/>
      <w:marRight w:val="0"/>
      <w:marTop w:val="0"/>
      <w:marBottom w:val="0"/>
      <w:divBdr>
        <w:top w:val="none" w:sz="0" w:space="0" w:color="auto"/>
        <w:left w:val="none" w:sz="0" w:space="0" w:color="auto"/>
        <w:bottom w:val="none" w:sz="0" w:space="0" w:color="auto"/>
        <w:right w:val="none" w:sz="0" w:space="0" w:color="auto"/>
      </w:divBdr>
    </w:div>
    <w:div w:id="2042243157">
      <w:bodyDiv w:val="1"/>
      <w:marLeft w:val="0"/>
      <w:marRight w:val="0"/>
      <w:marTop w:val="0"/>
      <w:marBottom w:val="0"/>
      <w:divBdr>
        <w:top w:val="none" w:sz="0" w:space="0" w:color="auto"/>
        <w:left w:val="none" w:sz="0" w:space="0" w:color="auto"/>
        <w:bottom w:val="none" w:sz="0" w:space="0" w:color="auto"/>
        <w:right w:val="none" w:sz="0" w:space="0" w:color="auto"/>
      </w:divBdr>
    </w:div>
    <w:div w:id="2100828764">
      <w:bodyDiv w:val="1"/>
      <w:marLeft w:val="0"/>
      <w:marRight w:val="0"/>
      <w:marTop w:val="0"/>
      <w:marBottom w:val="0"/>
      <w:divBdr>
        <w:top w:val="none" w:sz="0" w:space="0" w:color="auto"/>
        <w:left w:val="none" w:sz="0" w:space="0" w:color="auto"/>
        <w:bottom w:val="none" w:sz="0" w:space="0" w:color="auto"/>
        <w:right w:val="none" w:sz="0" w:space="0" w:color="auto"/>
      </w:divBdr>
      <w:divsChild>
        <w:div w:id="123668480">
          <w:marLeft w:val="0"/>
          <w:marRight w:val="0"/>
          <w:marTop w:val="0"/>
          <w:marBottom w:val="0"/>
          <w:divBdr>
            <w:top w:val="none" w:sz="0" w:space="0" w:color="auto"/>
            <w:left w:val="none" w:sz="0" w:space="0" w:color="auto"/>
            <w:bottom w:val="none" w:sz="0" w:space="0" w:color="auto"/>
            <w:right w:val="none" w:sz="0" w:space="0" w:color="auto"/>
          </w:divBdr>
          <w:divsChild>
            <w:div w:id="1202552117">
              <w:marLeft w:val="0"/>
              <w:marRight w:val="0"/>
              <w:marTop w:val="0"/>
              <w:marBottom w:val="0"/>
              <w:divBdr>
                <w:top w:val="none" w:sz="0" w:space="0" w:color="auto"/>
                <w:left w:val="none" w:sz="0" w:space="0" w:color="auto"/>
                <w:bottom w:val="none" w:sz="0" w:space="0" w:color="auto"/>
                <w:right w:val="none" w:sz="0" w:space="0" w:color="auto"/>
              </w:divBdr>
              <w:divsChild>
                <w:div w:id="1088159829">
                  <w:marLeft w:val="0"/>
                  <w:marRight w:val="0"/>
                  <w:marTop w:val="0"/>
                  <w:marBottom w:val="0"/>
                  <w:divBdr>
                    <w:top w:val="none" w:sz="0" w:space="0" w:color="auto"/>
                    <w:left w:val="none" w:sz="0" w:space="0" w:color="auto"/>
                    <w:bottom w:val="none" w:sz="0" w:space="0" w:color="auto"/>
                    <w:right w:val="none" w:sz="0" w:space="0" w:color="auto"/>
                  </w:divBdr>
                </w:div>
                <w:div w:id="864103278">
                  <w:marLeft w:val="0"/>
                  <w:marRight w:val="0"/>
                  <w:marTop w:val="0"/>
                  <w:marBottom w:val="0"/>
                  <w:divBdr>
                    <w:top w:val="none" w:sz="0" w:space="0" w:color="auto"/>
                    <w:left w:val="none" w:sz="0" w:space="0" w:color="auto"/>
                    <w:bottom w:val="none" w:sz="0" w:space="0" w:color="auto"/>
                    <w:right w:val="none" w:sz="0" w:space="0" w:color="auto"/>
                  </w:divBdr>
                </w:div>
                <w:div w:id="685062363">
                  <w:marLeft w:val="0"/>
                  <w:marRight w:val="0"/>
                  <w:marTop w:val="0"/>
                  <w:marBottom w:val="0"/>
                  <w:divBdr>
                    <w:top w:val="none" w:sz="0" w:space="0" w:color="auto"/>
                    <w:left w:val="none" w:sz="0" w:space="0" w:color="auto"/>
                    <w:bottom w:val="none" w:sz="0" w:space="0" w:color="auto"/>
                    <w:right w:val="none" w:sz="0" w:space="0" w:color="auto"/>
                  </w:divBdr>
                </w:div>
                <w:div w:id="80504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9806">
          <w:marLeft w:val="0"/>
          <w:marRight w:val="0"/>
          <w:marTop w:val="0"/>
          <w:marBottom w:val="0"/>
          <w:divBdr>
            <w:top w:val="none" w:sz="0" w:space="0" w:color="auto"/>
            <w:left w:val="none" w:sz="0" w:space="0" w:color="auto"/>
            <w:bottom w:val="none" w:sz="0" w:space="0" w:color="auto"/>
            <w:right w:val="none" w:sz="0" w:space="0" w:color="auto"/>
          </w:divBdr>
          <w:divsChild>
            <w:div w:id="430246378">
              <w:marLeft w:val="0"/>
              <w:marRight w:val="0"/>
              <w:marTop w:val="0"/>
              <w:marBottom w:val="0"/>
              <w:divBdr>
                <w:top w:val="none" w:sz="0" w:space="0" w:color="auto"/>
                <w:left w:val="none" w:sz="0" w:space="0" w:color="auto"/>
                <w:bottom w:val="none" w:sz="0" w:space="0" w:color="auto"/>
                <w:right w:val="none" w:sz="0" w:space="0" w:color="auto"/>
              </w:divBdr>
              <w:divsChild>
                <w:div w:id="2005889453">
                  <w:marLeft w:val="0"/>
                  <w:marRight w:val="0"/>
                  <w:marTop w:val="0"/>
                  <w:marBottom w:val="0"/>
                  <w:divBdr>
                    <w:top w:val="none" w:sz="0" w:space="0" w:color="auto"/>
                    <w:left w:val="none" w:sz="0" w:space="0" w:color="auto"/>
                    <w:bottom w:val="none" w:sz="0" w:space="0" w:color="auto"/>
                    <w:right w:val="none" w:sz="0" w:space="0" w:color="auto"/>
                  </w:divBdr>
                </w:div>
                <w:div w:id="3899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GADGET</dc:creator>
  <cp:keywords/>
  <dc:description/>
  <cp:lastModifiedBy>LAPTOP GADGET</cp:lastModifiedBy>
  <cp:revision>4</cp:revision>
  <dcterms:created xsi:type="dcterms:W3CDTF">2026-06-08T06:35:00Z</dcterms:created>
  <dcterms:modified xsi:type="dcterms:W3CDTF">2026-06-08T08:57:00Z</dcterms:modified>
</cp:coreProperties>
</file>