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22"/>
          <w:szCs w:val="22"/>
        </w:rPr>
      </w:pPr>
      <w:bookmarkStart w:colFirst="0" w:colLast="0" w:name="_7xayks9x7d03" w:id="0"/>
      <w:bookmarkEnd w:id="0"/>
      <w:r w:rsidDel="00000000" w:rsidR="00000000" w:rsidRPr="00000000">
        <w:rPr>
          <w:b w:val="1"/>
          <w:color w:val="1b1c1d"/>
          <w:sz w:val="22"/>
          <w:szCs w:val="22"/>
          <w:rtl w:val="0"/>
        </w:rPr>
        <w:t xml:space="preserve">Homework Assignment: Reflection and Peer Evaluation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Objective: To critically reflect on your contributions and learning, and to provide constructive feedback to a peer.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Part 1: Individual Reflection (To be submitted for peer review)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Prepare a concise written summary (1 page) of your work this week within your assigned role and domain. This summary should highlight: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Specific instances where you encountered challenges and how you addressed them.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Moments where you experienced significant learning or developed new skills.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A specific accomplishment or contribution you are particularly proud of.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Part 2: Peer Evaluation (To be completed in pairs)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You will be paired with another student to review their written summary. Using the rubric below, provide a score for their overall effort and quality as demonstrated in their submission. Your feedback should be thoughtful and justify your assigned score.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Peer Evaluation Rubric:</w:t>
      </w: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8370"/>
        <w:tblGridChange w:id="0">
          <w:tblGrid>
            <w:gridCol w:w="960"/>
            <w:gridCol w:w="8370"/>
          </w:tblGrid>
        </w:tblGridChange>
      </w:tblGrid>
      <w:tr>
        <w:trPr>
          <w:cantSplit w:val="0"/>
          <w:trHeight w:val="680.9252929687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80" w:lineRule="auto"/>
              <w:jc w:val="center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Score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480" w:lineRule="auto"/>
              <w:jc w:val="center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31.8505859375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80" w:lineRule="auto"/>
              <w:jc w:val="center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-1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80" w:lineRule="auto"/>
              <w:jc w:val="center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submission demonstrates insufficient effort or lacks in quality.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80" w:lineRule="auto"/>
              <w:jc w:val="center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0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80" w:lineRule="auto"/>
              <w:jc w:val="center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submission meets the expected level of effort and quality.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80" w:lineRule="auto"/>
              <w:jc w:val="center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+1</w:t>
            </w:r>
          </w:p>
        </w:tc>
        <w:tc>
          <w:tcPr>
            <w:tcBorders>
              <w:top w:color="1b1c1d" w:space="0" w:sz="5" w:val="single"/>
              <w:left w:color="1b1c1d" w:space="0" w:sz="5" w:val="single"/>
              <w:bottom w:color="1b1c1d" w:space="0" w:sz="5" w:val="single"/>
              <w:right w:color="1b1c1d" w:space="0" w:sz="5" w:val="single"/>
            </w:tcBorders>
            <w:shd w:fill="f8fafd" w:val="clear"/>
            <w:tcMar>
              <w:top w:w="120.0" w:type="dxa"/>
              <w:left w:w="180.0" w:type="dxa"/>
              <w:bottom w:w="12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80" w:lineRule="auto"/>
              <w:jc w:val="center"/>
              <w:rPr>
                <w:color w:val="1b1c1d"/>
              </w:rPr>
            </w:pPr>
            <w:r w:rsidDel="00000000" w:rsidR="00000000" w:rsidRPr="00000000">
              <w:rPr>
                <w:color w:val="1b1c1d"/>
                <w:rtl w:val="0"/>
              </w:rPr>
              <w:t xml:space="preserve">The submission demonstrates exceptional effort and high quality.</w:t>
            </w:r>
          </w:p>
        </w:tc>
      </w:tr>
    </w:tbl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Grading Guidelines for Peer Evaluation: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As a grader, ensure that you assign at least one score of "-1" and aim to assign at least one score of "+1" across the various aspects of your peer's submission (effort and quality). This encourages nuanced evaluation.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Provide specific and constructive feedback to your partner explaining the rationale behind each score.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Part 3: Group Discussion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During the session, we will reconvene as a large group. Each student will be asked to share one specific experience from their week where they: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Experienced significant learning within their assigned domain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Achieved a meaningful outcome they are proud of.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  <w:rPr>
          <w:color w:val="1b1c1d"/>
          <w:sz w:val="22"/>
          <w:szCs w:val="22"/>
        </w:rPr>
      </w:pPr>
      <w:r w:rsidDel="00000000" w:rsidR="00000000" w:rsidRPr="00000000">
        <w:rPr>
          <w:color w:val="1b1c1d"/>
          <w:rtl w:val="0"/>
        </w:rPr>
        <w:t xml:space="preserve">Share crucial prompts that delivered meaningful outcomes.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color w:val="1b1c1d"/>
          <w:rtl w:val="0"/>
        </w:rPr>
        <w:t xml:space="preserve">This assignment encourages both individual reflection on your learning and contributions, as well as collaborative feedback to enhance understanding and performance.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/>
      </w:pPr>
      <w:r w:rsidDel="00000000" w:rsidR="00000000" w:rsidRPr="00000000">
        <w:rPr>
          <w:color w:val="1b1c1d"/>
          <w:rtl w:val="0"/>
        </w:rPr>
        <w:t xml:space="preserve">Grader:  </w:t>
        <w:tab/>
        <w:tab/>
        <w:tab/>
        <w:tab/>
        <w:tab/>
        <w:tab/>
        <w:tab/>
        <w:t xml:space="preserve">Gradee:</w:t>
      </w:r>
      <w:r w:rsidDel="00000000" w:rsidR="00000000" w:rsidRPr="00000000">
        <w:rPr>
          <w:rtl w:val="0"/>
        </w:rPr>
      </w:r>
    </w:p>
    <w:tbl>
      <w:tblPr>
        <w:tblStyle w:val="Table2"/>
        <w:tblW w:w="117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2685"/>
        <w:gridCol w:w="1110"/>
        <w:gridCol w:w="1125"/>
        <w:gridCol w:w="4935"/>
        <w:tblGridChange w:id="0">
          <w:tblGrid>
            <w:gridCol w:w="1890"/>
            <w:gridCol w:w="2685"/>
            <w:gridCol w:w="1110"/>
            <w:gridCol w:w="112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Leader/ Follower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Score (-1,0,1)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rHeight w:val="135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Product Manager (PM): defines objectives, timelines, priorities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Stakeholder Liaison: connects business/subject matter experts with technical 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.75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Infrastructure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 Engineer: builds and maintains pipelines, ETL processes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Acquisition and Governance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 Acquisition Specialist: sources external datasets, APIs, web scraping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 Steward / Governance Officer: ensures data quality, compliance (GDPR, HIPAA)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Science Core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 Scientist (Modeler): builds models, experiments, hypothesis testing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.754394531251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Applied Statistician: advanced statistical testing, uncertainty quantification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Machine Learning Engineer: productionizes models, feature engineering, model pipelines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Runtime / Performance Analysis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Engineer: monitors computational cost, runtime optimization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Cost Analyst: tracks cloud usage, cost per prediction, server scaling economics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 /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UI/UX Designer: user interface, experience research, prototyping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Front-End Engineer: builds dashboard interfaces (Gradio, Streamlit, Anthropic stuff)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Visualization Expert: designs dashboards, data storytelling, custom visualizations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Cybersecurity and Risk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Security Engineer: audits pipelines and deployments for vulnerabilities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Compliance Officer: ensures legal compliance, audit trails, traceability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Risk Analyst: assesses model risks (e.g., bias, fairness, stability)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Monitoring and Operations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MLOps Engineer: handles model drift, performance monitoring, retraining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Specialized Roles Depending on the Project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Ethics and Bias Auditor: fairness, transparency, DEI concerns in models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Explainability Engineer: builds tools like SHAP, LIME for model interpretability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Synthetic Data Generator: creates synthetic data for rare events, privacy preservation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Annotation Manager: coordinates human labeling if supervised data is needed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0f4f9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