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E75B6"/>
          <w:sz w:val="24"/>
        </w:rPr>
        <w:t>REFERENCE ARCHITECTURE</w:t>
      </w:r>
    </w:p>
    <w:p>
      <w:r>
        <w:rPr>
          <w:b/>
          <w:color w:val="1F4E79"/>
          <w:sz w:val="56"/>
        </w:rPr>
        <w:t>Self-Hosted Enterprise Agentic Runtime Environment</w:t>
      </w:r>
    </w:p>
    <w:p>
      <w:r>
        <w:rPr>
          <w:color w:val="595959"/>
          <w:sz w:val="26"/>
        </w:rPr>
        <w:t>Technical architecture for AI assistant agents that plan, call tools, run code, browse, remember, run routines, and work with company documents and databases, running entirely on company infrastructure with company-hosted open-weight models</w:t>
      </w:r>
    </w:p>
    <w:tbl>
      <w:tblPr>
        <w:tblW w:type="auto" w:w="0"/>
        <w:tblLook w:firstColumn="1" w:firstRow="1" w:lastColumn="0" w:lastRow="0" w:noHBand="0" w:noVBand="1" w:val="04A0"/>
      </w:tblPr>
      <w:tblGrid>
        <w:gridCol w:w="9314"/>
      </w:tblGrid>
      <w:tr>
        <w:trPr>
          <w:trHeight w:val="80"/>
        </w:trPr>
        <w:tc>
          <w:tcPr>
            <w:tcW w:type="dxa" w:w="9314"/>
            <w:shd w:val="clear" w:color="auto" w:fill="1F4E79"/>
          </w:tcPr>
          <w:p>
            <w:pPr>
              <w:spacing w:after="0"/>
            </w:pPr>
          </w:p>
        </w:tc>
      </w:tr>
    </w:tbl>
    <w:p/>
    <w:tbl>
      <w:tblPr>
        <w:tblLook w:firstColumn="1" w:firstRow="1" w:lastColumn="0" w:lastRow="0" w:noHBand="0" w:noVBand="1" w:val="04A0"/>
        <w:tblCellMar>
          <w:top w:w="50" w:type="dxa"/>
          <w:left w:w="60" w:type="dxa"/>
          <w:bottom w:w="50" w:type="dxa"/>
          <w:right w:w="60" w:type="dxa"/>
        </w:tblCellMar>
        <w:tblW w:w="9215" w:type="dxa"/>
        <w:tblLayout w:type="fixed"/>
      </w:tblPr>
      <w:tblGrid>
        <w:gridCol w:w="2015"/>
        <w:gridCol w:w="7200"/>
      </w:tblGrid>
      <w:tr>
        <w:tc>
          <w:tcPr>
            <w:tcW w:type="dxa" w:w="2015"/>
          </w:tcPr>
          <w:p>
            <w:r/>
            <w:r>
              <w:rPr>
                <w:b/>
                <w:color w:val="1F4E79"/>
              </w:rPr>
              <w:t>Author</w:t>
            </w:r>
          </w:p>
        </w:tc>
        <w:tc>
          <w:tcPr>
            <w:tcW w:type="dxa" w:w="7200"/>
          </w:tcPr>
          <w:p>
            <w:r/>
            <w:r>
              <w:t>Balakrishna Vundavalli</w:t>
            </w:r>
          </w:p>
        </w:tc>
      </w:tr>
      <w:tr>
        <w:tc>
          <w:tcPr>
            <w:tcW w:type="dxa" w:w="2015"/>
          </w:tcPr>
          <w:p>
            <w:r/>
            <w:r>
              <w:rPr>
                <w:b/>
                <w:color w:val="1F4E79"/>
              </w:rPr>
              <w:t>Date</w:t>
            </w:r>
          </w:p>
        </w:tc>
        <w:tc>
          <w:tcPr>
            <w:tcW w:type="dxa" w:w="7200"/>
          </w:tcPr>
          <w:p>
            <w:r/>
            <w:r>
              <w:t>19 October 2026</w:t>
            </w:r>
          </w:p>
        </w:tc>
      </w:tr>
      <w:tr>
        <w:tc>
          <w:tcPr>
            <w:tcW w:type="dxa" w:w="2015"/>
          </w:tcPr>
          <w:p>
            <w:r/>
            <w:r>
              <w:rPr>
                <w:b/>
                <w:color w:val="1F4E79"/>
              </w:rPr>
              <w:t>Version</w:t>
            </w:r>
          </w:p>
        </w:tc>
        <w:tc>
          <w:tcPr>
            <w:tcW w:type="dxa" w:w="7200"/>
          </w:tcPr>
          <w:p>
            <w:r/>
            <w:r>
              <w:t>1.0 (draft for review)</w:t>
            </w:r>
          </w:p>
        </w:tc>
      </w:tr>
      <w:tr>
        <w:tc>
          <w:tcPr>
            <w:tcW w:type="dxa" w:w="2015"/>
          </w:tcPr>
          <w:p>
            <w:r/>
            <w:r>
              <w:rPr>
                <w:b/>
                <w:color w:val="1F4E79"/>
              </w:rPr>
              <w:t>Audience</w:t>
            </w:r>
          </w:p>
        </w:tc>
        <w:tc>
          <w:tcPr>
            <w:tcW w:type="dxa" w:w="7200"/>
          </w:tcPr>
          <w:p>
            <w:r/>
            <w:r>
              <w:t>Engineering leadership; platform, infrastructure, security and ML engineering teams</w:t>
            </w:r>
          </w:p>
        </w:tc>
      </w:tr>
      <w:tr>
        <w:tc>
          <w:tcPr>
            <w:tcW w:type="dxa" w:w="2015"/>
          </w:tcPr>
          <w:p>
            <w:r/>
            <w:r>
              <w:rPr>
                <w:b/>
                <w:color w:val="1F4E79"/>
              </w:rPr>
              <w:t>Status</w:t>
            </w:r>
          </w:p>
        </w:tc>
        <w:tc>
          <w:tcPr>
            <w:tcW w:type="dxa" w:w="7200"/>
          </w:tcPr>
          <w:p>
            <w:r/>
            <w:r>
              <w:t>For discussion. Sizing and cost figures are indicative estimates, not quotations</w:t>
            </w:r>
          </w:p>
        </w:tc>
      </w:tr>
      <w:tr>
        <w:tc>
          <w:tcPr>
            <w:tcW w:type="dxa" w:w="2015"/>
          </w:tcPr>
          <w:p>
            <w:r/>
            <w:r>
              <w:rPr>
                <w:b/>
                <w:color w:val="1F4E79"/>
              </w:rPr>
              <w:t>Classification</w:t>
            </w:r>
          </w:p>
        </w:tc>
        <w:tc>
          <w:tcPr>
            <w:tcW w:type="dxa" w:w="7200"/>
          </w:tcPr>
          <w:p>
            <w:r/>
            <w:r>
              <w:t>Internal</w:t>
            </w:r>
          </w:p>
        </w:tc>
      </w:tr>
    </w:tbl>
    <w:p>
      <w:r>
        <w:br w:type="page"/>
      </w:r>
    </w:p>
    <w:p>
      <w:r>
        <w:rPr>
          <w:b/>
          <w:color w:val="1F4E79"/>
          <w:sz w:val="28"/>
        </w:rPr>
        <w:t>Document control</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164"/>
        <w:gridCol w:w="1629"/>
        <w:gridCol w:w="1862"/>
        <w:gridCol w:w="4656"/>
      </w:tblGrid>
      <w:tr>
        <w:trPr>
          <w:tblHeader w:val="true"/>
        </w:trPr>
        <w:tc>
          <w:tcPr>
            <w:tcW w:type="dxa" w:w="1164"/>
            <w:shd w:val="clear" w:color="auto" w:fill="1F4E79"/>
          </w:tcPr>
          <w:p>
            <w:r/>
            <w:r>
              <w:rPr>
                <w:b/>
                <w:color w:val="FFFFFF"/>
                <w:sz w:val="18"/>
              </w:rPr>
              <w:t>Version</w:t>
            </w:r>
          </w:p>
        </w:tc>
        <w:tc>
          <w:tcPr>
            <w:tcW w:type="dxa" w:w="1629"/>
            <w:shd w:val="clear" w:color="auto" w:fill="1F4E79"/>
          </w:tcPr>
          <w:p>
            <w:r/>
            <w:r>
              <w:rPr>
                <w:b/>
                <w:color w:val="FFFFFF"/>
                <w:sz w:val="18"/>
              </w:rPr>
              <w:t>Date</w:t>
            </w:r>
          </w:p>
        </w:tc>
        <w:tc>
          <w:tcPr>
            <w:tcW w:type="dxa" w:w="1862"/>
            <w:shd w:val="clear" w:color="auto" w:fill="1F4E79"/>
          </w:tcPr>
          <w:p>
            <w:r/>
            <w:r>
              <w:rPr>
                <w:b/>
                <w:color w:val="FFFFFF"/>
                <w:sz w:val="18"/>
              </w:rPr>
              <w:t>Author</w:t>
            </w:r>
          </w:p>
        </w:tc>
        <w:tc>
          <w:tcPr>
            <w:tcW w:type="dxa" w:w="4656"/>
            <w:shd w:val="clear" w:color="auto" w:fill="1F4E79"/>
          </w:tcPr>
          <w:p>
            <w:r/>
            <w:r>
              <w:rPr>
                <w:b/>
                <w:color w:val="FFFFFF"/>
                <w:sz w:val="18"/>
              </w:rPr>
              <w:t>Change</w:t>
            </w:r>
          </w:p>
        </w:tc>
      </w:tr>
      <w:tr>
        <w:trPr>
          <w:cantSplit w:val="true"/>
        </w:trPr>
        <w:tc>
          <w:tcPr>
            <w:tcW w:type="dxa" w:w="1164"/>
          </w:tcPr>
          <w:p>
            <w:pPr>
              <w:spacing w:after="20" w:line="240" w:lineRule="auto"/>
            </w:pPr>
            <w:r>
              <w:rPr>
                <w:sz w:val="18"/>
              </w:rPr>
            </w:r>
            <w:r>
              <w:rPr>
                <w:sz w:val="18"/>
              </w:rPr>
              <w:t>0.9</w:t>
            </w:r>
          </w:p>
        </w:tc>
        <w:tc>
          <w:tcPr>
            <w:tcW w:type="dxa" w:w="1629"/>
          </w:tcPr>
          <w:p>
            <w:pPr>
              <w:spacing w:after="20" w:line="240" w:lineRule="auto"/>
            </w:pPr>
            <w:r>
              <w:rPr>
                <w:sz w:val="18"/>
              </w:rPr>
            </w:r>
            <w:r>
              <w:rPr>
                <w:sz w:val="18"/>
              </w:rPr>
              <w:t>12 Oct 2026</w:t>
            </w:r>
          </w:p>
        </w:tc>
        <w:tc>
          <w:tcPr>
            <w:tcW w:type="dxa" w:w="1862"/>
          </w:tcPr>
          <w:p>
            <w:pPr>
              <w:spacing w:after="20" w:line="240" w:lineRule="auto"/>
            </w:pPr>
            <w:r>
              <w:rPr>
                <w:sz w:val="18"/>
              </w:rPr>
            </w:r>
            <w:r>
              <w:rPr>
                <w:sz w:val="18"/>
              </w:rPr>
              <w:t>B. Vundavalli</w:t>
            </w:r>
          </w:p>
        </w:tc>
        <w:tc>
          <w:tcPr>
            <w:tcW w:type="dxa" w:w="4656"/>
          </w:tcPr>
          <w:p>
            <w:pPr>
              <w:spacing w:after="20" w:line="240" w:lineRule="auto"/>
            </w:pPr>
            <w:r>
              <w:rPr>
                <w:sz w:val="18"/>
              </w:rPr>
            </w:r>
            <w:r>
              <w:rPr>
                <w:sz w:val="18"/>
              </w:rPr>
              <w:t>Initial structure and component analysis</w:t>
            </w:r>
          </w:p>
        </w:tc>
      </w:tr>
      <w:tr>
        <w:trPr>
          <w:cantSplit w:val="true"/>
        </w:trPr>
        <w:tc>
          <w:tcPr>
            <w:tcW w:type="dxa" w:w="1164"/>
            <w:shd w:val="clear" w:color="auto" w:fill="F2F6FA"/>
          </w:tcPr>
          <w:p>
            <w:pPr>
              <w:spacing w:after="20" w:line="240" w:lineRule="auto"/>
            </w:pPr>
            <w:r>
              <w:rPr>
                <w:sz w:val="18"/>
              </w:rPr>
            </w:r>
            <w:r>
              <w:rPr>
                <w:sz w:val="18"/>
              </w:rPr>
              <w:t>1.0</w:t>
            </w:r>
          </w:p>
        </w:tc>
        <w:tc>
          <w:tcPr>
            <w:tcW w:type="dxa" w:w="1629"/>
            <w:shd w:val="clear" w:color="auto" w:fill="F2F6FA"/>
          </w:tcPr>
          <w:p>
            <w:pPr>
              <w:spacing w:after="20" w:line="240" w:lineRule="auto"/>
            </w:pPr>
            <w:r>
              <w:rPr>
                <w:sz w:val="18"/>
              </w:rPr>
            </w:r>
            <w:r>
              <w:rPr>
                <w:sz w:val="18"/>
              </w:rPr>
              <w:t>19 Oct 2026</w:t>
            </w:r>
          </w:p>
        </w:tc>
        <w:tc>
          <w:tcPr>
            <w:tcW w:type="dxa" w:w="1862"/>
            <w:shd w:val="clear" w:color="auto" w:fill="F2F6FA"/>
          </w:tcPr>
          <w:p>
            <w:pPr>
              <w:spacing w:after="20" w:line="240" w:lineRule="auto"/>
            </w:pPr>
            <w:r>
              <w:rPr>
                <w:sz w:val="18"/>
              </w:rPr>
            </w:r>
            <w:r>
              <w:rPr>
                <w:sz w:val="18"/>
              </w:rPr>
              <w:t>B. Vundavalli</w:t>
            </w:r>
          </w:p>
        </w:tc>
        <w:tc>
          <w:tcPr>
            <w:tcW w:type="dxa" w:w="4656"/>
            <w:shd w:val="clear" w:color="auto" w:fill="F2F6FA"/>
          </w:tcPr>
          <w:p>
            <w:pPr>
              <w:spacing w:after="20" w:line="240" w:lineRule="auto"/>
            </w:pPr>
            <w:r>
              <w:rPr>
                <w:sz w:val="18"/>
              </w:rPr>
            </w:r>
            <w:r>
              <w:rPr>
                <w:sz w:val="18"/>
              </w:rPr>
              <w:t>Full draft: flows, threat model, roadmap, sizing</w:t>
            </w:r>
          </w:p>
        </w:tc>
      </w:tr>
    </w:tbl>
    <w:p>
      <w:pPr>
        <w:spacing w:after="80"/>
      </w:pPr>
    </w:p>
    <w:p>
      <w:r>
        <w:rPr>
          <w:b/>
          <w:color w:val="1F4E79"/>
          <w:sz w:val="28"/>
        </w:rPr>
        <w:t>Conventions</w:t>
      </w:r>
    </w:p>
    <w:p>
      <w:pPr>
        <w:pStyle w:val="ListBullet"/>
      </w:pPr>
      <w:r>
        <w:rPr>
          <w:b/>
        </w:rPr>
        <w:t>MUST / SHOULD / MAY</w:t>
      </w:r>
      <w:r>
        <w:t xml:space="preserve"> are used in the RFC 2119 sense for architectural requirements.</w:t>
      </w:r>
    </w:p>
    <w:p>
      <w:pPr>
        <w:pStyle w:val="ListBullet"/>
      </w:pPr>
      <w:r>
        <w:rPr>
          <w:b/>
        </w:rPr>
        <w:t>Recommended</w:t>
      </w:r>
      <w:r>
        <w:t xml:space="preserve"> options are a starting default, not a mandate. Each component lists alternatives and trade-offs so teams can substitute existing company standards (for example an existing Kafka, Postgres or observability platform).</w:t>
      </w:r>
    </w:p>
    <w:p>
      <w:pPr>
        <w:pStyle w:val="ListBullet"/>
      </w:pPr>
      <w:r>
        <w:t>Open-source projects and open-weight models change quickly. Validate versions, licences and maturity at selection time. Model names are examples of families, not fixed picks.</w:t>
      </w:r>
    </w:p>
    <w:p>
      <w:pPr>
        <w:pStyle w:val="ListBullet"/>
      </w:pPr>
      <w:r>
        <w:t xml:space="preserve">All sizing and cost figures are </w:t>
      </w:r>
      <w:r>
        <w:rPr>
          <w:b/>
        </w:rPr>
        <w:t>rough, assumption-based estimates</w:t>
      </w:r>
      <w:r>
        <w:t xml:space="preserve"> intended for budgeting conversations, and must be validated with load tests on the company's own hardware.</w:t>
      </w:r>
    </w:p>
    <w:p>
      <w:r>
        <w:br w:type="page"/>
      </w:r>
    </w:p>
    <w:p>
      <w:r>
        <w:rPr>
          <w:b/>
          <w:color w:val="1F4E79"/>
          <w:sz w:val="36"/>
        </w:rPr>
        <w:t>Contents</w:t>
      </w:r>
    </w:p>
    <w:p>
      <w:pPr>
        <w:tabs>
          <w:tab w:pos="9314" w:val="right" w:leader="dot"/>
        </w:tabs>
        <w:spacing w:after="60" w:before="80"/>
        <w:ind w:left="0"/>
      </w:pPr>
      <w:r>
        <w:rPr>
          <w:b/>
          <w:sz w:val="21"/>
        </w:rPr>
        <w:t>1. Executive Summary</w:t>
      </w:r>
      <w:r>
        <w:rPr>
          <w:b/>
          <w:sz w:val="20"/>
        </w:rPr>
        <w:tab/>
        <w:t>5</w:t>
      </w:r>
    </w:p>
    <w:p>
      <w:pPr>
        <w:tabs>
          <w:tab w:pos="9314" w:val="right" w:leader="dot"/>
        </w:tabs>
        <w:spacing w:after="20" w:before="0"/>
        <w:ind w:left="432"/>
      </w:pPr>
      <w:r>
        <w:rPr>
          <w:b w:val="0"/>
          <w:sz w:val="20"/>
        </w:rPr>
        <w:t>1.1 Goals</w:t>
      </w:r>
      <w:r>
        <w:rPr>
          <w:b w:val="0"/>
          <w:sz w:val="20"/>
        </w:rPr>
        <w:tab/>
        <w:t>5</w:t>
      </w:r>
    </w:p>
    <w:p>
      <w:pPr>
        <w:tabs>
          <w:tab w:pos="9314" w:val="right" w:leader="dot"/>
        </w:tabs>
        <w:spacing w:after="20" w:before="0"/>
        <w:ind w:left="432"/>
      </w:pPr>
      <w:r>
        <w:rPr>
          <w:b w:val="0"/>
          <w:sz w:val="20"/>
        </w:rPr>
        <w:t>1.2 Non-goals</w:t>
      </w:r>
      <w:r>
        <w:rPr>
          <w:b w:val="0"/>
          <w:sz w:val="20"/>
        </w:rPr>
        <w:tab/>
        <w:t>6</w:t>
      </w:r>
    </w:p>
    <w:p>
      <w:pPr>
        <w:tabs>
          <w:tab w:pos="9314" w:val="right" w:leader="dot"/>
        </w:tabs>
        <w:spacing w:after="20" w:before="0"/>
        <w:ind w:left="432"/>
      </w:pPr>
      <w:r>
        <w:rPr>
          <w:b w:val="0"/>
          <w:sz w:val="20"/>
        </w:rPr>
        <w:t>1.3 Guiding principles</w:t>
      </w:r>
      <w:r>
        <w:rPr>
          <w:b w:val="0"/>
          <w:sz w:val="20"/>
        </w:rPr>
        <w:tab/>
        <w:t>6</w:t>
      </w:r>
    </w:p>
    <w:p>
      <w:pPr>
        <w:tabs>
          <w:tab w:pos="9314" w:val="right" w:leader="dot"/>
        </w:tabs>
        <w:spacing w:after="60" w:before="80"/>
        <w:ind w:left="0"/>
      </w:pPr>
      <w:r>
        <w:rPr>
          <w:b/>
          <w:sz w:val="21"/>
        </w:rPr>
        <w:t>2. Requirements</w:t>
      </w:r>
      <w:r>
        <w:rPr>
          <w:b/>
          <w:sz w:val="20"/>
        </w:rPr>
        <w:tab/>
        <w:t>7</w:t>
      </w:r>
    </w:p>
    <w:p>
      <w:pPr>
        <w:tabs>
          <w:tab w:pos="9314" w:val="right" w:leader="dot"/>
        </w:tabs>
        <w:spacing w:after="20" w:before="0"/>
        <w:ind w:left="432"/>
      </w:pPr>
      <w:r>
        <w:rPr>
          <w:b w:val="0"/>
          <w:sz w:val="20"/>
        </w:rPr>
        <w:t>2.1 Functional requirements</w:t>
      </w:r>
      <w:r>
        <w:rPr>
          <w:b w:val="0"/>
          <w:sz w:val="20"/>
        </w:rPr>
        <w:tab/>
        <w:t>7</w:t>
      </w:r>
    </w:p>
    <w:p>
      <w:pPr>
        <w:tabs>
          <w:tab w:pos="9314" w:val="right" w:leader="dot"/>
        </w:tabs>
        <w:spacing w:after="20" w:before="0"/>
        <w:ind w:left="432"/>
      </w:pPr>
      <w:r>
        <w:rPr>
          <w:b w:val="0"/>
          <w:sz w:val="20"/>
        </w:rPr>
        <w:t>2.2 Non-functional requirements</w:t>
      </w:r>
      <w:r>
        <w:rPr>
          <w:b w:val="0"/>
          <w:sz w:val="20"/>
        </w:rPr>
        <w:tab/>
        <w:t>7</w:t>
      </w:r>
    </w:p>
    <w:p>
      <w:pPr>
        <w:tabs>
          <w:tab w:pos="9314" w:val="right" w:leader="dot"/>
        </w:tabs>
        <w:spacing w:after="60" w:before="80"/>
        <w:ind w:left="0"/>
      </w:pPr>
      <w:r>
        <w:rPr>
          <w:b/>
          <w:sz w:val="21"/>
        </w:rPr>
        <w:t>3. High-Level Architecture</w:t>
      </w:r>
      <w:r>
        <w:rPr>
          <w:b/>
          <w:sz w:val="20"/>
        </w:rPr>
        <w:tab/>
        <w:t>9</w:t>
      </w:r>
    </w:p>
    <w:p>
      <w:pPr>
        <w:tabs>
          <w:tab w:pos="9314" w:val="right" w:leader="dot"/>
        </w:tabs>
        <w:spacing w:after="20" w:before="0"/>
        <w:ind w:left="432"/>
      </w:pPr>
      <w:r>
        <w:rPr>
          <w:b w:val="0"/>
          <w:sz w:val="20"/>
        </w:rPr>
        <w:t>3.1 Layer responsibilities</w:t>
      </w:r>
      <w:r>
        <w:rPr>
          <w:b w:val="0"/>
          <w:sz w:val="20"/>
        </w:rPr>
        <w:tab/>
        <w:t>10</w:t>
      </w:r>
    </w:p>
    <w:p>
      <w:pPr>
        <w:tabs>
          <w:tab w:pos="9314" w:val="right" w:leader="dot"/>
        </w:tabs>
        <w:spacing w:after="20" w:before="0"/>
        <w:ind w:left="432"/>
      </w:pPr>
      <w:r>
        <w:rPr>
          <w:b w:val="0"/>
          <w:sz w:val="20"/>
        </w:rPr>
        <w:t>3.2 Key architectural decisions</w:t>
      </w:r>
      <w:r>
        <w:rPr>
          <w:b w:val="0"/>
          <w:sz w:val="20"/>
        </w:rPr>
        <w:tab/>
        <w:t>10</w:t>
      </w:r>
    </w:p>
    <w:p>
      <w:pPr>
        <w:tabs>
          <w:tab w:pos="9314" w:val="right" w:leader="dot"/>
        </w:tabs>
        <w:spacing w:after="20" w:before="0"/>
        <w:ind w:left="432"/>
      </w:pPr>
      <w:r>
        <w:rPr>
          <w:b w:val="0"/>
          <w:sz w:val="20"/>
        </w:rPr>
        <w:t>3.3 Request path in brief</w:t>
      </w:r>
      <w:r>
        <w:rPr>
          <w:b w:val="0"/>
          <w:sz w:val="20"/>
        </w:rPr>
        <w:tab/>
        <w:t>10</w:t>
      </w:r>
    </w:p>
    <w:p>
      <w:pPr>
        <w:tabs>
          <w:tab w:pos="9314" w:val="right" w:leader="dot"/>
        </w:tabs>
        <w:spacing w:after="60" w:before="80"/>
        <w:ind w:left="0"/>
      </w:pPr>
      <w:r>
        <w:rPr>
          <w:b/>
          <w:sz w:val="21"/>
        </w:rPr>
        <w:t>4. Component Deep Dives</w:t>
      </w:r>
      <w:r>
        <w:rPr>
          <w:b/>
          <w:sz w:val="20"/>
        </w:rPr>
        <w:tab/>
        <w:t>12</w:t>
      </w:r>
    </w:p>
    <w:p>
      <w:pPr>
        <w:tabs>
          <w:tab w:pos="9314" w:val="right" w:leader="dot"/>
        </w:tabs>
        <w:spacing w:after="20" w:before="0"/>
        <w:ind w:left="432"/>
      </w:pPr>
      <w:r>
        <w:rPr>
          <w:b w:val="0"/>
          <w:sz w:val="20"/>
        </w:rPr>
        <w:t>4.1 Model serving layer</w:t>
      </w:r>
      <w:r>
        <w:rPr>
          <w:b w:val="0"/>
          <w:sz w:val="20"/>
        </w:rPr>
        <w:tab/>
        <w:t>12</w:t>
      </w:r>
    </w:p>
    <w:p>
      <w:pPr>
        <w:tabs>
          <w:tab w:pos="9314" w:val="right" w:leader="dot"/>
        </w:tabs>
        <w:spacing w:after="20" w:before="0"/>
        <w:ind w:left="432"/>
      </w:pPr>
      <w:r>
        <w:rPr>
          <w:b w:val="0"/>
          <w:sz w:val="20"/>
        </w:rPr>
        <w:t>4.2 Agent runtime and orchestrator</w:t>
      </w:r>
      <w:r>
        <w:rPr>
          <w:b w:val="0"/>
          <w:sz w:val="20"/>
        </w:rPr>
        <w:tab/>
        <w:t>15</w:t>
      </w:r>
    </w:p>
    <w:p>
      <w:pPr>
        <w:tabs>
          <w:tab w:pos="9314" w:val="right" w:leader="dot"/>
        </w:tabs>
        <w:spacing w:after="20" w:before="0"/>
        <w:ind w:left="432"/>
      </w:pPr>
      <w:r>
        <w:rPr>
          <w:b w:val="0"/>
          <w:sz w:val="20"/>
        </w:rPr>
        <w:t>4.3 Tool layer using the Model Context Protocol (MCP)</w:t>
      </w:r>
      <w:r>
        <w:rPr>
          <w:b w:val="0"/>
          <w:sz w:val="20"/>
        </w:rPr>
        <w:tab/>
        <w:t>17</w:t>
      </w:r>
    </w:p>
    <w:p>
      <w:pPr>
        <w:tabs>
          <w:tab w:pos="9314" w:val="right" w:leader="dot"/>
        </w:tabs>
        <w:spacing w:after="20" w:before="0"/>
        <w:ind w:left="432"/>
      </w:pPr>
      <w:r>
        <w:rPr>
          <w:b w:val="0"/>
          <w:sz w:val="20"/>
        </w:rPr>
        <w:t>4.4 Knowledge and retrieval-augmented generation (RAG)</w:t>
      </w:r>
      <w:r>
        <w:rPr>
          <w:b w:val="0"/>
          <w:sz w:val="20"/>
        </w:rPr>
        <w:tab/>
        <w:t>19</w:t>
      </w:r>
    </w:p>
    <w:p>
      <w:pPr>
        <w:tabs>
          <w:tab w:pos="9314" w:val="right" w:leader="dot"/>
        </w:tabs>
        <w:spacing w:after="20" w:before="0"/>
        <w:ind w:left="432"/>
      </w:pPr>
      <w:r>
        <w:rPr>
          <w:b w:val="0"/>
          <w:sz w:val="20"/>
        </w:rPr>
        <w:t>4.5 Text-to-SQL and database access safety</w:t>
      </w:r>
      <w:r>
        <w:rPr>
          <w:b w:val="0"/>
          <w:sz w:val="20"/>
        </w:rPr>
        <w:tab/>
        <w:t>20</w:t>
      </w:r>
    </w:p>
    <w:p>
      <w:pPr>
        <w:tabs>
          <w:tab w:pos="9314" w:val="right" w:leader="dot"/>
        </w:tabs>
        <w:spacing w:after="20" w:before="0"/>
        <w:ind w:left="432"/>
      </w:pPr>
      <w:r>
        <w:rPr>
          <w:b w:val="0"/>
          <w:sz w:val="20"/>
        </w:rPr>
        <w:t>4.6 Sandboxed execution environments</w:t>
      </w:r>
      <w:r>
        <w:rPr>
          <w:b w:val="0"/>
          <w:sz w:val="20"/>
        </w:rPr>
        <w:tab/>
        <w:t>21</w:t>
      </w:r>
    </w:p>
    <w:p>
      <w:pPr>
        <w:tabs>
          <w:tab w:pos="9314" w:val="right" w:leader="dot"/>
        </w:tabs>
        <w:spacing w:after="20" w:before="0"/>
        <w:ind w:left="432"/>
      </w:pPr>
      <w:r>
        <w:rPr>
          <w:b w:val="0"/>
          <w:sz w:val="20"/>
        </w:rPr>
        <w:t>4.7 Memory</w:t>
      </w:r>
      <w:r>
        <w:rPr>
          <w:b w:val="0"/>
          <w:sz w:val="20"/>
        </w:rPr>
        <w:tab/>
        <w:t>22</w:t>
      </w:r>
    </w:p>
    <w:p>
      <w:pPr>
        <w:tabs>
          <w:tab w:pos="9314" w:val="right" w:leader="dot"/>
        </w:tabs>
        <w:spacing w:after="20" w:before="0"/>
        <w:ind w:left="432"/>
      </w:pPr>
      <w:r>
        <w:rPr>
          <w:b w:val="0"/>
          <w:sz w:val="20"/>
        </w:rPr>
        <w:t>4.8 Routines and scheduler</w:t>
      </w:r>
      <w:r>
        <w:rPr>
          <w:b w:val="0"/>
          <w:sz w:val="20"/>
        </w:rPr>
        <w:tab/>
        <w:t>23</w:t>
      </w:r>
    </w:p>
    <w:p>
      <w:pPr>
        <w:tabs>
          <w:tab w:pos="9314" w:val="right" w:leader="dot"/>
        </w:tabs>
        <w:spacing w:after="20" w:before="0"/>
        <w:ind w:left="432"/>
      </w:pPr>
      <w:r>
        <w:rPr>
          <w:b w:val="0"/>
          <w:sz w:val="20"/>
        </w:rPr>
        <w:t>4.9 Front ends and channels</w:t>
      </w:r>
      <w:r>
        <w:rPr>
          <w:b w:val="0"/>
          <w:sz w:val="20"/>
        </w:rPr>
        <w:tab/>
        <w:t>23</w:t>
      </w:r>
    </w:p>
    <w:p>
      <w:pPr>
        <w:tabs>
          <w:tab w:pos="9314" w:val="right" w:leader="dot"/>
        </w:tabs>
        <w:spacing w:after="20" w:before="0"/>
        <w:ind w:left="432"/>
      </w:pPr>
      <w:r>
        <w:rPr>
          <w:b w:val="0"/>
          <w:sz w:val="20"/>
        </w:rPr>
        <w:t>4.10 Identity, authorisation and governance</w:t>
      </w:r>
      <w:r>
        <w:rPr>
          <w:b w:val="0"/>
          <w:sz w:val="20"/>
        </w:rPr>
        <w:tab/>
        <w:t>24</w:t>
      </w:r>
    </w:p>
    <w:p>
      <w:pPr>
        <w:tabs>
          <w:tab w:pos="9314" w:val="right" w:leader="dot"/>
        </w:tabs>
        <w:spacing w:after="20" w:before="0"/>
        <w:ind w:left="432"/>
      </w:pPr>
      <w:r>
        <w:rPr>
          <w:b w:val="0"/>
          <w:sz w:val="20"/>
        </w:rPr>
        <w:t>4.11 Observability and evaluation</w:t>
      </w:r>
      <w:r>
        <w:rPr>
          <w:b w:val="0"/>
          <w:sz w:val="20"/>
        </w:rPr>
        <w:tab/>
        <w:t>25</w:t>
      </w:r>
    </w:p>
    <w:p>
      <w:pPr>
        <w:tabs>
          <w:tab w:pos="9314" w:val="right" w:leader="dot"/>
        </w:tabs>
        <w:spacing w:after="60" w:before="80"/>
        <w:ind w:left="0"/>
      </w:pPr>
      <w:r>
        <w:rPr>
          <w:b/>
          <w:sz w:val="21"/>
        </w:rPr>
        <w:t>5. Key Sequence Flows</w:t>
      </w:r>
      <w:r>
        <w:rPr>
          <w:b/>
          <w:sz w:val="20"/>
        </w:rPr>
        <w:tab/>
        <w:t>27</w:t>
      </w:r>
    </w:p>
    <w:p>
      <w:pPr>
        <w:tabs>
          <w:tab w:pos="9314" w:val="right" w:leader="dot"/>
        </w:tabs>
        <w:spacing w:after="20" w:before="0"/>
        <w:ind w:left="432"/>
      </w:pPr>
      <w:r>
        <w:rPr>
          <w:b w:val="0"/>
          <w:sz w:val="20"/>
        </w:rPr>
        <w:t>5.1 User chat turn with tool calls</w:t>
      </w:r>
      <w:r>
        <w:rPr>
          <w:b w:val="0"/>
          <w:sz w:val="20"/>
        </w:rPr>
        <w:tab/>
        <w:t>27</w:t>
      </w:r>
    </w:p>
    <w:p>
      <w:pPr>
        <w:tabs>
          <w:tab w:pos="9314" w:val="right" w:leader="dot"/>
        </w:tabs>
        <w:spacing w:after="20" w:before="0"/>
        <w:ind w:left="432"/>
      </w:pPr>
      <w:r>
        <w:rPr>
          <w:b w:val="0"/>
          <w:sz w:val="20"/>
        </w:rPr>
        <w:t>5.2 RAG query with ACL filtering</w:t>
      </w:r>
      <w:r>
        <w:rPr>
          <w:b w:val="0"/>
          <w:sz w:val="20"/>
        </w:rPr>
        <w:tab/>
        <w:t>28</w:t>
      </w:r>
    </w:p>
    <w:p>
      <w:pPr>
        <w:tabs>
          <w:tab w:pos="9314" w:val="right" w:leader="dot"/>
        </w:tabs>
        <w:spacing w:after="20" w:before="0"/>
        <w:ind w:left="432"/>
      </w:pPr>
      <w:r>
        <w:rPr>
          <w:b w:val="0"/>
          <w:sz w:val="20"/>
        </w:rPr>
        <w:t>5.3 Scheduled routine run</w:t>
      </w:r>
      <w:r>
        <w:rPr>
          <w:b w:val="0"/>
          <w:sz w:val="20"/>
        </w:rPr>
        <w:tab/>
        <w:t>29</w:t>
      </w:r>
    </w:p>
    <w:p>
      <w:pPr>
        <w:tabs>
          <w:tab w:pos="9314" w:val="right" w:leader="dot"/>
        </w:tabs>
        <w:spacing w:after="20" w:before="0"/>
        <w:ind w:left="432"/>
      </w:pPr>
      <w:r>
        <w:rPr>
          <w:b w:val="0"/>
          <w:sz w:val="20"/>
        </w:rPr>
        <w:t>5.4 Approval-gated write action</w:t>
      </w:r>
      <w:r>
        <w:rPr>
          <w:b w:val="0"/>
          <w:sz w:val="20"/>
        </w:rPr>
        <w:tab/>
        <w:t>30</w:t>
      </w:r>
    </w:p>
    <w:p>
      <w:pPr>
        <w:tabs>
          <w:tab w:pos="9314" w:val="right" w:leader="dot"/>
        </w:tabs>
        <w:spacing w:after="60" w:before="80"/>
        <w:ind w:left="0"/>
      </w:pPr>
      <w:r>
        <w:rPr>
          <w:b/>
          <w:sz w:val="21"/>
        </w:rPr>
        <w:t>6. Data Model Overview</w:t>
      </w:r>
      <w:r>
        <w:rPr>
          <w:b/>
          <w:sz w:val="20"/>
        </w:rPr>
        <w:tab/>
        <w:t>31</w:t>
      </w:r>
    </w:p>
    <w:p>
      <w:pPr>
        <w:tabs>
          <w:tab w:pos="9314" w:val="right" w:leader="dot"/>
        </w:tabs>
        <w:spacing w:after="60" w:before="80"/>
        <w:ind w:left="0"/>
      </w:pPr>
      <w:r>
        <w:rPr>
          <w:b/>
          <w:sz w:val="21"/>
        </w:rPr>
        <w:t>7. Deployment Topology</w:t>
      </w:r>
      <w:r>
        <w:rPr>
          <w:b/>
          <w:sz w:val="20"/>
        </w:rPr>
        <w:tab/>
        <w:t>33</w:t>
      </w:r>
    </w:p>
    <w:p>
      <w:pPr>
        <w:tabs>
          <w:tab w:pos="9314" w:val="right" w:leader="dot"/>
        </w:tabs>
        <w:spacing w:after="20" w:before="0"/>
        <w:ind w:left="432"/>
      </w:pPr>
      <w:r>
        <w:rPr>
          <w:b w:val="0"/>
          <w:sz w:val="20"/>
        </w:rPr>
        <w:t>7.1 Cluster layout and node pools</w:t>
      </w:r>
      <w:r>
        <w:rPr>
          <w:b w:val="0"/>
          <w:sz w:val="20"/>
        </w:rPr>
        <w:tab/>
        <w:t>34</w:t>
      </w:r>
    </w:p>
    <w:p>
      <w:pPr>
        <w:tabs>
          <w:tab w:pos="9314" w:val="right" w:leader="dot"/>
        </w:tabs>
        <w:spacing w:after="20" w:before="0"/>
        <w:ind w:left="432"/>
      </w:pPr>
      <w:r>
        <w:rPr>
          <w:b w:val="0"/>
          <w:sz w:val="20"/>
        </w:rPr>
        <w:t>7.2 Networking</w:t>
      </w:r>
      <w:r>
        <w:rPr>
          <w:b w:val="0"/>
          <w:sz w:val="20"/>
        </w:rPr>
        <w:tab/>
        <w:t>34</w:t>
      </w:r>
    </w:p>
    <w:p>
      <w:pPr>
        <w:tabs>
          <w:tab w:pos="9314" w:val="right" w:leader="dot"/>
        </w:tabs>
        <w:spacing w:after="20" w:before="0"/>
        <w:ind w:left="432"/>
      </w:pPr>
      <w:r>
        <w:rPr>
          <w:b w:val="0"/>
          <w:sz w:val="20"/>
        </w:rPr>
        <w:t>7.3 High availability</w:t>
      </w:r>
      <w:r>
        <w:rPr>
          <w:b w:val="0"/>
          <w:sz w:val="20"/>
        </w:rPr>
        <w:tab/>
        <w:t>34</w:t>
      </w:r>
    </w:p>
    <w:p>
      <w:pPr>
        <w:tabs>
          <w:tab w:pos="9314" w:val="right" w:leader="dot"/>
        </w:tabs>
        <w:spacing w:after="20" w:before="0"/>
        <w:ind w:left="432"/>
      </w:pPr>
      <w:r>
        <w:rPr>
          <w:b w:val="0"/>
          <w:sz w:val="20"/>
        </w:rPr>
        <w:t>7.4 Disaster recovery</w:t>
      </w:r>
      <w:r>
        <w:rPr>
          <w:b w:val="0"/>
          <w:sz w:val="20"/>
        </w:rPr>
        <w:tab/>
        <w:t>35</w:t>
      </w:r>
    </w:p>
    <w:p>
      <w:pPr>
        <w:tabs>
          <w:tab w:pos="9314" w:val="right" w:leader="dot"/>
        </w:tabs>
        <w:spacing w:after="20" w:before="0"/>
        <w:ind w:left="432"/>
      </w:pPr>
      <w:r>
        <w:rPr>
          <w:b w:val="0"/>
          <w:sz w:val="20"/>
        </w:rPr>
        <w:t>7.5 Environments</w:t>
      </w:r>
      <w:r>
        <w:rPr>
          <w:b w:val="0"/>
          <w:sz w:val="20"/>
        </w:rPr>
        <w:tab/>
        <w:t>35</w:t>
      </w:r>
    </w:p>
    <w:p>
      <w:pPr>
        <w:tabs>
          <w:tab w:pos="9314" w:val="right" w:leader="dot"/>
        </w:tabs>
        <w:spacing w:after="60" w:before="80"/>
        <w:ind w:left="0"/>
      </w:pPr>
      <w:r>
        <w:rPr>
          <w:b/>
          <w:sz w:val="21"/>
        </w:rPr>
        <w:t>8. Security Threat Model</w:t>
      </w:r>
      <w:r>
        <w:rPr>
          <w:b/>
          <w:sz w:val="20"/>
        </w:rPr>
        <w:tab/>
        <w:t>36</w:t>
      </w:r>
    </w:p>
    <w:p>
      <w:pPr>
        <w:tabs>
          <w:tab w:pos="9314" w:val="right" w:leader="dot"/>
        </w:tabs>
        <w:spacing w:after="60" w:before="80"/>
        <w:ind w:left="0"/>
      </w:pPr>
      <w:r>
        <w:rPr>
          <w:b/>
          <w:sz w:val="21"/>
        </w:rPr>
        <w:t>9. Phased Roadmap</w:t>
      </w:r>
      <w:r>
        <w:rPr>
          <w:b/>
          <w:sz w:val="20"/>
        </w:rPr>
        <w:tab/>
        <w:t>37</w:t>
      </w:r>
    </w:p>
    <w:p>
      <w:pPr>
        <w:tabs>
          <w:tab w:pos="9314" w:val="right" w:leader="dot"/>
        </w:tabs>
        <w:spacing w:after="60" w:before="80"/>
        <w:ind w:left="0"/>
      </w:pPr>
      <w:r>
        <w:rPr>
          <w:b/>
          <w:sz w:val="21"/>
        </w:rPr>
        <w:t>10. Indicative Cost Considerations</w:t>
      </w:r>
      <w:r>
        <w:rPr>
          <w:b/>
          <w:sz w:val="20"/>
        </w:rPr>
        <w:tab/>
        <w:t>38</w:t>
      </w:r>
    </w:p>
    <w:p>
      <w:pPr>
        <w:tabs>
          <w:tab w:pos="9314" w:val="right" w:leader="dot"/>
        </w:tabs>
        <w:spacing w:after="20" w:before="0"/>
        <w:ind w:left="432"/>
      </w:pPr>
      <w:r>
        <w:rPr>
          <w:b w:val="0"/>
          <w:sz w:val="20"/>
        </w:rPr>
        <w:t>10.1 Sizing assumptions</w:t>
      </w:r>
      <w:r>
        <w:rPr>
          <w:b w:val="0"/>
          <w:sz w:val="20"/>
        </w:rPr>
        <w:tab/>
        <w:t>38</w:t>
      </w:r>
    </w:p>
    <w:p>
      <w:pPr>
        <w:tabs>
          <w:tab w:pos="9314" w:val="right" w:leader="dot"/>
        </w:tabs>
        <w:spacing w:after="20" w:before="0"/>
        <w:ind w:left="432"/>
      </w:pPr>
      <w:r>
        <w:rPr>
          <w:b w:val="0"/>
          <w:sz w:val="20"/>
        </w:rPr>
        <w:t>10.2 Indicative GPU counts by user scale</w:t>
      </w:r>
      <w:r>
        <w:rPr>
          <w:b w:val="0"/>
          <w:sz w:val="20"/>
        </w:rPr>
        <w:tab/>
        <w:t>38</w:t>
      </w:r>
    </w:p>
    <w:p>
      <w:pPr>
        <w:tabs>
          <w:tab w:pos="9314" w:val="right" w:leader="dot"/>
        </w:tabs>
        <w:spacing w:after="20" w:before="0"/>
        <w:ind w:left="432"/>
      </w:pPr>
      <w:r>
        <w:rPr>
          <w:b w:val="0"/>
          <w:sz w:val="20"/>
        </w:rPr>
        <w:t>10.3 Hardware options</w:t>
      </w:r>
      <w:r>
        <w:rPr>
          <w:b w:val="0"/>
          <w:sz w:val="20"/>
        </w:rPr>
        <w:tab/>
        <w:t>38</w:t>
      </w:r>
    </w:p>
    <w:p>
      <w:pPr>
        <w:tabs>
          <w:tab w:pos="9314" w:val="right" w:leader="dot"/>
        </w:tabs>
        <w:spacing w:after="20" w:before="0"/>
        <w:ind w:left="432"/>
      </w:pPr>
      <w:r>
        <w:rPr>
          <w:b w:val="0"/>
          <w:sz w:val="20"/>
        </w:rPr>
        <w:t>10.4 Cost components</w:t>
      </w:r>
      <w:r>
        <w:rPr>
          <w:b w:val="0"/>
          <w:sz w:val="20"/>
        </w:rPr>
        <w:tab/>
        <w:t>39</w:t>
      </w:r>
    </w:p>
    <w:p>
      <w:pPr>
        <w:tabs>
          <w:tab w:pos="9314" w:val="right" w:leader="dot"/>
        </w:tabs>
        <w:spacing w:after="60" w:before="80"/>
        <w:ind w:left="0"/>
      </w:pPr>
      <w:r>
        <w:rPr>
          <w:b/>
          <w:sz w:val="21"/>
        </w:rPr>
        <w:t>11. Risks, Open Questions and Next Steps</w:t>
      </w:r>
      <w:r>
        <w:rPr>
          <w:b/>
          <w:sz w:val="20"/>
        </w:rPr>
        <w:tab/>
        <w:t>40</w:t>
      </w:r>
    </w:p>
    <w:p>
      <w:pPr>
        <w:tabs>
          <w:tab w:pos="9314" w:val="right" w:leader="dot"/>
        </w:tabs>
        <w:spacing w:after="20" w:before="0"/>
        <w:ind w:left="432"/>
      </w:pPr>
      <w:r>
        <w:rPr>
          <w:b w:val="0"/>
          <w:sz w:val="20"/>
        </w:rPr>
        <w:t>11.1 Key risks</w:t>
      </w:r>
      <w:r>
        <w:rPr>
          <w:b w:val="0"/>
          <w:sz w:val="20"/>
        </w:rPr>
        <w:tab/>
        <w:t>40</w:t>
      </w:r>
    </w:p>
    <w:p>
      <w:pPr>
        <w:tabs>
          <w:tab w:pos="9314" w:val="right" w:leader="dot"/>
        </w:tabs>
        <w:spacing w:after="20" w:before="0"/>
        <w:ind w:left="432"/>
      </w:pPr>
      <w:r>
        <w:rPr>
          <w:b w:val="0"/>
          <w:sz w:val="20"/>
        </w:rPr>
        <w:t>11.2 Open questions</w:t>
      </w:r>
      <w:r>
        <w:rPr>
          <w:b w:val="0"/>
          <w:sz w:val="20"/>
        </w:rPr>
        <w:tab/>
        <w:t>40</w:t>
      </w:r>
    </w:p>
    <w:p>
      <w:pPr>
        <w:tabs>
          <w:tab w:pos="9314" w:val="right" w:leader="dot"/>
        </w:tabs>
        <w:spacing w:after="20" w:before="0"/>
        <w:ind w:left="432"/>
      </w:pPr>
      <w:r>
        <w:rPr>
          <w:b w:val="0"/>
          <w:sz w:val="20"/>
        </w:rPr>
        <w:t>11.3 Recommended next steps (next 30 to 60 days)</w:t>
      </w:r>
      <w:r>
        <w:rPr>
          <w:b w:val="0"/>
          <w:sz w:val="20"/>
        </w:rPr>
        <w:tab/>
        <w:t>41</w:t>
      </w:r>
    </w:p>
    <w:p>
      <w:pPr>
        <w:tabs>
          <w:tab w:pos="9314" w:val="right" w:leader="dot"/>
        </w:tabs>
        <w:spacing w:after="60" w:before="80"/>
        <w:ind w:left="0"/>
      </w:pPr>
      <w:r>
        <w:rPr>
          <w:b/>
          <w:sz w:val="21"/>
        </w:rPr>
        <w:t>Appendix A. Recommended Open-Source Stack Summary</w:t>
      </w:r>
      <w:r>
        <w:rPr>
          <w:b/>
          <w:sz w:val="20"/>
        </w:rPr>
        <w:tab/>
        <w:t>42</w:t>
      </w:r>
    </w:p>
    <w:p>
      <w:pPr>
        <w:tabs>
          <w:tab w:pos="9314" w:val="right" w:leader="dot"/>
        </w:tabs>
        <w:spacing w:after="60" w:before="80"/>
        <w:ind w:left="0"/>
      </w:pPr>
      <w:r>
        <w:rPr>
          <w:b/>
          <w:sz w:val="21"/>
        </w:rPr>
        <w:t>Appendix B. Glossary</w:t>
      </w:r>
      <w:r>
        <w:rPr>
          <w:b/>
          <w:sz w:val="20"/>
        </w:rPr>
        <w:tab/>
        <w:t>43</w:t>
      </w:r>
    </w:p>
    <w:p>
      <w:pPr>
        <w:spacing w:after="0"/>
      </w:pPr>
      <w:r>
        <w:br w:type="page"/>
      </w:r>
    </w:p>
    <w:p>
      <w:pPr>
        <w:pStyle w:val="Heading1"/>
      </w:pPr>
      <w:r>
        <w:t>1. Executive Summary</w:t>
      </w:r>
    </w:p>
    <w:p>
      <w:r>
        <w:t xml:space="preserve">This document defines a vendor-neutral reference architecture for a self-hosted </w:t>
      </w:r>
      <w:r>
        <w:rPr>
          <w:b/>
        </w:rPr>
        <w:t>agentic runtime environment</w:t>
      </w:r>
      <w:r>
        <w:t>: a company platform on which employees converse with AI assistant agents that can reason over multi-step tasks, call tools, execute code in isolated sandboxes, browse the web or intranet, remember facts across sessions, run scheduled and event-driven routines, and work directly with company documents and databases.</w:t>
      </w:r>
    </w:p>
    <w:p>
      <w:r>
        <w:t xml:space="preserve">The defining constraint is </w:t>
      </w:r>
      <w:r>
        <w:rPr>
          <w:b/>
        </w:rPr>
        <w:t>sovereignty</w:t>
      </w:r>
      <w:r>
        <w:t>. Every component, including the language models, runs on company-controlled infrastructure (on-premises data centres or a private-cloud tenancy under company control). No prompt, document, tool result or telemetry leaves the company boundary for an external model API. This is achieved by serving open-weight models on company GPUs behind an OpenAI-compatible internal gateway, and by connecting agents to internal systems through a governed tool layer built on the Model Context Protocol (MCP).</w:t>
      </w:r>
    </w:p>
    <w:p>
      <w:r>
        <w:t>The architecture is organised into six layers:</w:t>
      </w:r>
    </w:p>
    <w:p>
      <w:pPr>
        <w:spacing w:after="60"/>
        <w:ind w:left="432" w:hanging="360"/>
      </w:pPr>
      <w:r>
        <w:t xml:space="preserve">1.  </w:t>
      </w:r>
      <w:r>
        <w:rPr>
          <w:b/>
        </w:rPr>
        <w:t>Channels</w:t>
      </w:r>
      <w:r>
        <w:t>: a web chat UI, Slack/Teams bots, email, and a public API.</w:t>
      </w:r>
    </w:p>
    <w:p>
      <w:pPr>
        <w:spacing w:after="60"/>
        <w:ind w:left="432" w:hanging="360"/>
      </w:pPr>
      <w:r>
        <w:t xml:space="preserve">2.  </w:t>
      </w:r>
      <w:r>
        <w:rPr>
          <w:b/>
        </w:rPr>
        <w:t>Edge, identity and policy</w:t>
      </w:r>
      <w:r>
        <w:t>: SSO, an API gateway and a central policy engine.</w:t>
      </w:r>
    </w:p>
    <w:p>
      <w:pPr>
        <w:spacing w:after="60"/>
        <w:ind w:left="432" w:hanging="360"/>
      </w:pPr>
      <w:r>
        <w:t xml:space="preserve">3.  </w:t>
      </w:r>
      <w:r>
        <w:rPr>
          <w:b/>
        </w:rPr>
        <w:t>Agent control plane</w:t>
      </w:r>
      <w:r>
        <w:t>: an orchestrator running the agent loop, durable execution, memory, routines and human approvals.</w:t>
      </w:r>
    </w:p>
    <w:p>
      <w:pPr>
        <w:spacing w:after="60"/>
        <w:ind w:left="432" w:hanging="360"/>
      </w:pPr>
      <w:r>
        <w:t xml:space="preserve">4.  </w:t>
      </w:r>
      <w:r>
        <w:rPr>
          <w:b/>
        </w:rPr>
        <w:t>Capability layers</w:t>
      </w:r>
      <w:r>
        <w:t>: model serving, an MCP tool layer and sandboxed execution.</w:t>
      </w:r>
    </w:p>
    <w:p>
      <w:pPr>
        <w:spacing w:after="60"/>
        <w:ind w:left="432" w:hanging="360"/>
      </w:pPr>
      <w:r>
        <w:t xml:space="preserve">5.  </w:t>
      </w:r>
      <w:r>
        <w:rPr>
          <w:b/>
        </w:rPr>
        <w:t>Data plane</w:t>
      </w:r>
      <w:r>
        <w:t>: Postgres, vector/hybrid search, object storage, event bus and secrets vault.</w:t>
      </w:r>
    </w:p>
    <w:p>
      <w:pPr>
        <w:spacing w:after="60"/>
        <w:ind w:left="432" w:hanging="360"/>
      </w:pPr>
      <w:r>
        <w:t xml:space="preserve">6.  </w:t>
      </w:r>
      <w:r>
        <w:rPr>
          <w:b/>
        </w:rPr>
        <w:t>Observability, evaluation and audit</w:t>
      </w:r>
      <w:r>
        <w:t xml:space="preserve"> across all layers.</w:t>
      </w:r>
    </w:p>
    <w:tbl>
      <w:tblPr>
        <w:jc w:val="center"/>
        <w:tblLook w:firstColumn="1" w:firstRow="1" w:lastColumn="0" w:lastRow="0" w:noHBand="0" w:noVBand="1" w:val="04A0"/>
        <w:tblCellMar>
          <w:top w:w="100" w:type="dxa"/>
          <w:left w:w="160" w:type="dxa"/>
          <w:bottom w:w="100" w:type="dxa"/>
          <w:right w:w="140" w:type="dxa"/>
        </w:tblCellMar>
        <w:tblW w:w="9313" w:type="dxa"/>
        <w:tblLayout w:type="fixed"/>
      </w:tblPr>
      <w:tblGrid>
        <w:gridCol w:w="9313"/>
      </w:tblGrid>
      <w:tr>
        <w:tc>
          <w:tcPr>
            <w:tcW w:type="dxa" w:w="9313"/>
            <w:shd w:val="clear" w:color="auto" w:fill="EAF2FB"/>
            <w:tcBorders>
              <w:left w:val="single" w:sz="24" w:color="1F4E79"/>
            </w:tcBorders>
          </w:tcPr>
          <w:p>
            <w:pPr>
              <w:spacing w:after="40"/>
            </w:pPr>
            <w:r>
              <w:rPr>
                <w:b/>
                <w:color w:val="1F4E79"/>
              </w:rPr>
              <w:t>Headline recommendations</w:t>
            </w:r>
          </w:p>
          <w:p>
            <w:pPr>
              <w:spacing w:after="40"/>
            </w:pPr>
            <w:r>
              <w:rPr>
                <w:b/>
              </w:rPr>
              <w:t>Models</w:t>
            </w:r>
            <w:r>
              <w:t xml:space="preserve">: serve one strong open-weight 'reasoning' model (a 70B-class dense model or a mid-size MoE) plus one small, fast model and an embedding/reranker pair, with </w:t>
            </w:r>
            <w:r>
              <w:rPr>
                <w:b/>
              </w:rPr>
              <w:t>vLLM</w:t>
            </w:r>
            <w:r>
              <w:t xml:space="preserve"> (or SGLang) behind a </w:t>
            </w:r>
            <w:r>
              <w:rPr>
                <w:b/>
              </w:rPr>
              <w:t>LiteLLM-style gateway</w:t>
            </w:r>
            <w:r>
              <w:t>. Use FP8 or 4-bit quantisation to cut GPU count roughly in half.</w:t>
            </w:r>
          </w:p>
          <w:p>
            <w:pPr>
              <w:spacing w:after="40"/>
            </w:pPr>
            <w:r>
              <w:rPr>
                <w:b/>
              </w:rPr>
              <w:t>Agent runtime</w:t>
            </w:r>
            <w:r>
              <w:t xml:space="preserve">: a thin, custom agent loop (or LangGraph where graph-shaped workflows help) running as </w:t>
            </w:r>
            <w:r>
              <w:rPr>
                <w:b/>
              </w:rPr>
              <w:t>Temporal</w:t>
            </w:r>
            <w:r>
              <w:t xml:space="preserve"> workflows, so long tasks, routines and approval waits survive restarts.</w:t>
            </w:r>
          </w:p>
          <w:p>
            <w:pPr>
              <w:spacing w:after="40"/>
            </w:pPr>
            <w:r>
              <w:rPr>
                <w:b/>
              </w:rPr>
              <w:t>Tools</w:t>
            </w:r>
            <w:r>
              <w:t xml:space="preserve">: everything external to the model is an </w:t>
            </w:r>
            <w:r>
              <w:rPr>
                <w:b/>
              </w:rPr>
              <w:t>MCP server</w:t>
            </w:r>
            <w:r>
              <w:t xml:space="preserve"> registered in a versioned tool registry, classified read/write/destructive, and called with the </w:t>
            </w:r>
            <w:r>
              <w:rPr>
                <w:b/>
              </w:rPr>
              <w:t>end user's delegated identity</w:t>
            </w:r>
            <w:r>
              <w:t>, never a shared super-user.</w:t>
            </w:r>
          </w:p>
          <w:p>
            <w:pPr>
              <w:spacing w:after="40"/>
            </w:pPr>
            <w:r>
              <w:rPr>
                <w:b/>
              </w:rPr>
              <w:t>Isolation</w:t>
            </w:r>
            <w:r>
              <w:t xml:space="preserve">: per-session sandboxes in </w:t>
            </w:r>
            <w:r>
              <w:rPr>
                <w:b/>
              </w:rPr>
              <w:t>Kata Containers or gVisor</w:t>
            </w:r>
            <w:r>
              <w:t xml:space="preserve"> on a dedicated Kubernetes node pool (Firecracker microVMs for higher assurance), with default-deny egress.</w:t>
            </w:r>
          </w:p>
          <w:p>
            <w:pPr>
              <w:spacing w:after="40"/>
            </w:pPr>
            <w:r>
              <w:rPr>
                <w:b/>
              </w:rPr>
              <w:t>Safety</w:t>
            </w:r>
            <w:r>
              <w:t xml:space="preserve">: tool output is treated as untrusted data; risky actions (sending, deleting, writing to production) require </w:t>
            </w:r>
            <w:r>
              <w:rPr>
                <w:b/>
              </w:rPr>
              <w:t>human-in-the-loop approval</w:t>
            </w:r>
            <w:r>
              <w:t xml:space="preserve"> bound to the exact arguments; every action is written to a tamper-evident audit log.</w:t>
            </w:r>
          </w:p>
          <w:p>
            <w:pPr>
              <w:spacing w:after="40"/>
            </w:pPr>
            <w:r>
              <w:rPr>
                <w:b/>
              </w:rPr>
              <w:t>Delivery</w:t>
            </w:r>
            <w:r>
              <w:t>: a 10-week PoC with 3 to 5 engineers, reaching production in roughly 11 to 12 months with a team of 10 to 14.</w:t>
            </w:r>
          </w:p>
        </w:tc>
      </w:tr>
    </w:tbl>
    <w:p>
      <w:pPr>
        <w:spacing w:after="40"/>
      </w:pPr>
    </w:p>
    <w:p>
      <w:pPr>
        <w:pStyle w:val="Heading2"/>
      </w:pPr>
      <w:r>
        <w:t>1.1 Goals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620"/>
        <w:gridCol w:w="2483"/>
        <w:gridCol w:w="6209"/>
      </w:tblGrid>
      <w:tr>
        <w:trPr>
          <w:tblHeader w:val="true"/>
        </w:trPr>
        <w:tc>
          <w:tcPr>
            <w:tcW w:type="dxa" w:w="620"/>
            <w:shd w:val="clear" w:color="auto" w:fill="1F4E79"/>
          </w:tcPr>
          <w:p>
            <w:r/>
            <w:r>
              <w:rPr>
                <w:b/>
                <w:color w:val="FFFFFF"/>
                <w:sz w:val="18"/>
              </w:rPr>
              <w:t>#</w:t>
            </w:r>
          </w:p>
        </w:tc>
        <w:tc>
          <w:tcPr>
            <w:tcW w:type="dxa" w:w="2483"/>
            <w:shd w:val="clear" w:color="auto" w:fill="1F4E79"/>
          </w:tcPr>
          <w:p>
            <w:r/>
            <w:r>
              <w:rPr>
                <w:b/>
                <w:color w:val="FFFFFF"/>
                <w:sz w:val="18"/>
              </w:rPr>
              <w:t>Goal</w:t>
            </w:r>
          </w:p>
        </w:tc>
        <w:tc>
          <w:tcPr>
            <w:tcW w:type="dxa" w:w="6209"/>
            <w:shd w:val="clear" w:color="auto" w:fill="1F4E79"/>
          </w:tcPr>
          <w:p>
            <w:r/>
            <w:r>
              <w:rPr>
                <w:b/>
                <w:color w:val="FFFFFF"/>
                <w:sz w:val="18"/>
              </w:rPr>
              <w:t>What success looks like</w:t>
            </w:r>
          </w:p>
        </w:tc>
      </w:tr>
      <w:tr>
        <w:trPr>
          <w:cantSplit w:val="true"/>
        </w:trPr>
        <w:tc>
          <w:tcPr>
            <w:tcW w:type="dxa" w:w="620"/>
          </w:tcPr>
          <w:p>
            <w:pPr>
              <w:spacing w:after="20" w:line="240" w:lineRule="auto"/>
            </w:pPr>
            <w:r>
              <w:rPr>
                <w:b/>
                <w:sz w:val="18"/>
              </w:rPr>
            </w:r>
            <w:r>
              <w:rPr>
                <w:b/>
                <w:sz w:val="18"/>
              </w:rPr>
              <w:t>G1</w:t>
            </w:r>
          </w:p>
        </w:tc>
        <w:tc>
          <w:tcPr>
            <w:tcW w:type="dxa" w:w="2483"/>
          </w:tcPr>
          <w:p>
            <w:pPr>
              <w:spacing w:after="20" w:line="240" w:lineRule="auto"/>
            </w:pPr>
            <w:r>
              <w:rPr>
                <w:sz w:val="18"/>
              </w:rPr>
            </w:r>
            <w:r>
              <w:rPr>
                <w:sz w:val="18"/>
              </w:rPr>
              <w:t>Full data sovereignty</w:t>
            </w:r>
          </w:p>
        </w:tc>
        <w:tc>
          <w:tcPr>
            <w:tcW w:type="dxa" w:w="6209"/>
          </w:tcPr>
          <w:p>
            <w:pPr>
              <w:spacing w:after="20" w:line="240" w:lineRule="auto"/>
            </w:pPr>
            <w:r>
              <w:rPr>
                <w:sz w:val="18"/>
              </w:rPr>
            </w:r>
            <w:r>
              <w:rPr>
                <w:sz w:val="18"/>
              </w:rPr>
              <w:t>Zero outbound calls to third-party model APIs; verified by egress policy and audit.</w:t>
            </w:r>
          </w:p>
        </w:tc>
      </w:tr>
      <w:tr>
        <w:trPr>
          <w:cantSplit w:val="true"/>
        </w:trPr>
        <w:tc>
          <w:tcPr>
            <w:tcW w:type="dxa" w:w="620"/>
            <w:shd w:val="clear" w:color="auto" w:fill="F2F6FA"/>
          </w:tcPr>
          <w:p>
            <w:pPr>
              <w:spacing w:after="20" w:line="240" w:lineRule="auto"/>
            </w:pPr>
            <w:r>
              <w:rPr>
                <w:b/>
                <w:sz w:val="18"/>
              </w:rPr>
            </w:r>
            <w:r>
              <w:rPr>
                <w:b/>
                <w:sz w:val="18"/>
              </w:rPr>
              <w:t>G2</w:t>
            </w:r>
          </w:p>
        </w:tc>
        <w:tc>
          <w:tcPr>
            <w:tcW w:type="dxa" w:w="2483"/>
            <w:shd w:val="clear" w:color="auto" w:fill="F2F6FA"/>
          </w:tcPr>
          <w:p>
            <w:pPr>
              <w:spacing w:after="20" w:line="240" w:lineRule="auto"/>
            </w:pPr>
            <w:r>
              <w:rPr>
                <w:sz w:val="18"/>
              </w:rPr>
            </w:r>
            <w:r>
              <w:rPr>
                <w:sz w:val="18"/>
              </w:rPr>
              <w:t>Useful agents, not only chat</w:t>
            </w:r>
          </w:p>
        </w:tc>
        <w:tc>
          <w:tcPr>
            <w:tcW w:type="dxa" w:w="6209"/>
            <w:shd w:val="clear" w:color="auto" w:fill="F2F6FA"/>
          </w:tcPr>
          <w:p>
            <w:pPr>
              <w:spacing w:after="20" w:line="240" w:lineRule="auto"/>
            </w:pPr>
            <w:r>
              <w:rPr>
                <w:sz w:val="18"/>
              </w:rPr>
            </w:r>
            <w:r>
              <w:rPr>
                <w:sz w:val="18"/>
              </w:rPr>
              <w:t>Agents complete multi-step tasks across tools (query, analyse, draft, file a ticket) with measurable task success rates.</w:t>
            </w:r>
          </w:p>
        </w:tc>
      </w:tr>
      <w:tr>
        <w:trPr>
          <w:cantSplit w:val="true"/>
        </w:trPr>
        <w:tc>
          <w:tcPr>
            <w:tcW w:type="dxa" w:w="620"/>
          </w:tcPr>
          <w:p>
            <w:pPr>
              <w:spacing w:after="20" w:line="240" w:lineRule="auto"/>
            </w:pPr>
            <w:r>
              <w:rPr>
                <w:b/>
                <w:sz w:val="18"/>
              </w:rPr>
            </w:r>
            <w:r>
              <w:rPr>
                <w:b/>
                <w:sz w:val="18"/>
              </w:rPr>
              <w:t>G3</w:t>
            </w:r>
          </w:p>
        </w:tc>
        <w:tc>
          <w:tcPr>
            <w:tcW w:type="dxa" w:w="2483"/>
          </w:tcPr>
          <w:p>
            <w:pPr>
              <w:spacing w:after="20" w:line="240" w:lineRule="auto"/>
            </w:pPr>
            <w:r>
              <w:rPr>
                <w:sz w:val="18"/>
              </w:rPr>
            </w:r>
            <w:r>
              <w:rPr>
                <w:sz w:val="18"/>
              </w:rPr>
              <w:t>Secure by construction</w:t>
            </w:r>
          </w:p>
        </w:tc>
        <w:tc>
          <w:tcPr>
            <w:tcW w:type="dxa" w:w="6209"/>
          </w:tcPr>
          <w:p>
            <w:pPr>
              <w:spacing w:after="20" w:line="240" w:lineRule="auto"/>
            </w:pPr>
            <w:r>
              <w:rPr>
                <w:sz w:val="18"/>
              </w:rPr>
            </w:r>
            <w:r>
              <w:rPr>
                <w:sz w:val="18"/>
              </w:rPr>
              <w:t>Agents can never exceed the permissions of the user they act for; risky writes need approval; all actions are auditable.</w:t>
            </w:r>
          </w:p>
        </w:tc>
      </w:tr>
      <w:tr>
        <w:trPr>
          <w:cantSplit w:val="true"/>
        </w:trPr>
        <w:tc>
          <w:tcPr>
            <w:tcW w:type="dxa" w:w="620"/>
            <w:shd w:val="clear" w:color="auto" w:fill="F2F6FA"/>
          </w:tcPr>
          <w:p>
            <w:pPr>
              <w:spacing w:after="20" w:line="240" w:lineRule="auto"/>
            </w:pPr>
            <w:r>
              <w:rPr>
                <w:b/>
                <w:sz w:val="18"/>
              </w:rPr>
            </w:r>
            <w:r>
              <w:rPr>
                <w:b/>
                <w:sz w:val="18"/>
              </w:rPr>
              <w:t>G4</w:t>
            </w:r>
          </w:p>
        </w:tc>
        <w:tc>
          <w:tcPr>
            <w:tcW w:type="dxa" w:w="2483"/>
            <w:shd w:val="clear" w:color="auto" w:fill="F2F6FA"/>
          </w:tcPr>
          <w:p>
            <w:pPr>
              <w:spacing w:after="20" w:line="240" w:lineRule="auto"/>
            </w:pPr>
            <w:r>
              <w:rPr>
                <w:sz w:val="18"/>
              </w:rPr>
            </w:r>
            <w:r>
              <w:rPr>
                <w:sz w:val="18"/>
              </w:rPr>
              <w:t>Grounded in company knowledge</w:t>
            </w:r>
          </w:p>
        </w:tc>
        <w:tc>
          <w:tcPr>
            <w:tcW w:type="dxa" w:w="6209"/>
            <w:shd w:val="clear" w:color="auto" w:fill="F2F6FA"/>
          </w:tcPr>
          <w:p>
            <w:pPr>
              <w:spacing w:after="20" w:line="240" w:lineRule="auto"/>
            </w:pPr>
            <w:r>
              <w:rPr>
                <w:sz w:val="18"/>
              </w:rPr>
            </w:r>
            <w:r>
              <w:rPr>
                <w:sz w:val="18"/>
              </w:rPr>
              <w:t>Answers cite internal sources and respect document-level permissions.</w:t>
            </w:r>
          </w:p>
        </w:tc>
      </w:tr>
      <w:tr>
        <w:trPr>
          <w:cantSplit w:val="true"/>
        </w:trPr>
        <w:tc>
          <w:tcPr>
            <w:tcW w:type="dxa" w:w="620"/>
          </w:tcPr>
          <w:p>
            <w:pPr>
              <w:spacing w:after="20" w:line="240" w:lineRule="auto"/>
            </w:pPr>
            <w:r>
              <w:rPr>
                <w:b/>
                <w:sz w:val="18"/>
              </w:rPr>
            </w:r>
            <w:r>
              <w:rPr>
                <w:b/>
                <w:sz w:val="18"/>
              </w:rPr>
              <w:t>G5</w:t>
            </w:r>
          </w:p>
        </w:tc>
        <w:tc>
          <w:tcPr>
            <w:tcW w:type="dxa" w:w="2483"/>
          </w:tcPr>
          <w:p>
            <w:pPr>
              <w:spacing w:after="20" w:line="240" w:lineRule="auto"/>
            </w:pPr>
            <w:r>
              <w:rPr>
                <w:sz w:val="18"/>
              </w:rPr>
            </w:r>
            <w:r>
              <w:rPr>
                <w:sz w:val="18"/>
              </w:rPr>
              <w:t>Extensible platform</w:t>
            </w:r>
          </w:p>
        </w:tc>
        <w:tc>
          <w:tcPr>
            <w:tcW w:type="dxa" w:w="6209"/>
          </w:tcPr>
          <w:p>
            <w:pPr>
              <w:spacing w:after="20" w:line="240" w:lineRule="auto"/>
            </w:pPr>
            <w:r>
              <w:rPr>
                <w:sz w:val="18"/>
              </w:rPr>
            </w:r>
            <w:r>
              <w:rPr>
                <w:sz w:val="18"/>
              </w:rPr>
              <w:t>Teams can add tools (MCP servers), agents and routines through self-service with review, without platform changes.</w:t>
            </w:r>
          </w:p>
        </w:tc>
      </w:tr>
      <w:tr>
        <w:trPr>
          <w:cantSplit w:val="true"/>
        </w:trPr>
        <w:tc>
          <w:tcPr>
            <w:tcW w:type="dxa" w:w="620"/>
            <w:shd w:val="clear" w:color="auto" w:fill="F2F6FA"/>
          </w:tcPr>
          <w:p>
            <w:pPr>
              <w:spacing w:after="20" w:line="240" w:lineRule="auto"/>
            </w:pPr>
            <w:r>
              <w:rPr>
                <w:b/>
                <w:sz w:val="18"/>
              </w:rPr>
            </w:r>
            <w:r>
              <w:rPr>
                <w:b/>
                <w:sz w:val="18"/>
              </w:rPr>
              <w:t>G6</w:t>
            </w:r>
          </w:p>
        </w:tc>
        <w:tc>
          <w:tcPr>
            <w:tcW w:type="dxa" w:w="2483"/>
            <w:shd w:val="clear" w:color="auto" w:fill="F2F6FA"/>
          </w:tcPr>
          <w:p>
            <w:pPr>
              <w:spacing w:after="20" w:line="240" w:lineRule="auto"/>
            </w:pPr>
            <w:r>
              <w:rPr>
                <w:sz w:val="18"/>
              </w:rPr>
            </w:r>
            <w:r>
              <w:rPr>
                <w:sz w:val="18"/>
              </w:rPr>
              <w:t>Operable at enterprise scale</w:t>
            </w:r>
          </w:p>
        </w:tc>
        <w:tc>
          <w:tcPr>
            <w:tcW w:type="dxa" w:w="6209"/>
            <w:shd w:val="clear" w:color="auto" w:fill="F2F6FA"/>
          </w:tcPr>
          <w:p>
            <w:pPr>
              <w:spacing w:after="20" w:line="240" w:lineRule="auto"/>
            </w:pPr>
            <w:r>
              <w:rPr>
                <w:sz w:val="18"/>
              </w:rPr>
            </w:r>
            <w:r>
              <w:rPr>
                <w:sz w:val="18"/>
              </w:rPr>
              <w:t>Multi-tenant, HA, DR, observable, cost-attributed per team; scales from pilot to thousands of users.</w:t>
            </w:r>
          </w:p>
        </w:tc>
      </w:tr>
      <w:tr>
        <w:trPr>
          <w:cantSplit w:val="true"/>
        </w:trPr>
        <w:tc>
          <w:tcPr>
            <w:tcW w:type="dxa" w:w="620"/>
          </w:tcPr>
          <w:p>
            <w:pPr>
              <w:spacing w:after="20" w:line="240" w:lineRule="auto"/>
            </w:pPr>
            <w:r>
              <w:rPr>
                <w:b/>
                <w:sz w:val="18"/>
              </w:rPr>
            </w:r>
            <w:r>
              <w:rPr>
                <w:b/>
                <w:sz w:val="18"/>
              </w:rPr>
              <w:t>G7</w:t>
            </w:r>
          </w:p>
        </w:tc>
        <w:tc>
          <w:tcPr>
            <w:tcW w:type="dxa" w:w="2483"/>
          </w:tcPr>
          <w:p>
            <w:pPr>
              <w:spacing w:after="20" w:line="240" w:lineRule="auto"/>
            </w:pPr>
            <w:r>
              <w:rPr>
                <w:sz w:val="18"/>
              </w:rPr>
            </w:r>
            <w:r>
              <w:rPr>
                <w:sz w:val="18"/>
              </w:rPr>
              <w:t>Model agility</w:t>
            </w:r>
          </w:p>
        </w:tc>
        <w:tc>
          <w:tcPr>
            <w:tcW w:type="dxa" w:w="6209"/>
          </w:tcPr>
          <w:p>
            <w:pPr>
              <w:spacing w:after="20" w:line="240" w:lineRule="auto"/>
            </w:pPr>
            <w:r>
              <w:rPr>
                <w:sz w:val="18"/>
              </w:rPr>
            </w:r>
            <w:r>
              <w:rPr>
                <w:sz w:val="18"/>
              </w:rPr>
              <w:t>Swap or add models behind a stable API without changing agents or tools.</w:t>
            </w:r>
          </w:p>
        </w:tc>
      </w:tr>
    </w:tbl>
    <w:p>
      <w:pPr>
        <w:spacing w:after="80"/>
      </w:pPr>
    </w:p>
    <w:p>
      <w:pPr>
        <w:pStyle w:val="Heading2"/>
      </w:pPr>
      <w:r>
        <w:t>1.2 Non-goals</w:t>
      </w:r>
    </w:p>
    <w:p>
      <w:pPr>
        <w:pStyle w:val="ListBullet"/>
      </w:pPr>
      <w:r>
        <w:rPr>
          <w:b/>
        </w:rPr>
        <w:t>Training foundation models.</w:t>
      </w:r>
      <w:r>
        <w:t xml:space="preserve"> The platform consumes open-weight models; fine-tuning (for example LoRA adapters for text-to-SQL or domain style) is in scope later, pre-training is not.</w:t>
      </w:r>
    </w:p>
    <w:p>
      <w:pPr>
        <w:pStyle w:val="ListBullet"/>
      </w:pPr>
      <w:r>
        <w:rPr>
          <w:b/>
        </w:rPr>
        <w:t>Replacing systems of record.</w:t>
      </w:r>
      <w:r>
        <w:t xml:space="preserve"> Agents act on existing ERP, CRM, ticketing and document systems through their APIs; the platform does not become a new source of truth.</w:t>
      </w:r>
    </w:p>
    <w:p>
      <w:pPr>
        <w:pStyle w:val="ListBullet"/>
      </w:pPr>
      <w:r>
        <w:rPr>
          <w:b/>
        </w:rPr>
        <w:t>Fully autonomous high-risk actions.</w:t>
      </w:r>
      <w:r>
        <w:t xml:space="preserve"> Unattended agents performing irreversible or production-impacting actions without human approval are explicitly out of scope for initial phases.</w:t>
      </w:r>
    </w:p>
    <w:p>
      <w:pPr>
        <w:pStyle w:val="ListBullet"/>
      </w:pPr>
      <w:r>
        <w:rPr>
          <w:b/>
        </w:rPr>
        <w:t>General-purpose public chatbot.</w:t>
      </w:r>
      <w:r>
        <w:t xml:space="preserve"> The platform serves authenticated employees and approved service integrations, not anonymous external users.</w:t>
      </w:r>
    </w:p>
    <w:p>
      <w:pPr>
        <w:pStyle w:val="ListBullet"/>
      </w:pPr>
      <w:r>
        <w:rPr>
          <w:b/>
        </w:rPr>
        <w:t>Frontier-parity guarantees.</w:t>
      </w:r>
      <w:r>
        <w:t xml:space="preserve"> Open-weight models are highly capable but may trail the best proprietary models on some tasks; the design mitigates this with tools, retrieval, evaluation and routing rather than promising parity.</w:t>
      </w:r>
    </w:p>
    <w:p>
      <w:pPr>
        <w:pStyle w:val="ListBullet"/>
      </w:pPr>
      <w:r>
        <w:rPr>
          <w:b/>
        </w:rPr>
        <w:t>A low-code workflow builder in Phase 0 and 1.</w:t>
      </w:r>
      <w:r>
        <w:t xml:space="preserve"> Routines are defined in natural language plus configuration; a visual builder is a possible Phase 3 addition.</w:t>
      </w:r>
    </w:p>
    <w:p>
      <w:pPr>
        <w:pStyle w:val="Heading2"/>
      </w:pPr>
      <w:r>
        <w:t>1.3 Guiding principles</w:t>
      </w:r>
    </w:p>
    <w:p>
      <w:pPr>
        <w:pStyle w:val="ListBullet"/>
      </w:pPr>
      <w:r>
        <w:rPr>
          <w:b/>
        </w:rPr>
        <w:t>Least privilege, delegated identity</w:t>
      </w:r>
      <w:r>
        <w:t>: the agent is the user's assistant, never a privileged service account.</w:t>
      </w:r>
    </w:p>
    <w:p>
      <w:pPr>
        <w:pStyle w:val="ListBullet"/>
      </w:pPr>
      <w:r>
        <w:rPr>
          <w:b/>
        </w:rPr>
        <w:t>Model output is a proposal; tool output is data</w:t>
      </w:r>
      <w:r>
        <w:t>: neither is trusted to authorise anything.</w:t>
      </w:r>
    </w:p>
    <w:p>
      <w:pPr>
        <w:pStyle w:val="ListBullet"/>
      </w:pPr>
      <w:r>
        <w:rPr>
          <w:b/>
        </w:rPr>
        <w:t>Everything durable</w:t>
      </w:r>
      <w:r>
        <w:t>: any step that can take longer than a request timeout runs in a durable workflow.</w:t>
      </w:r>
    </w:p>
    <w:p>
      <w:pPr>
        <w:pStyle w:val="ListBullet"/>
      </w:pPr>
      <w:r>
        <w:rPr>
          <w:b/>
        </w:rPr>
        <w:t>Standard interfaces</w:t>
      </w:r>
      <w:r>
        <w:t>: OpenAI-compatible inference API, MCP for tools, OIDC for identity, OpenTelemetry for telemetry, S3 API for objects.</w:t>
      </w:r>
    </w:p>
    <w:p>
      <w:pPr>
        <w:pStyle w:val="ListBullet"/>
      </w:pPr>
      <w:r>
        <w:rPr>
          <w:b/>
        </w:rPr>
        <w:t>Measure before you scale</w:t>
      </w:r>
      <w:r>
        <w:t>: every change to prompts, models or tools runs through an evaluation suite.</w:t>
      </w:r>
    </w:p>
    <w:p>
      <w:pPr>
        <w:spacing w:after="0"/>
      </w:pPr>
      <w:r>
        <w:br w:type="page"/>
      </w:r>
    </w:p>
    <w:p>
      <w:pPr>
        <w:pStyle w:val="Heading1"/>
      </w:pPr>
      <w:r>
        <w:t>2. Requirements</w:t>
      </w:r>
    </w:p>
    <w:p>
      <w:pPr>
        <w:pStyle w:val="Heading2"/>
      </w:pPr>
      <w:r>
        <w:t>2.1 Functional requirements</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582"/>
        <w:gridCol w:w="1746"/>
        <w:gridCol w:w="6985"/>
      </w:tblGrid>
      <w:tr>
        <w:trPr>
          <w:tblHeader w:val="true"/>
        </w:trPr>
        <w:tc>
          <w:tcPr>
            <w:tcW w:type="dxa" w:w="582"/>
            <w:shd w:val="clear" w:color="auto" w:fill="1F4E79"/>
          </w:tcPr>
          <w:p>
            <w:r/>
            <w:r>
              <w:rPr>
                <w:b/>
                <w:color w:val="FFFFFF"/>
                <w:sz w:val="18"/>
              </w:rPr>
              <w:t>ID</w:t>
            </w:r>
          </w:p>
        </w:tc>
        <w:tc>
          <w:tcPr>
            <w:tcW w:type="dxa" w:w="1746"/>
            <w:shd w:val="clear" w:color="auto" w:fill="1F4E79"/>
          </w:tcPr>
          <w:p>
            <w:r/>
            <w:r>
              <w:rPr>
                <w:b/>
                <w:color w:val="FFFFFF"/>
                <w:sz w:val="18"/>
              </w:rPr>
              <w:t>Capability</w:t>
            </w:r>
          </w:p>
        </w:tc>
        <w:tc>
          <w:tcPr>
            <w:tcW w:type="dxa" w:w="6985"/>
            <w:shd w:val="clear" w:color="auto" w:fill="1F4E79"/>
          </w:tcPr>
          <w:p>
            <w:r/>
            <w:r>
              <w:rPr>
                <w:b/>
                <w:color w:val="FFFFFF"/>
                <w:sz w:val="18"/>
              </w:rPr>
              <w:t>Requirement</w:t>
            </w:r>
          </w:p>
        </w:tc>
      </w:tr>
      <w:tr>
        <w:trPr>
          <w:cantSplit w:val="true"/>
        </w:trPr>
        <w:tc>
          <w:tcPr>
            <w:tcW w:type="dxa" w:w="582"/>
          </w:tcPr>
          <w:p>
            <w:pPr>
              <w:spacing w:after="20" w:line="240" w:lineRule="auto"/>
            </w:pPr>
            <w:r>
              <w:rPr>
                <w:b/>
                <w:sz w:val="18"/>
              </w:rPr>
            </w:r>
            <w:r>
              <w:rPr>
                <w:b/>
                <w:sz w:val="18"/>
              </w:rPr>
              <w:t>F1</w:t>
            </w:r>
          </w:p>
        </w:tc>
        <w:tc>
          <w:tcPr>
            <w:tcW w:type="dxa" w:w="1746"/>
          </w:tcPr>
          <w:p>
            <w:pPr>
              <w:spacing w:after="20" w:line="240" w:lineRule="auto"/>
            </w:pPr>
            <w:r>
              <w:rPr>
                <w:sz w:val="18"/>
              </w:rPr>
            </w:r>
            <w:r>
              <w:rPr>
                <w:sz w:val="18"/>
              </w:rPr>
              <w:t>Conversational chat</w:t>
            </w:r>
          </w:p>
        </w:tc>
        <w:tc>
          <w:tcPr>
            <w:tcW w:type="dxa" w:w="6985"/>
          </w:tcPr>
          <w:p>
            <w:pPr>
              <w:spacing w:after="20" w:line="240" w:lineRule="auto"/>
            </w:pPr>
            <w:r>
              <w:rPr>
                <w:sz w:val="18"/>
              </w:rPr>
            </w:r>
            <w:r>
              <w:rPr>
                <w:sz w:val="18"/>
              </w:rPr>
              <w:t>Streaming multi-turn chat with Markdown, code, tables and inline artefacts; edit and regenerate; conversation history, search, sharing within ACLs; attachments (PDF, Office, images, CSV).</w:t>
            </w:r>
          </w:p>
        </w:tc>
      </w:tr>
      <w:tr>
        <w:trPr>
          <w:cantSplit w:val="true"/>
        </w:trPr>
        <w:tc>
          <w:tcPr>
            <w:tcW w:type="dxa" w:w="582"/>
            <w:shd w:val="clear" w:color="auto" w:fill="F2F6FA"/>
          </w:tcPr>
          <w:p>
            <w:pPr>
              <w:spacing w:after="20" w:line="240" w:lineRule="auto"/>
            </w:pPr>
            <w:r>
              <w:rPr>
                <w:b/>
                <w:sz w:val="18"/>
              </w:rPr>
            </w:r>
            <w:r>
              <w:rPr>
                <w:b/>
                <w:sz w:val="18"/>
              </w:rPr>
              <w:t>F2</w:t>
            </w:r>
          </w:p>
        </w:tc>
        <w:tc>
          <w:tcPr>
            <w:tcW w:type="dxa" w:w="1746"/>
            <w:shd w:val="clear" w:color="auto" w:fill="F2F6FA"/>
          </w:tcPr>
          <w:p>
            <w:pPr>
              <w:spacing w:after="20" w:line="240" w:lineRule="auto"/>
            </w:pPr>
            <w:r>
              <w:rPr>
                <w:sz w:val="18"/>
              </w:rPr>
            </w:r>
            <w:r>
              <w:rPr>
                <w:sz w:val="18"/>
              </w:rPr>
              <w:t>Agents and multi-agent</w:t>
            </w:r>
          </w:p>
        </w:tc>
        <w:tc>
          <w:tcPr>
            <w:tcW w:type="dxa" w:w="6985"/>
            <w:shd w:val="clear" w:color="auto" w:fill="F2F6FA"/>
          </w:tcPr>
          <w:p>
            <w:pPr>
              <w:spacing w:after="20" w:line="240" w:lineRule="auto"/>
            </w:pPr>
            <w:r>
              <w:rPr>
                <w:sz w:val="18"/>
              </w:rPr>
            </w:r>
            <w:r>
              <w:rPr>
                <w:sz w:val="18"/>
              </w:rPr>
              <w:t>Configurable agents (instructions, model, tools, knowledge, policies). An agent can delegate subtasks to subagents (e.g. researcher, coder, reviewer) with bounded budgets and scoped tools; results return to the parent.</w:t>
            </w:r>
          </w:p>
        </w:tc>
      </w:tr>
      <w:tr>
        <w:trPr>
          <w:cantSplit w:val="true"/>
        </w:trPr>
        <w:tc>
          <w:tcPr>
            <w:tcW w:type="dxa" w:w="582"/>
          </w:tcPr>
          <w:p>
            <w:pPr>
              <w:spacing w:after="20" w:line="240" w:lineRule="auto"/>
            </w:pPr>
            <w:r>
              <w:rPr>
                <w:b/>
                <w:sz w:val="18"/>
              </w:rPr>
            </w:r>
            <w:r>
              <w:rPr>
                <w:b/>
                <w:sz w:val="18"/>
              </w:rPr>
              <w:t>F3</w:t>
            </w:r>
          </w:p>
        </w:tc>
        <w:tc>
          <w:tcPr>
            <w:tcW w:type="dxa" w:w="1746"/>
          </w:tcPr>
          <w:p>
            <w:pPr>
              <w:spacing w:after="20" w:line="240" w:lineRule="auto"/>
            </w:pPr>
            <w:r>
              <w:rPr>
                <w:sz w:val="18"/>
              </w:rPr>
            </w:r>
            <w:r>
              <w:rPr>
                <w:sz w:val="18"/>
              </w:rPr>
              <w:t>Tool calling</w:t>
            </w:r>
          </w:p>
        </w:tc>
        <w:tc>
          <w:tcPr>
            <w:tcW w:type="dxa" w:w="6985"/>
          </w:tcPr>
          <w:p>
            <w:pPr>
              <w:spacing w:after="20" w:line="240" w:lineRule="auto"/>
            </w:pPr>
            <w:r>
              <w:rPr>
                <w:sz w:val="18"/>
              </w:rPr>
            </w:r>
            <w:r>
              <w:rPr>
                <w:sz w:val="18"/>
              </w:rPr>
              <w:t>Structured function calling against a governed tool catalogue (MCP); parallel tool calls; retries; tool-result streaming; per-agent tool allowlists.</w:t>
            </w:r>
          </w:p>
        </w:tc>
      </w:tr>
      <w:tr>
        <w:trPr>
          <w:cantSplit w:val="true"/>
        </w:trPr>
        <w:tc>
          <w:tcPr>
            <w:tcW w:type="dxa" w:w="582"/>
            <w:shd w:val="clear" w:color="auto" w:fill="F2F6FA"/>
          </w:tcPr>
          <w:p>
            <w:pPr>
              <w:spacing w:after="20" w:line="240" w:lineRule="auto"/>
            </w:pPr>
            <w:r>
              <w:rPr>
                <w:b/>
                <w:sz w:val="18"/>
              </w:rPr>
            </w:r>
            <w:r>
              <w:rPr>
                <w:b/>
                <w:sz w:val="18"/>
              </w:rPr>
              <w:t>F4</w:t>
            </w:r>
          </w:p>
        </w:tc>
        <w:tc>
          <w:tcPr>
            <w:tcW w:type="dxa" w:w="1746"/>
            <w:shd w:val="clear" w:color="auto" w:fill="F2F6FA"/>
          </w:tcPr>
          <w:p>
            <w:pPr>
              <w:spacing w:after="20" w:line="240" w:lineRule="auto"/>
            </w:pPr>
            <w:r>
              <w:rPr>
                <w:sz w:val="18"/>
              </w:rPr>
            </w:r>
            <w:r>
              <w:rPr>
                <w:sz w:val="18"/>
              </w:rPr>
              <w:t>Knowledge / RAG</w:t>
            </w:r>
          </w:p>
        </w:tc>
        <w:tc>
          <w:tcPr>
            <w:tcW w:type="dxa" w:w="6985"/>
            <w:shd w:val="clear" w:color="auto" w:fill="F2F6FA"/>
          </w:tcPr>
          <w:p>
            <w:pPr>
              <w:spacing w:after="20" w:line="240" w:lineRule="auto"/>
            </w:pPr>
            <w:r>
              <w:rPr>
                <w:sz w:val="18"/>
              </w:rPr>
            </w:r>
            <w:r>
              <w:rPr>
                <w:sz w:val="18"/>
              </w:rPr>
              <w:t>Search over SharePoint, Confluence, file shares, wikis, tickets and uploaded files with hybrid retrieval, reranking, citations and document-level ACL enforcement.</w:t>
            </w:r>
          </w:p>
        </w:tc>
      </w:tr>
      <w:tr>
        <w:trPr>
          <w:cantSplit w:val="true"/>
        </w:trPr>
        <w:tc>
          <w:tcPr>
            <w:tcW w:type="dxa" w:w="582"/>
          </w:tcPr>
          <w:p>
            <w:pPr>
              <w:spacing w:after="20" w:line="240" w:lineRule="auto"/>
            </w:pPr>
            <w:r>
              <w:rPr>
                <w:b/>
                <w:sz w:val="18"/>
              </w:rPr>
            </w:r>
            <w:r>
              <w:rPr>
                <w:b/>
                <w:sz w:val="18"/>
              </w:rPr>
              <w:t>F5</w:t>
            </w:r>
          </w:p>
        </w:tc>
        <w:tc>
          <w:tcPr>
            <w:tcW w:type="dxa" w:w="1746"/>
          </w:tcPr>
          <w:p>
            <w:pPr>
              <w:spacing w:after="20" w:line="240" w:lineRule="auto"/>
            </w:pPr>
            <w:r>
              <w:rPr>
                <w:sz w:val="18"/>
              </w:rPr>
            </w:r>
            <w:r>
              <w:rPr>
                <w:sz w:val="18"/>
              </w:rPr>
              <w:t>Database access</w:t>
            </w:r>
          </w:p>
        </w:tc>
        <w:tc>
          <w:tcPr>
            <w:tcW w:type="dxa" w:w="6985"/>
          </w:tcPr>
          <w:p>
            <w:pPr>
              <w:spacing w:after="20" w:line="240" w:lineRule="auto"/>
            </w:pPr>
            <w:r>
              <w:rPr>
                <w:sz w:val="18"/>
              </w:rPr>
            </w:r>
            <w:r>
              <w:rPr>
                <w:sz w:val="18"/>
              </w:rPr>
              <w:t>Natural-language analytics over Postgres, SQL Server, Oracle, Snowflake and others, read-only by default, with schema-aware text-to-SQL and safety guards.</w:t>
            </w:r>
          </w:p>
        </w:tc>
      </w:tr>
      <w:tr>
        <w:trPr>
          <w:cantSplit w:val="true"/>
        </w:trPr>
        <w:tc>
          <w:tcPr>
            <w:tcW w:type="dxa" w:w="582"/>
            <w:shd w:val="clear" w:color="auto" w:fill="F2F6FA"/>
          </w:tcPr>
          <w:p>
            <w:pPr>
              <w:spacing w:after="20" w:line="240" w:lineRule="auto"/>
            </w:pPr>
            <w:r>
              <w:rPr>
                <w:b/>
                <w:sz w:val="18"/>
              </w:rPr>
            </w:r>
            <w:r>
              <w:rPr>
                <w:b/>
                <w:sz w:val="18"/>
              </w:rPr>
              <w:t>F6</w:t>
            </w:r>
          </w:p>
        </w:tc>
        <w:tc>
          <w:tcPr>
            <w:tcW w:type="dxa" w:w="1746"/>
            <w:shd w:val="clear" w:color="auto" w:fill="F2F6FA"/>
          </w:tcPr>
          <w:p>
            <w:pPr>
              <w:spacing w:after="20" w:line="240" w:lineRule="auto"/>
            </w:pPr>
            <w:r>
              <w:rPr>
                <w:sz w:val="18"/>
              </w:rPr>
            </w:r>
            <w:r>
              <w:rPr>
                <w:sz w:val="18"/>
              </w:rPr>
              <w:t>Code execution</w:t>
            </w:r>
          </w:p>
        </w:tc>
        <w:tc>
          <w:tcPr>
            <w:tcW w:type="dxa" w:w="6985"/>
            <w:shd w:val="clear" w:color="auto" w:fill="F2F6FA"/>
          </w:tcPr>
          <w:p>
            <w:pPr>
              <w:spacing w:after="20" w:line="240" w:lineRule="auto"/>
            </w:pPr>
            <w:r>
              <w:rPr>
                <w:sz w:val="18"/>
              </w:rPr>
            </w:r>
            <w:r>
              <w:rPr>
                <w:sz w:val="18"/>
              </w:rPr>
              <w:t>Run Python (and optionally Node, shell) in an isolated sandbox with common data libraries; persistent per-session workspace; produce files and charts.</w:t>
            </w:r>
          </w:p>
        </w:tc>
      </w:tr>
      <w:tr>
        <w:trPr>
          <w:cantSplit w:val="true"/>
        </w:trPr>
        <w:tc>
          <w:tcPr>
            <w:tcW w:type="dxa" w:w="582"/>
          </w:tcPr>
          <w:p>
            <w:pPr>
              <w:spacing w:after="20" w:line="240" w:lineRule="auto"/>
            </w:pPr>
            <w:r>
              <w:rPr>
                <w:b/>
                <w:sz w:val="18"/>
              </w:rPr>
            </w:r>
            <w:r>
              <w:rPr>
                <w:b/>
                <w:sz w:val="18"/>
              </w:rPr>
              <w:t>F7</w:t>
            </w:r>
          </w:p>
        </w:tc>
        <w:tc>
          <w:tcPr>
            <w:tcW w:type="dxa" w:w="1746"/>
          </w:tcPr>
          <w:p>
            <w:pPr>
              <w:spacing w:after="20" w:line="240" w:lineRule="auto"/>
            </w:pPr>
            <w:r>
              <w:rPr>
                <w:sz w:val="18"/>
              </w:rPr>
            </w:r>
            <w:r>
              <w:rPr>
                <w:sz w:val="18"/>
              </w:rPr>
              <w:t>Browser automation</w:t>
            </w:r>
          </w:p>
        </w:tc>
        <w:tc>
          <w:tcPr>
            <w:tcW w:type="dxa" w:w="6985"/>
          </w:tcPr>
          <w:p>
            <w:pPr>
              <w:spacing w:after="20" w:line="240" w:lineRule="auto"/>
            </w:pPr>
            <w:r>
              <w:rPr>
                <w:sz w:val="18"/>
              </w:rPr>
            </w:r>
            <w:r>
              <w:rPr>
                <w:sz w:val="18"/>
              </w:rPr>
              <w:t>Headless browser for intranet and allowlisted internet sites: navigate, read, fill forms (approval-gated for submissions), take screenshots.</w:t>
            </w:r>
          </w:p>
        </w:tc>
      </w:tr>
      <w:tr>
        <w:trPr>
          <w:cantSplit w:val="true"/>
        </w:trPr>
        <w:tc>
          <w:tcPr>
            <w:tcW w:type="dxa" w:w="582"/>
            <w:shd w:val="clear" w:color="auto" w:fill="F2F6FA"/>
          </w:tcPr>
          <w:p>
            <w:pPr>
              <w:spacing w:after="20" w:line="240" w:lineRule="auto"/>
            </w:pPr>
            <w:r>
              <w:rPr>
                <w:b/>
                <w:sz w:val="18"/>
              </w:rPr>
            </w:r>
            <w:r>
              <w:rPr>
                <w:b/>
                <w:sz w:val="18"/>
              </w:rPr>
              <w:t>F8</w:t>
            </w:r>
          </w:p>
        </w:tc>
        <w:tc>
          <w:tcPr>
            <w:tcW w:type="dxa" w:w="1746"/>
            <w:shd w:val="clear" w:color="auto" w:fill="F2F6FA"/>
          </w:tcPr>
          <w:p>
            <w:pPr>
              <w:spacing w:after="20" w:line="240" w:lineRule="auto"/>
            </w:pPr>
            <w:r>
              <w:rPr>
                <w:sz w:val="18"/>
              </w:rPr>
            </w:r>
            <w:r>
              <w:rPr>
                <w:sz w:val="18"/>
              </w:rPr>
              <w:t>Memory</w:t>
            </w:r>
          </w:p>
        </w:tc>
        <w:tc>
          <w:tcPr>
            <w:tcW w:type="dxa" w:w="6985"/>
            <w:shd w:val="clear" w:color="auto" w:fill="F2F6FA"/>
          </w:tcPr>
          <w:p>
            <w:pPr>
              <w:spacing w:after="20" w:line="240" w:lineRule="auto"/>
            </w:pPr>
            <w:r>
              <w:rPr>
                <w:sz w:val="18"/>
              </w:rPr>
            </w:r>
            <w:r>
              <w:rPr>
                <w:sz w:val="18"/>
              </w:rPr>
              <w:t>Session state; long-term per-user and per-agent memory (preferences, facts), team/shared memory; user-visible and editable; retention controls.</w:t>
            </w:r>
          </w:p>
        </w:tc>
      </w:tr>
      <w:tr>
        <w:trPr>
          <w:cantSplit w:val="true"/>
        </w:trPr>
        <w:tc>
          <w:tcPr>
            <w:tcW w:type="dxa" w:w="582"/>
          </w:tcPr>
          <w:p>
            <w:pPr>
              <w:spacing w:after="20" w:line="240" w:lineRule="auto"/>
            </w:pPr>
            <w:r>
              <w:rPr>
                <w:b/>
                <w:sz w:val="18"/>
              </w:rPr>
            </w:r>
            <w:r>
              <w:rPr>
                <w:b/>
                <w:sz w:val="18"/>
              </w:rPr>
              <w:t>F9</w:t>
            </w:r>
          </w:p>
        </w:tc>
        <w:tc>
          <w:tcPr>
            <w:tcW w:type="dxa" w:w="1746"/>
          </w:tcPr>
          <w:p>
            <w:pPr>
              <w:spacing w:after="20" w:line="240" w:lineRule="auto"/>
            </w:pPr>
            <w:r>
              <w:rPr>
                <w:sz w:val="18"/>
              </w:rPr>
            </w:r>
            <w:r>
              <w:rPr>
                <w:sz w:val="18"/>
              </w:rPr>
              <w:t>Routines</w:t>
            </w:r>
          </w:p>
        </w:tc>
        <w:tc>
          <w:tcPr>
            <w:tcW w:type="dxa" w:w="6985"/>
          </w:tcPr>
          <w:p>
            <w:pPr>
              <w:spacing w:after="20" w:line="240" w:lineRule="auto"/>
            </w:pPr>
            <w:r>
              <w:rPr>
                <w:sz w:val="18"/>
              </w:rPr>
            </w:r>
            <w:r>
              <w:rPr>
                <w:sz w:val="18"/>
              </w:rPr>
              <w:t>Scheduled (cron) and event-driven runs (webhook, Slack message, email, DB change, file arrival) executing agent instructions with delivery to a channel.</w:t>
            </w:r>
          </w:p>
        </w:tc>
      </w:tr>
      <w:tr>
        <w:trPr>
          <w:cantSplit w:val="true"/>
        </w:trPr>
        <w:tc>
          <w:tcPr>
            <w:tcW w:type="dxa" w:w="582"/>
            <w:shd w:val="clear" w:color="auto" w:fill="F2F6FA"/>
          </w:tcPr>
          <w:p>
            <w:pPr>
              <w:spacing w:after="20" w:line="240" w:lineRule="auto"/>
            </w:pPr>
            <w:r>
              <w:rPr>
                <w:b/>
                <w:sz w:val="18"/>
              </w:rPr>
            </w:r>
            <w:r>
              <w:rPr>
                <w:b/>
                <w:sz w:val="18"/>
              </w:rPr>
              <w:t>F10</w:t>
            </w:r>
          </w:p>
        </w:tc>
        <w:tc>
          <w:tcPr>
            <w:tcW w:type="dxa" w:w="1746"/>
            <w:shd w:val="clear" w:color="auto" w:fill="F2F6FA"/>
          </w:tcPr>
          <w:p>
            <w:pPr>
              <w:spacing w:after="20" w:line="240" w:lineRule="auto"/>
            </w:pPr>
            <w:r>
              <w:rPr>
                <w:sz w:val="18"/>
              </w:rPr>
            </w:r>
            <w:r>
              <w:rPr>
                <w:sz w:val="18"/>
              </w:rPr>
              <w:t>File generation</w:t>
            </w:r>
          </w:p>
        </w:tc>
        <w:tc>
          <w:tcPr>
            <w:tcW w:type="dxa" w:w="6985"/>
            <w:shd w:val="clear" w:color="auto" w:fill="F2F6FA"/>
          </w:tcPr>
          <w:p>
            <w:pPr>
              <w:spacing w:after="20" w:line="240" w:lineRule="auto"/>
            </w:pPr>
            <w:r>
              <w:rPr>
                <w:sz w:val="18"/>
              </w:rPr>
            </w:r>
            <w:r>
              <w:rPr>
                <w:sz w:val="18"/>
              </w:rPr>
              <w:t>Generate DOCX, XLSX, PPTX, PDF, CSV, charts and images from sandbox code; store as artefacts with download links and retention.</w:t>
            </w:r>
          </w:p>
        </w:tc>
      </w:tr>
      <w:tr>
        <w:trPr>
          <w:cantSplit w:val="true"/>
        </w:trPr>
        <w:tc>
          <w:tcPr>
            <w:tcW w:type="dxa" w:w="582"/>
          </w:tcPr>
          <w:p>
            <w:pPr>
              <w:spacing w:after="20" w:line="240" w:lineRule="auto"/>
            </w:pPr>
            <w:r>
              <w:rPr>
                <w:b/>
                <w:sz w:val="18"/>
              </w:rPr>
            </w:r>
            <w:r>
              <w:rPr>
                <w:b/>
                <w:sz w:val="18"/>
              </w:rPr>
              <w:t>F11</w:t>
            </w:r>
          </w:p>
        </w:tc>
        <w:tc>
          <w:tcPr>
            <w:tcW w:type="dxa" w:w="1746"/>
          </w:tcPr>
          <w:p>
            <w:pPr>
              <w:spacing w:after="20" w:line="240" w:lineRule="auto"/>
            </w:pPr>
            <w:r>
              <w:rPr>
                <w:sz w:val="18"/>
              </w:rPr>
            </w:r>
            <w:r>
              <w:rPr>
                <w:sz w:val="18"/>
              </w:rPr>
              <w:t>Integrations and channels</w:t>
            </w:r>
          </w:p>
        </w:tc>
        <w:tc>
          <w:tcPr>
            <w:tcW w:type="dxa" w:w="6985"/>
          </w:tcPr>
          <w:p>
            <w:pPr>
              <w:spacing w:after="20" w:line="240" w:lineRule="auto"/>
            </w:pPr>
            <w:r>
              <w:rPr>
                <w:sz w:val="18"/>
              </w:rPr>
            </w:r>
            <w:r>
              <w:rPr>
                <w:sz w:val="18"/>
              </w:rPr>
              <w:t>Slack and Microsoft Teams bots (DMs, mentions, threads, approval buttons), email in/out, REST/SSE API and SDK, embeddable widget.</w:t>
            </w:r>
          </w:p>
        </w:tc>
      </w:tr>
      <w:tr>
        <w:trPr>
          <w:cantSplit w:val="true"/>
        </w:trPr>
        <w:tc>
          <w:tcPr>
            <w:tcW w:type="dxa" w:w="582"/>
            <w:shd w:val="clear" w:color="auto" w:fill="F2F6FA"/>
          </w:tcPr>
          <w:p>
            <w:pPr>
              <w:spacing w:after="20" w:line="240" w:lineRule="auto"/>
            </w:pPr>
            <w:r>
              <w:rPr>
                <w:b/>
                <w:sz w:val="18"/>
              </w:rPr>
            </w:r>
            <w:r>
              <w:rPr>
                <w:b/>
                <w:sz w:val="18"/>
              </w:rPr>
              <w:t>F12</w:t>
            </w:r>
          </w:p>
        </w:tc>
        <w:tc>
          <w:tcPr>
            <w:tcW w:type="dxa" w:w="1746"/>
            <w:shd w:val="clear" w:color="auto" w:fill="F2F6FA"/>
          </w:tcPr>
          <w:p>
            <w:pPr>
              <w:spacing w:after="20" w:line="240" w:lineRule="auto"/>
            </w:pPr>
            <w:r>
              <w:rPr>
                <w:sz w:val="18"/>
              </w:rPr>
            </w:r>
            <w:r>
              <w:rPr>
                <w:sz w:val="18"/>
              </w:rPr>
              <w:t>Human-in-the-loop</w:t>
            </w:r>
          </w:p>
        </w:tc>
        <w:tc>
          <w:tcPr>
            <w:tcW w:type="dxa" w:w="6985"/>
            <w:shd w:val="clear" w:color="auto" w:fill="F2F6FA"/>
          </w:tcPr>
          <w:p>
            <w:pPr>
              <w:spacing w:after="20" w:line="240" w:lineRule="auto"/>
            </w:pPr>
            <w:r>
              <w:rPr>
                <w:sz w:val="18"/>
              </w:rPr>
            </w:r>
            <w:r>
              <w:rPr>
                <w:sz w:val="18"/>
              </w:rPr>
              <w:t>Approval requests for risky actions, with exact-argument previews, delegation of approvers, timeouts and audit.</w:t>
            </w:r>
          </w:p>
        </w:tc>
      </w:tr>
      <w:tr>
        <w:trPr>
          <w:cantSplit w:val="true"/>
        </w:trPr>
        <w:tc>
          <w:tcPr>
            <w:tcW w:type="dxa" w:w="582"/>
          </w:tcPr>
          <w:p>
            <w:pPr>
              <w:spacing w:after="20" w:line="240" w:lineRule="auto"/>
            </w:pPr>
            <w:r>
              <w:rPr>
                <w:b/>
                <w:sz w:val="18"/>
              </w:rPr>
            </w:r>
            <w:r>
              <w:rPr>
                <w:b/>
                <w:sz w:val="18"/>
              </w:rPr>
              <w:t>F13</w:t>
            </w:r>
          </w:p>
        </w:tc>
        <w:tc>
          <w:tcPr>
            <w:tcW w:type="dxa" w:w="1746"/>
          </w:tcPr>
          <w:p>
            <w:pPr>
              <w:spacing w:after="20" w:line="240" w:lineRule="auto"/>
            </w:pPr>
            <w:r>
              <w:rPr>
                <w:sz w:val="18"/>
              </w:rPr>
            </w:r>
            <w:r>
              <w:rPr>
                <w:sz w:val="18"/>
              </w:rPr>
              <w:t>Administration</w:t>
            </w:r>
          </w:p>
        </w:tc>
        <w:tc>
          <w:tcPr>
            <w:tcW w:type="dxa" w:w="6985"/>
          </w:tcPr>
          <w:p>
            <w:pPr>
              <w:spacing w:after="20" w:line="240" w:lineRule="auto"/>
            </w:pPr>
            <w:r>
              <w:rPr>
                <w:sz w:val="18"/>
              </w:rPr>
            </w:r>
            <w:r>
              <w:rPr>
                <w:sz w:val="18"/>
              </w:rPr>
              <w:t>Agent, tool, model and policy management; quotas; usage dashboards; tenant and team administration; kill switches per tool, agent and model.</w:t>
            </w:r>
          </w:p>
        </w:tc>
      </w:tr>
    </w:tbl>
    <w:p>
      <w:pPr>
        <w:spacing w:after="80"/>
      </w:pPr>
    </w:p>
    <w:p>
      <w:pPr>
        <w:pStyle w:val="Heading2"/>
      </w:pPr>
      <w:r>
        <w:t>2.2 Non-functional requirements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629"/>
        <w:gridCol w:w="7683"/>
      </w:tblGrid>
      <w:tr>
        <w:trPr>
          <w:tblHeader w:val="true"/>
        </w:trPr>
        <w:tc>
          <w:tcPr>
            <w:tcW w:type="dxa" w:w="1629"/>
            <w:shd w:val="clear" w:color="auto" w:fill="1F4E79"/>
          </w:tcPr>
          <w:p>
            <w:r/>
            <w:r>
              <w:rPr>
                <w:b/>
                <w:color w:val="FFFFFF"/>
                <w:sz w:val="18"/>
              </w:rPr>
              <w:t>Area</w:t>
            </w:r>
          </w:p>
        </w:tc>
        <w:tc>
          <w:tcPr>
            <w:tcW w:type="dxa" w:w="7683"/>
            <w:shd w:val="clear" w:color="auto" w:fill="1F4E79"/>
          </w:tcPr>
          <w:p>
            <w:r/>
            <w:r>
              <w:rPr>
                <w:b/>
                <w:color w:val="FFFFFF"/>
                <w:sz w:val="18"/>
              </w:rPr>
              <w:t>Requirement (initial targets, to be confirmed)</w:t>
            </w:r>
          </w:p>
        </w:tc>
      </w:tr>
      <w:tr>
        <w:trPr>
          <w:cantSplit w:val="true"/>
        </w:trPr>
        <w:tc>
          <w:tcPr>
            <w:tcW w:type="dxa" w:w="1629"/>
          </w:tcPr>
          <w:p>
            <w:pPr>
              <w:spacing w:after="20" w:line="240" w:lineRule="auto"/>
            </w:pPr>
            <w:r>
              <w:rPr>
                <w:b/>
                <w:sz w:val="18"/>
              </w:rPr>
            </w:r>
            <w:r>
              <w:rPr>
                <w:b/>
                <w:sz w:val="18"/>
              </w:rPr>
              <w:t>Data residency</w:t>
            </w:r>
          </w:p>
        </w:tc>
        <w:tc>
          <w:tcPr>
            <w:tcW w:type="dxa" w:w="7683"/>
          </w:tcPr>
          <w:p>
            <w:pPr>
              <w:spacing w:after="20" w:line="240" w:lineRule="auto"/>
            </w:pPr>
            <w:r>
              <w:rPr>
                <w:sz w:val="18"/>
              </w:rPr>
            </w:r>
            <w:r>
              <w:rPr>
                <w:sz w:val="18"/>
              </w:rPr>
              <w:t>All processing and storage on company infrastructure in approved locations (for Indian operations, consider DPDP Act 2023 obligations and any sector rules such as RBI or SEBI guidance). No external model APIs. Internet egress only via proxy allowlist; model weights mirrored internally.</w:t>
            </w:r>
          </w:p>
        </w:tc>
      </w:tr>
      <w:tr>
        <w:trPr>
          <w:cantSplit w:val="true"/>
        </w:trPr>
        <w:tc>
          <w:tcPr>
            <w:tcW w:type="dxa" w:w="1629"/>
            <w:shd w:val="clear" w:color="auto" w:fill="F2F6FA"/>
          </w:tcPr>
          <w:p>
            <w:pPr>
              <w:spacing w:after="20" w:line="240" w:lineRule="auto"/>
            </w:pPr>
            <w:r>
              <w:rPr>
                <w:b/>
                <w:sz w:val="18"/>
              </w:rPr>
            </w:r>
            <w:r>
              <w:rPr>
                <w:b/>
                <w:sz w:val="18"/>
              </w:rPr>
              <w:t>Security</w:t>
            </w:r>
          </w:p>
        </w:tc>
        <w:tc>
          <w:tcPr>
            <w:tcW w:type="dxa" w:w="7683"/>
            <w:shd w:val="clear" w:color="auto" w:fill="F2F6FA"/>
          </w:tcPr>
          <w:p>
            <w:pPr>
              <w:spacing w:after="20" w:line="240" w:lineRule="auto"/>
            </w:pPr>
            <w:r>
              <w:rPr>
                <w:sz w:val="18"/>
              </w:rPr>
            </w:r>
            <w:r>
              <w:rPr>
                <w:sz w:val="18"/>
              </w:rPr>
              <w:t>Zero-trust networking (mTLS between services), encryption in transit and at rest, secrets in Vault, sandbox isolation stronger than plain containers, prompt-injection defences, signed artefacts and images, regular red-teaming.</w:t>
            </w:r>
          </w:p>
        </w:tc>
      </w:tr>
      <w:tr>
        <w:trPr>
          <w:cantSplit w:val="true"/>
        </w:trPr>
        <w:tc>
          <w:tcPr>
            <w:tcW w:type="dxa" w:w="1629"/>
          </w:tcPr>
          <w:p>
            <w:pPr>
              <w:spacing w:after="20" w:line="240" w:lineRule="auto"/>
            </w:pPr>
            <w:r>
              <w:rPr>
                <w:b/>
                <w:sz w:val="18"/>
              </w:rPr>
            </w:r>
            <w:r>
              <w:rPr>
                <w:b/>
                <w:sz w:val="18"/>
              </w:rPr>
              <w:t>Multi-tenancy</w:t>
            </w:r>
          </w:p>
        </w:tc>
        <w:tc>
          <w:tcPr>
            <w:tcW w:type="dxa" w:w="7683"/>
          </w:tcPr>
          <w:p>
            <w:pPr>
              <w:spacing w:after="20" w:line="240" w:lineRule="auto"/>
            </w:pPr>
            <w:r>
              <w:rPr>
                <w:sz w:val="18"/>
              </w:rPr>
            </w:r>
            <w:r>
              <w:rPr>
                <w:sz w:val="18"/>
              </w:rPr>
              <w:t>Logical isolation by tenant (business unit / subsidiary) and team: separate data partitions, quotas, policies and keys; optional hard isolation (separate namespaces or clusters) for regulated tenants.</w:t>
            </w:r>
          </w:p>
        </w:tc>
      </w:tr>
      <w:tr>
        <w:trPr>
          <w:cantSplit w:val="true"/>
        </w:trPr>
        <w:tc>
          <w:tcPr>
            <w:tcW w:type="dxa" w:w="1629"/>
            <w:shd w:val="clear" w:color="auto" w:fill="F2F6FA"/>
          </w:tcPr>
          <w:p>
            <w:pPr>
              <w:spacing w:after="20" w:line="240" w:lineRule="auto"/>
            </w:pPr>
            <w:r>
              <w:rPr>
                <w:b/>
                <w:sz w:val="18"/>
              </w:rPr>
            </w:r>
            <w:r>
              <w:rPr>
                <w:b/>
                <w:sz w:val="18"/>
              </w:rPr>
              <w:t>Scalability</w:t>
            </w:r>
          </w:p>
        </w:tc>
        <w:tc>
          <w:tcPr>
            <w:tcW w:type="dxa" w:w="7683"/>
            <w:shd w:val="clear" w:color="auto" w:fill="F2F6FA"/>
          </w:tcPr>
          <w:p>
            <w:pPr>
              <w:spacing w:after="20" w:line="240" w:lineRule="auto"/>
            </w:pPr>
            <w:r>
              <w:rPr>
                <w:sz w:val="18"/>
              </w:rPr>
            </w:r>
            <w:r>
              <w:rPr>
                <w:sz w:val="18"/>
              </w:rPr>
              <w:t>Pilot 100 to 300 users; production 1,000 to 5,000; design headroom to 20,000+. Horizontal scaling of stateless services; GPU pools scale by replica.</w:t>
            </w:r>
          </w:p>
        </w:tc>
      </w:tr>
      <w:tr>
        <w:trPr>
          <w:cantSplit w:val="true"/>
        </w:trPr>
        <w:tc>
          <w:tcPr>
            <w:tcW w:type="dxa" w:w="1629"/>
          </w:tcPr>
          <w:p>
            <w:pPr>
              <w:spacing w:after="20" w:line="240" w:lineRule="auto"/>
            </w:pPr>
            <w:r>
              <w:rPr>
                <w:b/>
                <w:sz w:val="18"/>
              </w:rPr>
            </w:r>
            <w:r>
              <w:rPr>
                <w:b/>
                <w:sz w:val="18"/>
              </w:rPr>
              <w:t>Latency</w:t>
            </w:r>
          </w:p>
        </w:tc>
        <w:tc>
          <w:tcPr>
            <w:tcW w:type="dxa" w:w="7683"/>
          </w:tcPr>
          <w:p>
            <w:pPr>
              <w:spacing w:after="20" w:line="240" w:lineRule="auto"/>
            </w:pPr>
            <w:r>
              <w:rPr>
                <w:sz w:val="18"/>
              </w:rPr>
            </w:r>
            <w:r>
              <w:rPr>
                <w:sz w:val="18"/>
              </w:rPr>
              <w:t>Time-to-first-token p50 under 1.5 s and p95 under 4 s for the chat model at target load; simple RAG answer end-to-end p95 under 10 s; tool call overhead under 300 ms excluding the tool itself.</w:t>
            </w:r>
          </w:p>
        </w:tc>
      </w:tr>
      <w:tr>
        <w:trPr>
          <w:cantSplit w:val="true"/>
        </w:trPr>
        <w:tc>
          <w:tcPr>
            <w:tcW w:type="dxa" w:w="1629"/>
            <w:shd w:val="clear" w:color="auto" w:fill="F2F6FA"/>
          </w:tcPr>
          <w:p>
            <w:pPr>
              <w:spacing w:after="20" w:line="240" w:lineRule="auto"/>
            </w:pPr>
            <w:r>
              <w:rPr>
                <w:b/>
                <w:sz w:val="18"/>
              </w:rPr>
            </w:r>
            <w:r>
              <w:rPr>
                <w:b/>
                <w:sz w:val="18"/>
              </w:rPr>
              <w:t>Throughput</w:t>
            </w:r>
          </w:p>
        </w:tc>
        <w:tc>
          <w:tcPr>
            <w:tcW w:type="dxa" w:w="7683"/>
            <w:shd w:val="clear" w:color="auto" w:fill="F2F6FA"/>
          </w:tcPr>
          <w:p>
            <w:pPr>
              <w:spacing w:after="20" w:line="240" w:lineRule="auto"/>
            </w:pPr>
            <w:r>
              <w:rPr>
                <w:sz w:val="18"/>
              </w:rPr>
            </w:r>
            <w:r>
              <w:rPr>
                <w:sz w:val="18"/>
              </w:rPr>
              <w:t>Size for peak concurrent active sessions of roughly 3 to 5 percent of named users, each agent turn averaging 3 to 10 model calls (assumption, refine from pilot telemetry).</w:t>
            </w:r>
          </w:p>
        </w:tc>
      </w:tr>
      <w:tr>
        <w:trPr>
          <w:cantSplit w:val="true"/>
        </w:trPr>
        <w:tc>
          <w:tcPr>
            <w:tcW w:type="dxa" w:w="1629"/>
          </w:tcPr>
          <w:p>
            <w:pPr>
              <w:spacing w:after="20" w:line="240" w:lineRule="auto"/>
            </w:pPr>
            <w:r>
              <w:rPr>
                <w:b/>
                <w:sz w:val="18"/>
              </w:rPr>
            </w:r>
            <w:r>
              <w:rPr>
                <w:b/>
                <w:sz w:val="18"/>
              </w:rPr>
              <w:t>Availability</w:t>
            </w:r>
          </w:p>
        </w:tc>
        <w:tc>
          <w:tcPr>
            <w:tcW w:type="dxa" w:w="7683"/>
          </w:tcPr>
          <w:p>
            <w:pPr>
              <w:spacing w:after="20" w:line="240" w:lineRule="auto"/>
            </w:pPr>
            <w:r>
              <w:rPr>
                <w:sz w:val="18"/>
              </w:rPr>
            </w:r>
            <w:r>
              <w:rPr>
                <w:sz w:val="18"/>
              </w:rPr>
              <w:t>Chat and API 99.5 percent in pilot, 99.9 percent in production (business hours critical); routines at-least-once with idempotency; graceful degradation to small model if large pool is unavailable.</w:t>
            </w:r>
          </w:p>
        </w:tc>
      </w:tr>
      <w:tr>
        <w:trPr>
          <w:cantSplit w:val="true"/>
        </w:trPr>
        <w:tc>
          <w:tcPr>
            <w:tcW w:type="dxa" w:w="1629"/>
            <w:shd w:val="clear" w:color="auto" w:fill="F2F6FA"/>
          </w:tcPr>
          <w:p>
            <w:pPr>
              <w:spacing w:after="20" w:line="240" w:lineRule="auto"/>
            </w:pPr>
            <w:r>
              <w:rPr>
                <w:b/>
                <w:sz w:val="18"/>
              </w:rPr>
            </w:r>
            <w:r>
              <w:rPr>
                <w:b/>
                <w:sz w:val="18"/>
              </w:rPr>
              <w:t>Durability / DR</w:t>
            </w:r>
          </w:p>
        </w:tc>
        <w:tc>
          <w:tcPr>
            <w:tcW w:type="dxa" w:w="7683"/>
            <w:shd w:val="clear" w:color="auto" w:fill="F2F6FA"/>
          </w:tcPr>
          <w:p>
            <w:pPr>
              <w:spacing w:after="20" w:line="240" w:lineRule="auto"/>
            </w:pPr>
            <w:r>
              <w:rPr>
                <w:sz w:val="18"/>
              </w:rPr>
            </w:r>
            <w:r>
              <w:rPr>
                <w:sz w:val="18"/>
              </w:rPr>
              <w:t>RPO 15 minutes or better for conversations and audit; RTO 4 hours for full service, 1 hour for chat with reduced capacity.</w:t>
            </w:r>
          </w:p>
        </w:tc>
      </w:tr>
      <w:tr>
        <w:trPr>
          <w:cantSplit w:val="true"/>
        </w:trPr>
        <w:tc>
          <w:tcPr>
            <w:tcW w:type="dxa" w:w="1629"/>
          </w:tcPr>
          <w:p>
            <w:pPr>
              <w:spacing w:after="20" w:line="240" w:lineRule="auto"/>
            </w:pPr>
            <w:r>
              <w:rPr>
                <w:b/>
                <w:sz w:val="18"/>
              </w:rPr>
            </w:r>
            <w:r>
              <w:rPr>
                <w:b/>
                <w:sz w:val="18"/>
              </w:rPr>
              <w:t>Cost</w:t>
            </w:r>
          </w:p>
        </w:tc>
        <w:tc>
          <w:tcPr>
            <w:tcW w:type="dxa" w:w="7683"/>
          </w:tcPr>
          <w:p>
            <w:pPr>
              <w:spacing w:after="20" w:line="240" w:lineRule="auto"/>
            </w:pPr>
            <w:r>
              <w:rPr>
                <w:sz w:val="18"/>
              </w:rPr>
            </w:r>
            <w:r>
              <w:rPr>
                <w:sz w:val="18"/>
              </w:rPr>
              <w:t>Per-team cost attribution (GPU-seconds and tokens); quotas and budgets; target high GPU utilisation through batching, quantisation and routing to small models.</w:t>
            </w:r>
          </w:p>
        </w:tc>
      </w:tr>
      <w:tr>
        <w:trPr>
          <w:cantSplit w:val="true"/>
        </w:trPr>
        <w:tc>
          <w:tcPr>
            <w:tcW w:type="dxa" w:w="1629"/>
            <w:shd w:val="clear" w:color="auto" w:fill="F2F6FA"/>
          </w:tcPr>
          <w:p>
            <w:pPr>
              <w:spacing w:after="20" w:line="240" w:lineRule="auto"/>
            </w:pPr>
            <w:r>
              <w:rPr>
                <w:b/>
                <w:sz w:val="18"/>
              </w:rPr>
            </w:r>
            <w:r>
              <w:rPr>
                <w:b/>
                <w:sz w:val="18"/>
              </w:rPr>
              <w:t>Auditability</w:t>
            </w:r>
          </w:p>
        </w:tc>
        <w:tc>
          <w:tcPr>
            <w:tcW w:type="dxa" w:w="7683"/>
            <w:shd w:val="clear" w:color="auto" w:fill="F2F6FA"/>
          </w:tcPr>
          <w:p>
            <w:pPr>
              <w:spacing w:after="20" w:line="240" w:lineRule="auto"/>
            </w:pPr>
            <w:r>
              <w:rPr>
                <w:sz w:val="18"/>
              </w:rPr>
            </w:r>
            <w:r>
              <w:rPr>
                <w:sz w:val="18"/>
              </w:rPr>
              <w:t>Immutable, tamper-evident record of every prompt, tool call, approval, data access and admin change, retained per policy (e.g. 1 to 7 years), exportable to the SIEM.</w:t>
            </w:r>
          </w:p>
        </w:tc>
      </w:tr>
      <w:tr>
        <w:trPr>
          <w:cantSplit w:val="true"/>
        </w:trPr>
        <w:tc>
          <w:tcPr>
            <w:tcW w:type="dxa" w:w="1629"/>
          </w:tcPr>
          <w:p>
            <w:pPr>
              <w:spacing w:after="20" w:line="240" w:lineRule="auto"/>
            </w:pPr>
            <w:r>
              <w:rPr>
                <w:b/>
                <w:sz w:val="18"/>
              </w:rPr>
            </w:r>
            <w:r>
              <w:rPr>
                <w:b/>
                <w:sz w:val="18"/>
              </w:rPr>
              <w:t>Privacy</w:t>
            </w:r>
          </w:p>
        </w:tc>
        <w:tc>
          <w:tcPr>
            <w:tcW w:type="dxa" w:w="7683"/>
          </w:tcPr>
          <w:p>
            <w:pPr>
              <w:spacing w:after="20" w:line="240" w:lineRule="auto"/>
            </w:pPr>
            <w:r>
              <w:rPr>
                <w:sz w:val="18"/>
              </w:rPr>
            </w:r>
            <w:r>
              <w:rPr>
                <w:sz w:val="18"/>
              </w:rPr>
              <w:t>PII detection and redaction in logs and traces; data-minimisation; right-to-erasure workflow covering memory and conversations.</w:t>
            </w:r>
          </w:p>
        </w:tc>
      </w:tr>
      <w:tr>
        <w:trPr>
          <w:cantSplit w:val="true"/>
        </w:trPr>
        <w:tc>
          <w:tcPr>
            <w:tcW w:type="dxa" w:w="1629"/>
            <w:shd w:val="clear" w:color="auto" w:fill="F2F6FA"/>
          </w:tcPr>
          <w:p>
            <w:pPr>
              <w:spacing w:after="20" w:line="240" w:lineRule="auto"/>
            </w:pPr>
            <w:r>
              <w:rPr>
                <w:b/>
                <w:sz w:val="18"/>
              </w:rPr>
            </w:r>
            <w:r>
              <w:rPr>
                <w:b/>
                <w:sz w:val="18"/>
              </w:rPr>
              <w:t>Operability</w:t>
            </w:r>
          </w:p>
        </w:tc>
        <w:tc>
          <w:tcPr>
            <w:tcW w:type="dxa" w:w="7683"/>
            <w:shd w:val="clear" w:color="auto" w:fill="F2F6FA"/>
          </w:tcPr>
          <w:p>
            <w:pPr>
              <w:spacing w:after="20" w:line="240" w:lineRule="auto"/>
            </w:pPr>
            <w:r>
              <w:rPr>
                <w:sz w:val="18"/>
              </w:rPr>
            </w:r>
            <w:r>
              <w:rPr>
                <w:sz w:val="18"/>
              </w:rPr>
              <w:t>GitOps deployment, infrastructure as code, SLO-based alerting, runbooks; zero-downtime upgrades of services and models (blue/green).</w:t>
            </w:r>
          </w:p>
        </w:tc>
      </w:tr>
      <w:tr>
        <w:trPr>
          <w:cantSplit w:val="true"/>
        </w:trPr>
        <w:tc>
          <w:tcPr>
            <w:tcW w:type="dxa" w:w="1629"/>
          </w:tcPr>
          <w:p>
            <w:pPr>
              <w:spacing w:after="20" w:line="240" w:lineRule="auto"/>
            </w:pPr>
            <w:r>
              <w:rPr>
                <w:b/>
                <w:sz w:val="18"/>
              </w:rPr>
            </w:r>
            <w:r>
              <w:rPr>
                <w:b/>
                <w:sz w:val="18"/>
              </w:rPr>
              <w:t>Accessibility / i18n</w:t>
            </w:r>
          </w:p>
        </w:tc>
        <w:tc>
          <w:tcPr>
            <w:tcW w:type="dxa" w:w="7683"/>
          </w:tcPr>
          <w:p>
            <w:pPr>
              <w:spacing w:after="20" w:line="240" w:lineRule="auto"/>
            </w:pPr>
            <w:r>
              <w:rPr>
                <w:sz w:val="18"/>
              </w:rPr>
            </w:r>
            <w:r>
              <w:rPr>
                <w:sz w:val="18"/>
              </w:rPr>
              <w:t>WCAG 2.1 AA web UI; multilingual support (English plus Indian languages as required, subject to model capability).</w:t>
            </w:r>
          </w:p>
        </w:tc>
      </w:tr>
    </w:tbl>
    <w:p>
      <w:pPr>
        <w:spacing w:after="80"/>
      </w:pPr>
    </w:p>
    <w:p>
      <w:pPr>
        <w:spacing w:after="0"/>
      </w:pPr>
      <w:r>
        <w:br w:type="page"/>
      </w:r>
    </w:p>
    <w:p>
      <w:pPr>
        <w:pStyle w:val="Heading1"/>
      </w:pPr>
      <w:r>
        <w:t>3. High-Level Architecture</w:t>
      </w:r>
    </w:p>
    <w:p>
      <w:r>
        <w:t>Figure 1 shows the logical components grouped into layers. Requests enter through a channel, are authenticated at the edge, and are handled by the agent control plane. The orchestrator is the only component that talks to the model gateway, the tool layer and the sandbox manager; it consults the policy engine before every tool call. All capability layers read and write through the data plane, and every layer emits telemetry and audit events.</w:t>
      </w:r>
    </w:p>
    <w:p>
      <w:pPr>
        <w:keepNext/>
        <w:spacing w:after="40"/>
        <w:jc w:val="center"/>
      </w:pPr>
      <w:r>
        <w:drawing>
          <wp:inline xmlns:a="http://schemas.openxmlformats.org/drawingml/2006/main" xmlns:pic="http://schemas.openxmlformats.org/drawingml/2006/picture">
            <wp:extent cx="5284540" cy="6949440"/>
            <wp:docPr id="1" name="Picture 1"/>
            <wp:cNvGraphicFramePr>
              <a:graphicFrameLocks noChangeAspect="1"/>
            </wp:cNvGraphicFramePr>
            <a:graphic>
              <a:graphicData uri="http://schemas.openxmlformats.org/drawingml/2006/picture">
                <pic:pic>
                  <pic:nvPicPr>
                    <pic:cNvPr id="0" name="d1_architecture.png"/>
                    <pic:cNvPicPr/>
                  </pic:nvPicPr>
                  <pic:blipFill>
                    <a:blip r:embed="rId11"/>
                    <a:stretch>
                      <a:fillRect/>
                    </a:stretch>
                  </pic:blipFill>
                  <pic:spPr>
                    <a:xfrm>
                      <a:off x="0" y="0"/>
                      <a:ext cx="5284540" cy="6949440"/>
                    </a:xfrm>
                    <a:prstGeom prst="rect"/>
                  </pic:spPr>
                </pic:pic>
              </a:graphicData>
            </a:graphic>
          </wp:inline>
        </w:drawing>
      </w:r>
    </w:p>
    <w:p>
      <w:pPr>
        <w:spacing w:after="160"/>
        <w:jc w:val="center"/>
      </w:pPr>
      <w:r>
        <w:rPr>
          <w:i/>
          <w:color w:val="595959"/>
          <w:sz w:val="18"/>
        </w:rPr>
        <w:t>Figure 1: Logical component architecture (layered view)</w:t>
      </w:r>
    </w:p>
    <w:p>
      <w:pPr>
        <w:pStyle w:val="Heading2"/>
      </w:pPr>
      <w:r>
        <w:t>3.1 Layer responsibilities</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629"/>
        <w:gridCol w:w="3026"/>
        <w:gridCol w:w="4656"/>
      </w:tblGrid>
      <w:tr>
        <w:trPr>
          <w:tblHeader w:val="true"/>
        </w:trPr>
        <w:tc>
          <w:tcPr>
            <w:tcW w:type="dxa" w:w="1629"/>
            <w:shd w:val="clear" w:color="auto" w:fill="1F4E79"/>
          </w:tcPr>
          <w:p>
            <w:r/>
            <w:r>
              <w:rPr>
                <w:b/>
                <w:color w:val="FFFFFF"/>
                <w:sz w:val="18"/>
              </w:rPr>
              <w:t>Layer</w:t>
            </w:r>
          </w:p>
        </w:tc>
        <w:tc>
          <w:tcPr>
            <w:tcW w:type="dxa" w:w="3026"/>
            <w:shd w:val="clear" w:color="auto" w:fill="1F4E79"/>
          </w:tcPr>
          <w:p>
            <w:r/>
            <w:r>
              <w:rPr>
                <w:b/>
                <w:color w:val="FFFFFF"/>
                <w:sz w:val="18"/>
              </w:rPr>
              <w:t>Key components</w:t>
            </w:r>
          </w:p>
        </w:tc>
        <w:tc>
          <w:tcPr>
            <w:tcW w:type="dxa" w:w="4656"/>
            <w:shd w:val="clear" w:color="auto" w:fill="1F4E79"/>
          </w:tcPr>
          <w:p>
            <w:r/>
            <w:r>
              <w:rPr>
                <w:b/>
                <w:color w:val="FFFFFF"/>
                <w:sz w:val="18"/>
              </w:rPr>
              <w:t>Responsibility</w:t>
            </w:r>
          </w:p>
        </w:tc>
      </w:tr>
      <w:tr>
        <w:trPr>
          <w:cantSplit w:val="true"/>
        </w:trPr>
        <w:tc>
          <w:tcPr>
            <w:tcW w:type="dxa" w:w="1629"/>
          </w:tcPr>
          <w:p>
            <w:pPr>
              <w:spacing w:after="20" w:line="240" w:lineRule="auto"/>
            </w:pPr>
            <w:r>
              <w:rPr>
                <w:b/>
                <w:sz w:val="18"/>
              </w:rPr>
            </w:r>
            <w:r>
              <w:rPr>
                <w:b/>
                <w:sz w:val="18"/>
              </w:rPr>
              <w:t>Channels</w:t>
            </w:r>
          </w:p>
        </w:tc>
        <w:tc>
          <w:tcPr>
            <w:tcW w:type="dxa" w:w="3026"/>
          </w:tcPr>
          <w:p>
            <w:pPr>
              <w:spacing w:after="20" w:line="240" w:lineRule="auto"/>
            </w:pPr>
            <w:r>
              <w:rPr>
                <w:sz w:val="18"/>
              </w:rPr>
            </w:r>
            <w:r>
              <w:rPr>
                <w:sz w:val="18"/>
              </w:rPr>
              <w:t>Web UI, Slack/Teams bots, email gateway, REST/SSE API</w:t>
            </w:r>
          </w:p>
        </w:tc>
        <w:tc>
          <w:tcPr>
            <w:tcW w:type="dxa" w:w="4656"/>
          </w:tcPr>
          <w:p>
            <w:pPr>
              <w:spacing w:after="20" w:line="240" w:lineRule="auto"/>
            </w:pPr>
            <w:r>
              <w:rPr>
                <w:sz w:val="18"/>
              </w:rPr>
            </w:r>
            <w:r>
              <w:rPr>
                <w:sz w:val="18"/>
              </w:rPr>
              <w:t>User interaction, streaming rendering, artefact display, approval cards; no business logic.</w:t>
            </w:r>
          </w:p>
        </w:tc>
      </w:tr>
      <w:tr>
        <w:trPr>
          <w:cantSplit w:val="true"/>
        </w:trPr>
        <w:tc>
          <w:tcPr>
            <w:tcW w:type="dxa" w:w="1629"/>
            <w:shd w:val="clear" w:color="auto" w:fill="F2F6FA"/>
          </w:tcPr>
          <w:p>
            <w:pPr>
              <w:spacing w:after="20" w:line="240" w:lineRule="auto"/>
            </w:pPr>
            <w:r>
              <w:rPr>
                <w:b/>
                <w:sz w:val="18"/>
              </w:rPr>
            </w:r>
            <w:r>
              <w:rPr>
                <w:b/>
                <w:sz w:val="18"/>
              </w:rPr>
              <w:t>Edge and identity</w:t>
            </w:r>
          </w:p>
        </w:tc>
        <w:tc>
          <w:tcPr>
            <w:tcW w:type="dxa" w:w="3026"/>
            <w:shd w:val="clear" w:color="auto" w:fill="F2F6FA"/>
          </w:tcPr>
          <w:p>
            <w:pPr>
              <w:spacing w:after="20" w:line="240" w:lineRule="auto"/>
            </w:pPr>
            <w:r>
              <w:rPr>
                <w:sz w:val="18"/>
              </w:rPr>
            </w:r>
            <w:r>
              <w:rPr>
                <w:sz w:val="18"/>
              </w:rPr>
              <w:t>API gateway, Keycloak / corporate IdP, OPA or Cedar</w:t>
            </w:r>
          </w:p>
        </w:tc>
        <w:tc>
          <w:tcPr>
            <w:tcW w:type="dxa" w:w="4656"/>
            <w:shd w:val="clear" w:color="auto" w:fill="F2F6FA"/>
          </w:tcPr>
          <w:p>
            <w:pPr>
              <w:spacing w:after="20" w:line="240" w:lineRule="auto"/>
            </w:pPr>
            <w:r>
              <w:rPr>
                <w:sz w:val="18"/>
              </w:rPr>
            </w:r>
            <w:r>
              <w:rPr>
                <w:sz w:val="18"/>
              </w:rPr>
              <w:t>Authentication, token exchange, rate limiting, WAF; central authorisation decisions for tools, data and admin.</w:t>
            </w:r>
          </w:p>
        </w:tc>
      </w:tr>
      <w:tr>
        <w:trPr>
          <w:cantSplit w:val="true"/>
        </w:trPr>
        <w:tc>
          <w:tcPr>
            <w:tcW w:type="dxa" w:w="1629"/>
          </w:tcPr>
          <w:p>
            <w:pPr>
              <w:spacing w:after="20" w:line="240" w:lineRule="auto"/>
            </w:pPr>
            <w:r>
              <w:rPr>
                <w:b/>
                <w:sz w:val="18"/>
              </w:rPr>
            </w:r>
            <w:r>
              <w:rPr>
                <w:b/>
                <w:sz w:val="18"/>
              </w:rPr>
              <w:t>Agent control plane</w:t>
            </w:r>
          </w:p>
        </w:tc>
        <w:tc>
          <w:tcPr>
            <w:tcW w:type="dxa" w:w="3026"/>
          </w:tcPr>
          <w:p>
            <w:pPr>
              <w:spacing w:after="20" w:line="240" w:lineRule="auto"/>
            </w:pPr>
            <w:r>
              <w:rPr>
                <w:sz w:val="18"/>
              </w:rPr>
            </w:r>
            <w:r>
              <w:rPr>
                <w:sz w:val="18"/>
              </w:rPr>
              <w:t>Session service, Orchestrator, Temporal, Approval, Routines, Memory</w:t>
            </w:r>
          </w:p>
        </w:tc>
        <w:tc>
          <w:tcPr>
            <w:tcW w:type="dxa" w:w="4656"/>
          </w:tcPr>
          <w:p>
            <w:pPr>
              <w:spacing w:after="20" w:line="240" w:lineRule="auto"/>
            </w:pPr>
            <w:r>
              <w:rPr>
                <w:sz w:val="18"/>
              </w:rPr>
            </w:r>
            <w:r>
              <w:rPr>
                <w:sz w:val="18"/>
              </w:rPr>
              <w:t>Run agent loops; manage context; checkpoint long-running work; schedule routines; pause for approvals; extract and recall memory.</w:t>
            </w:r>
          </w:p>
        </w:tc>
      </w:tr>
      <w:tr>
        <w:trPr>
          <w:cantSplit w:val="true"/>
        </w:trPr>
        <w:tc>
          <w:tcPr>
            <w:tcW w:type="dxa" w:w="1629"/>
            <w:shd w:val="clear" w:color="auto" w:fill="F2F6FA"/>
          </w:tcPr>
          <w:p>
            <w:pPr>
              <w:spacing w:after="20" w:line="240" w:lineRule="auto"/>
            </w:pPr>
            <w:r>
              <w:rPr>
                <w:b/>
                <w:sz w:val="18"/>
              </w:rPr>
            </w:r>
            <w:r>
              <w:rPr>
                <w:b/>
                <w:sz w:val="18"/>
              </w:rPr>
              <w:t>Model serving</w:t>
            </w:r>
          </w:p>
        </w:tc>
        <w:tc>
          <w:tcPr>
            <w:tcW w:type="dxa" w:w="3026"/>
            <w:shd w:val="clear" w:color="auto" w:fill="F2F6FA"/>
          </w:tcPr>
          <w:p>
            <w:pPr>
              <w:spacing w:after="20" w:line="240" w:lineRule="auto"/>
            </w:pPr>
            <w:r>
              <w:rPr>
                <w:sz w:val="18"/>
              </w:rPr>
            </w:r>
            <w:r>
              <w:rPr>
                <w:sz w:val="18"/>
              </w:rPr>
              <w:t>Model gateway, vLLM/SGLang pools, embeddings/rerankers</w:t>
            </w:r>
          </w:p>
        </w:tc>
        <w:tc>
          <w:tcPr>
            <w:tcW w:type="dxa" w:w="4656"/>
            <w:shd w:val="clear" w:color="auto" w:fill="F2F6FA"/>
          </w:tcPr>
          <w:p>
            <w:pPr>
              <w:spacing w:after="20" w:line="240" w:lineRule="auto"/>
            </w:pPr>
            <w:r>
              <w:rPr>
                <w:sz w:val="18"/>
              </w:rPr>
            </w:r>
            <w:r>
              <w:rPr>
                <w:sz w:val="18"/>
              </w:rPr>
              <w:t>OpenAI-compatible inference, routing, quotas, fallbacks, metering.</w:t>
            </w:r>
          </w:p>
        </w:tc>
      </w:tr>
      <w:tr>
        <w:trPr>
          <w:cantSplit w:val="true"/>
        </w:trPr>
        <w:tc>
          <w:tcPr>
            <w:tcW w:type="dxa" w:w="1629"/>
          </w:tcPr>
          <w:p>
            <w:pPr>
              <w:spacing w:after="20" w:line="240" w:lineRule="auto"/>
            </w:pPr>
            <w:r>
              <w:rPr>
                <w:b/>
                <w:sz w:val="18"/>
              </w:rPr>
            </w:r>
            <w:r>
              <w:rPr>
                <w:b/>
                <w:sz w:val="18"/>
              </w:rPr>
              <w:t>Tool layer</w:t>
            </w:r>
          </w:p>
        </w:tc>
        <w:tc>
          <w:tcPr>
            <w:tcW w:type="dxa" w:w="3026"/>
          </w:tcPr>
          <w:p>
            <w:pPr>
              <w:spacing w:after="20" w:line="240" w:lineRule="auto"/>
            </w:pPr>
            <w:r>
              <w:rPr>
                <w:sz w:val="18"/>
              </w:rPr>
            </w:r>
            <w:r>
              <w:rPr>
                <w:sz w:val="18"/>
              </w:rPr>
              <w:t>Tool registry, MCP gateway, MCP servers</w:t>
            </w:r>
          </w:p>
        </w:tc>
        <w:tc>
          <w:tcPr>
            <w:tcW w:type="dxa" w:w="4656"/>
          </w:tcPr>
          <w:p>
            <w:pPr>
              <w:spacing w:after="20" w:line="240" w:lineRule="auto"/>
            </w:pPr>
            <w:r>
              <w:rPr>
                <w:sz w:val="18"/>
              </w:rPr>
            </w:r>
            <w:r>
              <w:rPr>
                <w:sz w:val="18"/>
              </w:rPr>
              <w:t>Discoverable, versioned, permissioned tools for databases, documents, ticketing, email and internal APIs.</w:t>
            </w:r>
          </w:p>
        </w:tc>
      </w:tr>
      <w:tr>
        <w:trPr>
          <w:cantSplit w:val="true"/>
        </w:trPr>
        <w:tc>
          <w:tcPr>
            <w:tcW w:type="dxa" w:w="1629"/>
            <w:shd w:val="clear" w:color="auto" w:fill="F2F6FA"/>
          </w:tcPr>
          <w:p>
            <w:pPr>
              <w:spacing w:after="20" w:line="240" w:lineRule="auto"/>
            </w:pPr>
            <w:r>
              <w:rPr>
                <w:b/>
                <w:sz w:val="18"/>
              </w:rPr>
            </w:r>
            <w:r>
              <w:rPr>
                <w:b/>
                <w:sz w:val="18"/>
              </w:rPr>
              <w:t>Sandboxed execution</w:t>
            </w:r>
          </w:p>
        </w:tc>
        <w:tc>
          <w:tcPr>
            <w:tcW w:type="dxa" w:w="3026"/>
            <w:shd w:val="clear" w:color="auto" w:fill="F2F6FA"/>
          </w:tcPr>
          <w:p>
            <w:pPr>
              <w:spacing w:after="20" w:line="240" w:lineRule="auto"/>
            </w:pPr>
            <w:r>
              <w:rPr>
                <w:sz w:val="18"/>
              </w:rPr>
            </w:r>
            <w:r>
              <w:rPr>
                <w:sz w:val="18"/>
              </w:rPr>
              <w:t>Sandbox manager, microVM / gVisor pods, egress proxy</w:t>
            </w:r>
          </w:p>
        </w:tc>
        <w:tc>
          <w:tcPr>
            <w:tcW w:type="dxa" w:w="4656"/>
            <w:shd w:val="clear" w:color="auto" w:fill="F2F6FA"/>
          </w:tcPr>
          <w:p>
            <w:pPr>
              <w:spacing w:after="20" w:line="240" w:lineRule="auto"/>
            </w:pPr>
            <w:r>
              <w:rPr>
                <w:sz w:val="18"/>
              </w:rPr>
            </w:r>
            <w:r>
              <w:rPr>
                <w:sz w:val="18"/>
              </w:rPr>
              <w:t>Isolated code execution, headless browsing, persistent workspaces, file generation.</w:t>
            </w:r>
          </w:p>
        </w:tc>
      </w:tr>
      <w:tr>
        <w:trPr>
          <w:cantSplit w:val="true"/>
        </w:trPr>
        <w:tc>
          <w:tcPr>
            <w:tcW w:type="dxa" w:w="1629"/>
          </w:tcPr>
          <w:p>
            <w:pPr>
              <w:spacing w:after="20" w:line="240" w:lineRule="auto"/>
            </w:pPr>
            <w:r>
              <w:rPr>
                <w:b/>
                <w:sz w:val="18"/>
              </w:rPr>
            </w:r>
            <w:r>
              <w:rPr>
                <w:b/>
                <w:sz w:val="18"/>
              </w:rPr>
              <w:t>Data plane</w:t>
            </w:r>
          </w:p>
        </w:tc>
        <w:tc>
          <w:tcPr>
            <w:tcW w:type="dxa" w:w="3026"/>
          </w:tcPr>
          <w:p>
            <w:pPr>
              <w:spacing w:after="20" w:line="240" w:lineRule="auto"/>
            </w:pPr>
            <w:r>
              <w:rPr>
                <w:sz w:val="18"/>
              </w:rPr>
            </w:r>
            <w:r>
              <w:rPr>
                <w:sz w:val="18"/>
              </w:rPr>
              <w:t>Postgres + pgvector, Qdrant/OpenSearch, MinIO/Ceph, Kafka/NATS, Vault, ingestion</w:t>
            </w:r>
          </w:p>
        </w:tc>
        <w:tc>
          <w:tcPr>
            <w:tcW w:type="dxa" w:w="4656"/>
          </w:tcPr>
          <w:p>
            <w:pPr>
              <w:spacing w:after="20" w:line="240" w:lineRule="auto"/>
            </w:pPr>
            <w:r>
              <w:rPr>
                <w:sz w:val="18"/>
              </w:rPr>
            </w:r>
            <w:r>
              <w:rPr>
                <w:sz w:val="18"/>
              </w:rPr>
              <w:t>State, search indexes, artefacts, events, secrets, connector-driven ingestion.</w:t>
            </w:r>
          </w:p>
        </w:tc>
      </w:tr>
      <w:tr>
        <w:trPr>
          <w:cantSplit w:val="true"/>
        </w:trPr>
        <w:tc>
          <w:tcPr>
            <w:tcW w:type="dxa" w:w="1629"/>
            <w:shd w:val="clear" w:color="auto" w:fill="F2F6FA"/>
          </w:tcPr>
          <w:p>
            <w:pPr>
              <w:spacing w:after="20" w:line="240" w:lineRule="auto"/>
            </w:pPr>
            <w:r>
              <w:rPr>
                <w:b/>
                <w:sz w:val="18"/>
              </w:rPr>
            </w:r>
            <w:r>
              <w:rPr>
                <w:b/>
                <w:sz w:val="18"/>
              </w:rPr>
              <w:t>Observability and audit</w:t>
            </w:r>
          </w:p>
        </w:tc>
        <w:tc>
          <w:tcPr>
            <w:tcW w:type="dxa" w:w="3026"/>
            <w:shd w:val="clear" w:color="auto" w:fill="F2F6FA"/>
          </w:tcPr>
          <w:p>
            <w:pPr>
              <w:spacing w:after="20" w:line="240" w:lineRule="auto"/>
            </w:pPr>
            <w:r>
              <w:rPr>
                <w:sz w:val="18"/>
              </w:rPr>
            </w:r>
            <w:r>
              <w:rPr>
                <w:sz w:val="18"/>
              </w:rPr>
              <w:t>OpenTelemetry, Langfuse, Prometheus, Grafana, Loki, audit store</w:t>
            </w:r>
          </w:p>
        </w:tc>
        <w:tc>
          <w:tcPr>
            <w:tcW w:type="dxa" w:w="4656"/>
            <w:shd w:val="clear" w:color="auto" w:fill="F2F6FA"/>
          </w:tcPr>
          <w:p>
            <w:pPr>
              <w:spacing w:after="20" w:line="240" w:lineRule="auto"/>
            </w:pPr>
            <w:r>
              <w:rPr>
                <w:sz w:val="18"/>
              </w:rPr>
            </w:r>
            <w:r>
              <w:rPr>
                <w:sz w:val="18"/>
              </w:rPr>
              <w:t>Traces of every agent step, metrics, logs, evaluations, cost, tamper-evident audit.</w:t>
            </w:r>
          </w:p>
        </w:tc>
      </w:tr>
    </w:tbl>
    <w:p>
      <w:pPr>
        <w:spacing w:after="80"/>
      </w:pPr>
    </w:p>
    <w:p>
      <w:pPr>
        <w:pStyle w:val="Heading2"/>
      </w:pPr>
      <w:r>
        <w:t>3.2 Key architectural decisions</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629"/>
        <w:gridCol w:w="3026"/>
        <w:gridCol w:w="4656"/>
      </w:tblGrid>
      <w:tr>
        <w:trPr>
          <w:tblHeader w:val="true"/>
        </w:trPr>
        <w:tc>
          <w:tcPr>
            <w:tcW w:type="dxa" w:w="1629"/>
            <w:shd w:val="clear" w:color="auto" w:fill="1F4E79"/>
          </w:tcPr>
          <w:p>
            <w:r/>
            <w:r>
              <w:rPr>
                <w:b/>
                <w:color w:val="FFFFFF"/>
                <w:sz w:val="18"/>
              </w:rPr>
              <w:t>Decision</w:t>
            </w:r>
          </w:p>
        </w:tc>
        <w:tc>
          <w:tcPr>
            <w:tcW w:type="dxa" w:w="3026"/>
            <w:shd w:val="clear" w:color="auto" w:fill="1F4E79"/>
          </w:tcPr>
          <w:p>
            <w:r/>
            <w:r>
              <w:rPr>
                <w:b/>
                <w:color w:val="FFFFFF"/>
                <w:sz w:val="18"/>
              </w:rPr>
              <w:t>Choice</w:t>
            </w:r>
          </w:p>
        </w:tc>
        <w:tc>
          <w:tcPr>
            <w:tcW w:type="dxa" w:w="4656"/>
            <w:shd w:val="clear" w:color="auto" w:fill="1F4E79"/>
          </w:tcPr>
          <w:p>
            <w:r/>
            <w:r>
              <w:rPr>
                <w:b/>
                <w:color w:val="FFFFFF"/>
                <w:sz w:val="18"/>
              </w:rPr>
              <w:t>Rationale</w:t>
            </w:r>
          </w:p>
        </w:tc>
      </w:tr>
      <w:tr>
        <w:trPr>
          <w:cantSplit w:val="true"/>
        </w:trPr>
        <w:tc>
          <w:tcPr>
            <w:tcW w:type="dxa" w:w="1629"/>
          </w:tcPr>
          <w:p>
            <w:pPr>
              <w:spacing w:after="20" w:line="240" w:lineRule="auto"/>
            </w:pPr>
            <w:r>
              <w:rPr>
                <w:b/>
                <w:sz w:val="18"/>
              </w:rPr>
            </w:r>
            <w:r>
              <w:rPr>
                <w:b/>
                <w:sz w:val="18"/>
              </w:rPr>
              <w:t>Inference API</w:t>
            </w:r>
          </w:p>
        </w:tc>
        <w:tc>
          <w:tcPr>
            <w:tcW w:type="dxa" w:w="3026"/>
          </w:tcPr>
          <w:p>
            <w:pPr>
              <w:spacing w:after="20" w:line="240" w:lineRule="auto"/>
            </w:pPr>
            <w:r>
              <w:rPr>
                <w:sz w:val="18"/>
              </w:rPr>
            </w:r>
            <w:r>
              <w:rPr>
                <w:sz w:val="18"/>
              </w:rPr>
              <w:t>OpenAI-compatible chat/completions and embeddings via an internal gateway</w:t>
            </w:r>
          </w:p>
        </w:tc>
        <w:tc>
          <w:tcPr>
            <w:tcW w:type="dxa" w:w="4656"/>
          </w:tcPr>
          <w:p>
            <w:pPr>
              <w:spacing w:after="20" w:line="240" w:lineRule="auto"/>
            </w:pPr>
            <w:r>
              <w:rPr>
                <w:sz w:val="18"/>
              </w:rPr>
            </w:r>
            <w:r>
              <w:rPr>
                <w:sz w:val="18"/>
              </w:rPr>
              <w:t>De facto standard; supported by vLLM, SGLang, TGI, every agent framework and most UIs; allows model swaps without code changes.</w:t>
            </w:r>
          </w:p>
        </w:tc>
      </w:tr>
      <w:tr>
        <w:trPr>
          <w:cantSplit w:val="true"/>
        </w:trPr>
        <w:tc>
          <w:tcPr>
            <w:tcW w:type="dxa" w:w="1629"/>
            <w:shd w:val="clear" w:color="auto" w:fill="F2F6FA"/>
          </w:tcPr>
          <w:p>
            <w:pPr>
              <w:spacing w:after="20" w:line="240" w:lineRule="auto"/>
            </w:pPr>
            <w:r>
              <w:rPr>
                <w:b/>
                <w:sz w:val="18"/>
              </w:rPr>
            </w:r>
            <w:r>
              <w:rPr>
                <w:b/>
                <w:sz w:val="18"/>
              </w:rPr>
              <w:t>Tool protocol</w:t>
            </w:r>
          </w:p>
        </w:tc>
        <w:tc>
          <w:tcPr>
            <w:tcW w:type="dxa" w:w="3026"/>
            <w:shd w:val="clear" w:color="auto" w:fill="F2F6FA"/>
          </w:tcPr>
          <w:p>
            <w:pPr>
              <w:spacing w:after="20" w:line="240" w:lineRule="auto"/>
            </w:pPr>
            <w:r>
              <w:rPr>
                <w:sz w:val="18"/>
              </w:rPr>
            </w:r>
            <w:r>
              <w:rPr>
                <w:sz w:val="18"/>
              </w:rPr>
              <w:t>MCP (streamable HTTP transport) for all tools</w:t>
            </w:r>
          </w:p>
        </w:tc>
        <w:tc>
          <w:tcPr>
            <w:tcW w:type="dxa" w:w="4656"/>
            <w:shd w:val="clear" w:color="auto" w:fill="F2F6FA"/>
          </w:tcPr>
          <w:p>
            <w:pPr>
              <w:spacing w:after="20" w:line="240" w:lineRule="auto"/>
            </w:pPr>
            <w:r>
              <w:rPr>
                <w:sz w:val="18"/>
              </w:rPr>
            </w:r>
            <w:r>
              <w:rPr>
                <w:sz w:val="18"/>
              </w:rPr>
              <w:t>Open standard with broad ecosystem support; decouples tool authors from the agent runtime; enables a single governance point.</w:t>
            </w:r>
          </w:p>
        </w:tc>
      </w:tr>
      <w:tr>
        <w:trPr>
          <w:cantSplit w:val="true"/>
        </w:trPr>
        <w:tc>
          <w:tcPr>
            <w:tcW w:type="dxa" w:w="1629"/>
          </w:tcPr>
          <w:p>
            <w:pPr>
              <w:spacing w:after="20" w:line="240" w:lineRule="auto"/>
            </w:pPr>
            <w:r>
              <w:rPr>
                <w:b/>
                <w:sz w:val="18"/>
              </w:rPr>
            </w:r>
            <w:r>
              <w:rPr>
                <w:b/>
                <w:sz w:val="18"/>
              </w:rPr>
              <w:t>Execution model</w:t>
            </w:r>
          </w:p>
        </w:tc>
        <w:tc>
          <w:tcPr>
            <w:tcW w:type="dxa" w:w="3026"/>
          </w:tcPr>
          <w:p>
            <w:pPr>
              <w:spacing w:after="20" w:line="240" w:lineRule="auto"/>
            </w:pPr>
            <w:r>
              <w:rPr>
                <w:sz w:val="18"/>
              </w:rPr>
            </w:r>
            <w:r>
              <w:rPr>
                <w:sz w:val="18"/>
              </w:rPr>
              <w:t>Agent turns and routines as durable workflows (Temporal)</w:t>
            </w:r>
          </w:p>
        </w:tc>
        <w:tc>
          <w:tcPr>
            <w:tcW w:type="dxa" w:w="4656"/>
          </w:tcPr>
          <w:p>
            <w:pPr>
              <w:spacing w:after="20" w:line="240" w:lineRule="auto"/>
            </w:pPr>
            <w:r>
              <w:rPr>
                <w:sz w:val="18"/>
              </w:rPr>
            </w:r>
            <w:r>
              <w:rPr>
                <w:sz w:val="18"/>
              </w:rPr>
              <w:t>Survives pod restarts and deployments; native timers for schedules; signals for approvals; full history for audit.</w:t>
            </w:r>
          </w:p>
        </w:tc>
      </w:tr>
      <w:tr>
        <w:trPr>
          <w:cantSplit w:val="true"/>
        </w:trPr>
        <w:tc>
          <w:tcPr>
            <w:tcW w:type="dxa" w:w="1629"/>
            <w:shd w:val="clear" w:color="auto" w:fill="F2F6FA"/>
          </w:tcPr>
          <w:p>
            <w:pPr>
              <w:spacing w:after="20" w:line="240" w:lineRule="auto"/>
            </w:pPr>
            <w:r>
              <w:rPr>
                <w:b/>
                <w:sz w:val="18"/>
              </w:rPr>
            </w:r>
            <w:r>
              <w:rPr>
                <w:b/>
                <w:sz w:val="18"/>
              </w:rPr>
              <w:t>Isolation</w:t>
            </w:r>
          </w:p>
        </w:tc>
        <w:tc>
          <w:tcPr>
            <w:tcW w:type="dxa" w:w="3026"/>
            <w:shd w:val="clear" w:color="auto" w:fill="F2F6FA"/>
          </w:tcPr>
          <w:p>
            <w:pPr>
              <w:spacing w:after="20" w:line="240" w:lineRule="auto"/>
            </w:pPr>
            <w:r>
              <w:rPr>
                <w:sz w:val="18"/>
              </w:rPr>
            </w:r>
            <w:r>
              <w:rPr>
                <w:sz w:val="18"/>
              </w:rPr>
              <w:t>Sandboxes on a dedicated node pool with a VM-grade runtime (Kata/Firecracker) or gVisor</w:t>
            </w:r>
          </w:p>
        </w:tc>
        <w:tc>
          <w:tcPr>
            <w:tcW w:type="dxa" w:w="4656"/>
            <w:shd w:val="clear" w:color="auto" w:fill="F2F6FA"/>
          </w:tcPr>
          <w:p>
            <w:pPr>
              <w:spacing w:after="20" w:line="240" w:lineRule="auto"/>
            </w:pPr>
            <w:r>
              <w:rPr>
                <w:sz w:val="18"/>
              </w:rPr>
            </w:r>
            <w:r>
              <w:rPr>
                <w:sz w:val="18"/>
              </w:rPr>
              <w:t>Model-generated code is untrusted; shared-kernel containers alone are insufficient.</w:t>
            </w:r>
          </w:p>
        </w:tc>
      </w:tr>
      <w:tr>
        <w:trPr>
          <w:cantSplit w:val="true"/>
        </w:trPr>
        <w:tc>
          <w:tcPr>
            <w:tcW w:type="dxa" w:w="1629"/>
          </w:tcPr>
          <w:p>
            <w:pPr>
              <w:spacing w:after="20" w:line="240" w:lineRule="auto"/>
            </w:pPr>
            <w:r>
              <w:rPr>
                <w:b/>
                <w:sz w:val="18"/>
              </w:rPr>
            </w:r>
            <w:r>
              <w:rPr>
                <w:b/>
                <w:sz w:val="18"/>
              </w:rPr>
              <w:t>Identity</w:t>
            </w:r>
          </w:p>
        </w:tc>
        <w:tc>
          <w:tcPr>
            <w:tcW w:type="dxa" w:w="3026"/>
          </w:tcPr>
          <w:p>
            <w:pPr>
              <w:spacing w:after="20" w:line="240" w:lineRule="auto"/>
            </w:pPr>
            <w:r>
              <w:rPr>
                <w:sz w:val="18"/>
              </w:rPr>
            </w:r>
            <w:r>
              <w:rPr>
                <w:sz w:val="18"/>
              </w:rPr>
              <w:t>Agents act with the user's delegated, short-lived credentials</w:t>
            </w:r>
          </w:p>
        </w:tc>
        <w:tc>
          <w:tcPr>
            <w:tcW w:type="dxa" w:w="4656"/>
          </w:tcPr>
          <w:p>
            <w:pPr>
              <w:spacing w:after="20" w:line="240" w:lineRule="auto"/>
            </w:pPr>
            <w:r>
              <w:rPr>
                <w:sz w:val="18"/>
              </w:rPr>
            </w:r>
            <w:r>
              <w:rPr>
                <w:sz w:val="18"/>
              </w:rPr>
              <w:t>Prevents privilege escalation via the agent and preserves source-system audit trails.</w:t>
            </w:r>
          </w:p>
        </w:tc>
      </w:tr>
      <w:tr>
        <w:trPr>
          <w:cantSplit w:val="true"/>
        </w:trPr>
        <w:tc>
          <w:tcPr>
            <w:tcW w:type="dxa" w:w="1629"/>
            <w:shd w:val="clear" w:color="auto" w:fill="F2F6FA"/>
          </w:tcPr>
          <w:p>
            <w:pPr>
              <w:spacing w:after="20" w:line="240" w:lineRule="auto"/>
            </w:pPr>
            <w:r>
              <w:rPr>
                <w:b/>
                <w:sz w:val="18"/>
              </w:rPr>
            </w:r>
            <w:r>
              <w:rPr>
                <w:b/>
                <w:sz w:val="18"/>
              </w:rPr>
              <w:t>State store</w:t>
            </w:r>
          </w:p>
        </w:tc>
        <w:tc>
          <w:tcPr>
            <w:tcW w:type="dxa" w:w="3026"/>
            <w:shd w:val="clear" w:color="auto" w:fill="F2F6FA"/>
          </w:tcPr>
          <w:p>
            <w:pPr>
              <w:spacing w:after="20" w:line="240" w:lineRule="auto"/>
            </w:pPr>
            <w:r>
              <w:rPr>
                <w:sz w:val="18"/>
              </w:rPr>
            </w:r>
            <w:r>
              <w:rPr>
                <w:sz w:val="18"/>
              </w:rPr>
              <w:t>PostgreSQL as primary system of record (with pgvector for memory)</w:t>
            </w:r>
          </w:p>
        </w:tc>
        <w:tc>
          <w:tcPr>
            <w:tcW w:type="dxa" w:w="4656"/>
            <w:shd w:val="clear" w:color="auto" w:fill="F2F6FA"/>
          </w:tcPr>
          <w:p>
            <w:pPr>
              <w:spacing w:after="20" w:line="240" w:lineRule="auto"/>
            </w:pPr>
            <w:r>
              <w:rPr>
                <w:sz w:val="18"/>
              </w:rPr>
            </w:r>
            <w:r>
              <w:rPr>
                <w:sz w:val="18"/>
              </w:rPr>
              <w:t>Mature, HA-capable, operationally familiar; reduces the number of stateful systems.</w:t>
            </w:r>
          </w:p>
        </w:tc>
      </w:tr>
      <w:tr>
        <w:trPr>
          <w:cantSplit w:val="true"/>
        </w:trPr>
        <w:tc>
          <w:tcPr>
            <w:tcW w:type="dxa" w:w="1629"/>
          </w:tcPr>
          <w:p>
            <w:pPr>
              <w:spacing w:after="20" w:line="240" w:lineRule="auto"/>
            </w:pPr>
            <w:r>
              <w:rPr>
                <w:b/>
                <w:sz w:val="18"/>
              </w:rPr>
            </w:r>
            <w:r>
              <w:rPr>
                <w:b/>
                <w:sz w:val="18"/>
              </w:rPr>
              <w:t>Deployment</w:t>
            </w:r>
          </w:p>
        </w:tc>
        <w:tc>
          <w:tcPr>
            <w:tcW w:type="dxa" w:w="3026"/>
          </w:tcPr>
          <w:p>
            <w:pPr>
              <w:spacing w:after="20" w:line="240" w:lineRule="auto"/>
            </w:pPr>
            <w:r>
              <w:rPr>
                <w:sz w:val="18"/>
              </w:rPr>
            </w:r>
            <w:r>
              <w:rPr>
                <w:sz w:val="18"/>
              </w:rPr>
              <w:t>Kubernetes with GitOps on company hardware or private cloud</w:t>
            </w:r>
          </w:p>
        </w:tc>
        <w:tc>
          <w:tcPr>
            <w:tcW w:type="dxa" w:w="4656"/>
          </w:tcPr>
          <w:p>
            <w:pPr>
              <w:spacing w:after="20" w:line="240" w:lineRule="auto"/>
            </w:pPr>
            <w:r>
              <w:rPr>
                <w:sz w:val="18"/>
              </w:rPr>
            </w:r>
            <w:r>
              <w:rPr>
                <w:sz w:val="18"/>
              </w:rPr>
              <w:t>Uniform scheduling of CPU and GPU workloads; standard tooling for HA, scaling and policy.</w:t>
            </w:r>
          </w:p>
        </w:tc>
      </w:tr>
    </w:tbl>
    <w:p>
      <w:pPr>
        <w:spacing w:after="80"/>
      </w:pPr>
    </w:p>
    <w:p>
      <w:pPr>
        <w:pStyle w:val="Heading2"/>
      </w:pPr>
      <w:r>
        <w:t>3.3 Request path in brief</w:t>
      </w:r>
    </w:p>
    <w:p>
      <w:pPr>
        <w:spacing w:after="60"/>
        <w:ind w:left="432" w:hanging="360"/>
      </w:pPr>
      <w:r>
        <w:t>1.  A user sends a message from the web UI or Slack. The channel adapter calls the API with the user's OIDC token (or a mapped identity for Slack/Teams).</w:t>
      </w:r>
    </w:p>
    <w:p>
      <w:pPr>
        <w:spacing w:after="60"/>
        <w:ind w:left="432" w:hanging="360"/>
      </w:pPr>
      <w:r>
        <w:t>2.  The session service persists the message and asks the orchestrator to start a turn, which runs as a Temporal workflow keyed by conversation.</w:t>
      </w:r>
    </w:p>
    <w:p>
      <w:pPr>
        <w:spacing w:after="60"/>
        <w:ind w:left="432" w:hanging="360"/>
      </w:pPr>
      <w:r>
        <w:t>3.  The orchestrator assembles context (agent instructions, conversation summary, recent messages, recalled memories, tool schemas filtered by policy) and calls the model gateway.</w:t>
      </w:r>
    </w:p>
    <w:p>
      <w:pPr>
        <w:spacing w:after="60"/>
        <w:ind w:left="432" w:hanging="360"/>
      </w:pPr>
      <w:r>
        <w:t>4.  When the model emits tool calls, the orchestrator checks policy, obtains delegated credentials, invokes the MCP server or sandbox, wraps the result as untrusted data, and loops.</w:t>
      </w:r>
    </w:p>
    <w:p>
      <w:pPr>
        <w:spacing w:after="60"/>
        <w:ind w:left="432" w:hanging="360"/>
      </w:pPr>
      <w:r>
        <w:t>5.  Risky calls pause the workflow and create an approval request. The final answer streams back to the channel; messages, tool calls, usage and audit events are recorded.</w:t>
      </w:r>
    </w:p>
    <w:p>
      <w:pPr>
        <w:spacing w:after="0"/>
      </w:pPr>
      <w:r>
        <w:br w:type="page"/>
      </w:r>
    </w:p>
    <w:p>
      <w:pPr>
        <w:pStyle w:val="Heading1"/>
      </w:pPr>
      <w:r>
        <w:t>4. Component Deep Dives</w:t>
      </w:r>
    </w:p>
    <w:p>
      <w:r>
        <w:t>Each subsection describes responsibilities, recommended technology options and the main trade-offs. Recommendations favour mature, permissively licensed open-source projects that run fully offline.</w:t>
      </w:r>
    </w:p>
    <w:p>
      <w:pPr>
        <w:pStyle w:val="Heading2"/>
      </w:pPr>
      <w:r>
        <w:t>4.1 Model serving layer</w:t>
      </w:r>
    </w:p>
    <w:p>
      <w:pPr>
        <w:pStyle w:val="Heading3"/>
      </w:pPr>
      <w:r>
        <w:t>Responsibilities</w:t>
      </w:r>
    </w:p>
    <w:p>
      <w:pPr>
        <w:pStyle w:val="ListBullet"/>
      </w:pPr>
      <w:r>
        <w:t>Host open-weight LLMs, vision-language models, embedding models and rerankers on company GPUs.</w:t>
      </w:r>
    </w:p>
    <w:p>
      <w:pPr>
        <w:pStyle w:val="ListBullet"/>
      </w:pPr>
      <w:r>
        <w:t xml:space="preserve">Expose one </w:t>
      </w:r>
      <w:r>
        <w:rPr>
          <w:b/>
        </w:rPr>
        <w:t>OpenAI-compatible</w:t>
      </w:r>
      <w:r>
        <w:t xml:space="preserve"> endpoint (chat, completions, embeddings, rerank) with model aliases, routing, quotas, fallbacks and metering.</w:t>
      </w:r>
    </w:p>
    <w:p>
      <w:pPr>
        <w:pStyle w:val="ListBullet"/>
      </w:pPr>
      <w:r>
        <w:t>Provide reliable structured output and tool calling (JSON schema-constrained decoding, model-specific tool-call parsers).</w:t>
      </w:r>
    </w:p>
    <w:p>
      <w:pPr>
        <w:pStyle w:val="ListBullet"/>
      </w:pPr>
      <w:r>
        <w:t>Support zero-downtime model upgrades, A/B and shadow traffic, and per-tenant model access policies.</w:t>
      </w:r>
    </w:p>
    <w:p>
      <w:pPr>
        <w:pStyle w:val="Heading3"/>
      </w:pPr>
      <w:r>
        <w:t>Inference engines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424"/>
        <w:gridCol w:w="3287"/>
        <w:gridCol w:w="2848"/>
        <w:gridCol w:w="1753"/>
      </w:tblGrid>
      <w:tr>
        <w:trPr>
          <w:tblHeader w:val="true"/>
        </w:trPr>
        <w:tc>
          <w:tcPr>
            <w:tcW w:type="dxa" w:w="1424"/>
            <w:shd w:val="clear" w:color="auto" w:fill="1F4E79"/>
          </w:tcPr>
          <w:p>
            <w:r/>
            <w:r>
              <w:rPr>
                <w:b/>
                <w:color w:val="FFFFFF"/>
                <w:sz w:val="18"/>
              </w:rPr>
              <w:t>Engine</w:t>
            </w:r>
          </w:p>
        </w:tc>
        <w:tc>
          <w:tcPr>
            <w:tcW w:type="dxa" w:w="3287"/>
            <w:shd w:val="clear" w:color="auto" w:fill="1F4E79"/>
          </w:tcPr>
          <w:p>
            <w:r/>
            <w:r>
              <w:rPr>
                <w:b/>
                <w:color w:val="FFFFFF"/>
                <w:sz w:val="18"/>
              </w:rPr>
              <w:t>Strengths</w:t>
            </w:r>
          </w:p>
        </w:tc>
        <w:tc>
          <w:tcPr>
            <w:tcW w:type="dxa" w:w="2848"/>
            <w:shd w:val="clear" w:color="auto" w:fill="1F4E79"/>
          </w:tcPr>
          <w:p>
            <w:r/>
            <w:r>
              <w:rPr>
                <w:b/>
                <w:color w:val="FFFFFF"/>
                <w:sz w:val="18"/>
              </w:rPr>
              <w:t>Trade-offs</w:t>
            </w:r>
          </w:p>
        </w:tc>
        <w:tc>
          <w:tcPr>
            <w:tcW w:type="dxa" w:w="1753"/>
            <w:shd w:val="clear" w:color="auto" w:fill="1F4E79"/>
          </w:tcPr>
          <w:p>
            <w:r/>
            <w:r>
              <w:rPr>
                <w:b/>
                <w:color w:val="FFFFFF"/>
                <w:sz w:val="18"/>
              </w:rPr>
              <w:t>Recommendation</w:t>
            </w:r>
          </w:p>
        </w:tc>
      </w:tr>
      <w:tr>
        <w:trPr>
          <w:cantSplit w:val="true"/>
        </w:trPr>
        <w:tc>
          <w:tcPr>
            <w:tcW w:type="dxa" w:w="1424"/>
          </w:tcPr>
          <w:p>
            <w:pPr>
              <w:spacing w:after="20" w:line="240" w:lineRule="auto"/>
            </w:pPr>
            <w:r>
              <w:rPr>
                <w:b/>
                <w:sz w:val="18"/>
              </w:rPr>
            </w:r>
            <w:r>
              <w:rPr>
                <w:b/>
                <w:sz w:val="18"/>
              </w:rPr>
              <w:t>vLLM</w:t>
            </w:r>
          </w:p>
        </w:tc>
        <w:tc>
          <w:tcPr>
            <w:tcW w:type="dxa" w:w="3287"/>
          </w:tcPr>
          <w:p>
            <w:pPr>
              <w:spacing w:after="20" w:line="240" w:lineRule="auto"/>
            </w:pPr>
            <w:r>
              <w:rPr>
                <w:sz w:val="18"/>
              </w:rPr>
            </w:r>
            <w:r>
              <w:rPr>
                <w:sz w:val="18"/>
              </w:rPr>
              <w:t>PagedAttention, continuous batching, prefix caching, tensor/pipeline/expert parallelism, wide model coverage, OpenAI-compatible server, tool-call parsers, guided decoding, LoRA multiplexing, NVIDIA and AMD support.</w:t>
            </w:r>
          </w:p>
        </w:tc>
        <w:tc>
          <w:tcPr>
            <w:tcW w:type="dxa" w:w="2848"/>
          </w:tcPr>
          <w:p>
            <w:pPr>
              <w:spacing w:after="20" w:line="240" w:lineRule="auto"/>
            </w:pPr>
            <w:r>
              <w:rPr>
                <w:sz w:val="18"/>
              </w:rPr>
            </w:r>
            <w:r>
              <w:rPr>
                <w:sz w:val="18"/>
              </w:rPr>
              <w:t>Fast-moving releases; tuning flags matter; some features model-specific.</w:t>
            </w:r>
          </w:p>
        </w:tc>
        <w:tc>
          <w:tcPr>
            <w:tcW w:type="dxa" w:w="1753"/>
          </w:tcPr>
          <w:p>
            <w:pPr>
              <w:spacing w:after="20" w:line="240" w:lineRule="auto"/>
            </w:pPr>
            <w:r>
              <w:rPr>
                <w:sz w:val="18"/>
              </w:rPr>
            </w:r>
            <w:r>
              <w:rPr>
                <w:b/>
                <w:sz w:val="18"/>
              </w:rPr>
              <w:t>Default</w:t>
            </w:r>
            <w:r>
              <w:rPr>
                <w:sz w:val="18"/>
              </w:rPr>
              <w:t xml:space="preserve"> for LLMs.</w:t>
            </w:r>
          </w:p>
        </w:tc>
      </w:tr>
      <w:tr>
        <w:trPr>
          <w:cantSplit w:val="true"/>
        </w:trPr>
        <w:tc>
          <w:tcPr>
            <w:tcW w:type="dxa" w:w="1424"/>
            <w:shd w:val="clear" w:color="auto" w:fill="F2F6FA"/>
          </w:tcPr>
          <w:p>
            <w:pPr>
              <w:spacing w:after="20" w:line="240" w:lineRule="auto"/>
            </w:pPr>
            <w:r>
              <w:rPr>
                <w:b/>
                <w:sz w:val="18"/>
              </w:rPr>
            </w:r>
            <w:r>
              <w:rPr>
                <w:b/>
                <w:sz w:val="18"/>
              </w:rPr>
              <w:t>SGLang</w:t>
            </w:r>
          </w:p>
        </w:tc>
        <w:tc>
          <w:tcPr>
            <w:tcW w:type="dxa" w:w="3287"/>
            <w:shd w:val="clear" w:color="auto" w:fill="F2F6FA"/>
          </w:tcPr>
          <w:p>
            <w:pPr>
              <w:spacing w:after="20" w:line="240" w:lineRule="auto"/>
            </w:pPr>
            <w:r>
              <w:rPr>
                <w:sz w:val="18"/>
              </w:rPr>
            </w:r>
            <w:r>
              <w:rPr>
                <w:sz w:val="18"/>
              </w:rPr>
              <w:t>Very high throughput, RadixAttention prefix reuse (excellent for agent loops with repeated system prompts), strong MoE and DeepSeek-family support, structured output.</w:t>
            </w:r>
          </w:p>
        </w:tc>
        <w:tc>
          <w:tcPr>
            <w:tcW w:type="dxa" w:w="2848"/>
            <w:shd w:val="clear" w:color="auto" w:fill="F2F6FA"/>
          </w:tcPr>
          <w:p>
            <w:pPr>
              <w:spacing w:after="20" w:line="240" w:lineRule="auto"/>
            </w:pPr>
            <w:r>
              <w:rPr>
                <w:sz w:val="18"/>
              </w:rPr>
            </w:r>
            <w:r>
              <w:rPr>
                <w:sz w:val="18"/>
              </w:rPr>
              <w:t>Smaller operator community than vLLM; fewer turnkey integrations.</w:t>
            </w:r>
          </w:p>
        </w:tc>
        <w:tc>
          <w:tcPr>
            <w:tcW w:type="dxa" w:w="1753"/>
            <w:shd w:val="clear" w:color="auto" w:fill="F2F6FA"/>
          </w:tcPr>
          <w:p>
            <w:pPr>
              <w:spacing w:after="20" w:line="240" w:lineRule="auto"/>
            </w:pPr>
            <w:r>
              <w:rPr>
                <w:sz w:val="18"/>
              </w:rPr>
            </w:r>
            <w:r>
              <w:rPr>
                <w:b/>
                <w:sz w:val="18"/>
              </w:rPr>
              <w:t>Strong alternative</w:t>
            </w:r>
            <w:r>
              <w:rPr>
                <w:sz w:val="18"/>
              </w:rPr>
              <w:t>; benchmark both on your workload.</w:t>
            </w:r>
          </w:p>
        </w:tc>
      </w:tr>
      <w:tr>
        <w:trPr>
          <w:cantSplit w:val="true"/>
        </w:trPr>
        <w:tc>
          <w:tcPr>
            <w:tcW w:type="dxa" w:w="1424"/>
          </w:tcPr>
          <w:p>
            <w:pPr>
              <w:spacing w:after="20" w:line="240" w:lineRule="auto"/>
            </w:pPr>
            <w:r>
              <w:rPr>
                <w:b/>
                <w:sz w:val="18"/>
              </w:rPr>
            </w:r>
            <w:r>
              <w:rPr>
                <w:b/>
                <w:sz w:val="18"/>
              </w:rPr>
              <w:t>Hugging Face TGI</w:t>
            </w:r>
          </w:p>
        </w:tc>
        <w:tc>
          <w:tcPr>
            <w:tcW w:type="dxa" w:w="3287"/>
          </w:tcPr>
          <w:p>
            <w:pPr>
              <w:spacing w:after="20" w:line="240" w:lineRule="auto"/>
            </w:pPr>
            <w:r>
              <w:rPr>
                <w:sz w:val="18"/>
              </w:rPr>
            </w:r>
            <w:r>
              <w:rPr>
                <w:sz w:val="18"/>
              </w:rPr>
              <w:t>Simple deployment, production heritage, good HF integration.</w:t>
            </w:r>
          </w:p>
        </w:tc>
        <w:tc>
          <w:tcPr>
            <w:tcW w:type="dxa" w:w="2848"/>
          </w:tcPr>
          <w:p>
            <w:pPr>
              <w:spacing w:after="20" w:line="240" w:lineRule="auto"/>
            </w:pPr>
            <w:r>
              <w:rPr>
                <w:sz w:val="18"/>
              </w:rPr>
            </w:r>
            <w:r>
              <w:rPr>
                <w:sz w:val="18"/>
              </w:rPr>
              <w:t>Development pace has slowed relative to vLLM/SGLang; check project status before adopting.</w:t>
            </w:r>
          </w:p>
        </w:tc>
        <w:tc>
          <w:tcPr>
            <w:tcW w:type="dxa" w:w="1753"/>
          </w:tcPr>
          <w:p>
            <w:pPr>
              <w:spacing w:after="20" w:line="240" w:lineRule="auto"/>
            </w:pPr>
            <w:r>
              <w:rPr>
                <w:sz w:val="18"/>
              </w:rPr>
            </w:r>
            <w:r>
              <w:rPr>
                <w:sz w:val="18"/>
              </w:rPr>
              <w:t>Acceptable if already standard in-house.</w:t>
            </w:r>
          </w:p>
        </w:tc>
      </w:tr>
      <w:tr>
        <w:trPr>
          <w:cantSplit w:val="true"/>
        </w:trPr>
        <w:tc>
          <w:tcPr>
            <w:tcW w:type="dxa" w:w="1424"/>
            <w:shd w:val="clear" w:color="auto" w:fill="F2F6FA"/>
          </w:tcPr>
          <w:p>
            <w:pPr>
              <w:spacing w:after="20" w:line="240" w:lineRule="auto"/>
            </w:pPr>
            <w:r>
              <w:rPr>
                <w:b/>
                <w:sz w:val="18"/>
              </w:rPr>
            </w:r>
            <w:r>
              <w:rPr>
                <w:b/>
                <w:sz w:val="18"/>
              </w:rPr>
              <w:t>NVIDIA Triton + TensorRT-LLM</w:t>
            </w:r>
          </w:p>
        </w:tc>
        <w:tc>
          <w:tcPr>
            <w:tcW w:type="dxa" w:w="3287"/>
            <w:shd w:val="clear" w:color="auto" w:fill="F2F6FA"/>
          </w:tcPr>
          <w:p>
            <w:pPr>
              <w:spacing w:after="20" w:line="240" w:lineRule="auto"/>
            </w:pPr>
            <w:r>
              <w:rPr>
                <w:sz w:val="18"/>
              </w:rPr>
            </w:r>
            <w:r>
              <w:rPr>
                <w:sz w:val="18"/>
              </w:rPr>
              <w:t>Highest per-GPU performance on NVIDIA, multi-model serving, ensembles; good for embeddings/rerankers and classic ML.</w:t>
            </w:r>
          </w:p>
        </w:tc>
        <w:tc>
          <w:tcPr>
            <w:tcW w:type="dxa" w:w="2848"/>
            <w:shd w:val="clear" w:color="auto" w:fill="F2F6FA"/>
          </w:tcPr>
          <w:p>
            <w:pPr>
              <w:spacing w:after="20" w:line="240" w:lineRule="auto"/>
            </w:pPr>
            <w:r>
              <w:rPr>
                <w:sz w:val="18"/>
              </w:rPr>
            </w:r>
            <w:r>
              <w:rPr>
                <w:sz w:val="18"/>
              </w:rPr>
              <w:t>Engine build step per model and GPU type; NVIDIA-only; more operational complexity.</w:t>
            </w:r>
          </w:p>
        </w:tc>
        <w:tc>
          <w:tcPr>
            <w:tcW w:type="dxa" w:w="1753"/>
            <w:shd w:val="clear" w:color="auto" w:fill="F2F6FA"/>
          </w:tcPr>
          <w:p>
            <w:pPr>
              <w:spacing w:after="20" w:line="240" w:lineRule="auto"/>
            </w:pPr>
            <w:r>
              <w:rPr>
                <w:sz w:val="18"/>
              </w:rPr>
            </w:r>
            <w:r>
              <w:rPr>
                <w:sz w:val="18"/>
              </w:rPr>
              <w:t>Use for embeddings/rerankers or when squeezing maximum throughput.</w:t>
            </w:r>
          </w:p>
        </w:tc>
      </w:tr>
      <w:tr>
        <w:trPr>
          <w:cantSplit w:val="true"/>
        </w:trPr>
        <w:tc>
          <w:tcPr>
            <w:tcW w:type="dxa" w:w="1424"/>
          </w:tcPr>
          <w:p>
            <w:pPr>
              <w:spacing w:after="20" w:line="240" w:lineRule="auto"/>
            </w:pPr>
            <w:r>
              <w:rPr>
                <w:b/>
                <w:sz w:val="18"/>
              </w:rPr>
            </w:r>
            <w:r>
              <w:rPr>
                <w:b/>
                <w:sz w:val="18"/>
              </w:rPr>
              <w:t>Hugging Face TEI / Infinity</w:t>
            </w:r>
          </w:p>
        </w:tc>
        <w:tc>
          <w:tcPr>
            <w:tcW w:type="dxa" w:w="3287"/>
          </w:tcPr>
          <w:p>
            <w:pPr>
              <w:spacing w:after="20" w:line="240" w:lineRule="auto"/>
            </w:pPr>
            <w:r>
              <w:rPr>
                <w:sz w:val="18"/>
              </w:rPr>
            </w:r>
            <w:r>
              <w:rPr>
                <w:sz w:val="18"/>
              </w:rPr>
              <w:t>Purpose-built embedding and reranker servers, very efficient on small GPUs or even CPU.</w:t>
            </w:r>
          </w:p>
        </w:tc>
        <w:tc>
          <w:tcPr>
            <w:tcW w:type="dxa" w:w="2848"/>
          </w:tcPr>
          <w:p>
            <w:pPr>
              <w:spacing w:after="20" w:line="240" w:lineRule="auto"/>
            </w:pPr>
            <w:r>
              <w:rPr>
                <w:sz w:val="18"/>
              </w:rPr>
            </w:r>
            <w:r>
              <w:rPr>
                <w:sz w:val="18"/>
              </w:rPr>
              <w:t>Embeddings and rerankers only.</w:t>
            </w:r>
          </w:p>
        </w:tc>
        <w:tc>
          <w:tcPr>
            <w:tcW w:type="dxa" w:w="1753"/>
          </w:tcPr>
          <w:p>
            <w:pPr>
              <w:spacing w:after="20" w:line="240" w:lineRule="auto"/>
            </w:pPr>
            <w:r>
              <w:rPr>
                <w:sz w:val="18"/>
              </w:rPr>
            </w:r>
            <w:r>
              <w:rPr>
                <w:b/>
                <w:sz w:val="18"/>
              </w:rPr>
              <w:t>Default</w:t>
            </w:r>
            <w:r>
              <w:rPr>
                <w:sz w:val="18"/>
              </w:rPr>
              <w:t xml:space="preserve"> for embeddings/rerankers.</w:t>
            </w:r>
          </w:p>
        </w:tc>
      </w:tr>
      <w:tr>
        <w:trPr>
          <w:cantSplit w:val="true"/>
        </w:trPr>
        <w:tc>
          <w:tcPr>
            <w:tcW w:type="dxa" w:w="1424"/>
            <w:shd w:val="clear" w:color="auto" w:fill="F2F6FA"/>
          </w:tcPr>
          <w:p>
            <w:pPr>
              <w:spacing w:after="20" w:line="240" w:lineRule="auto"/>
            </w:pPr>
            <w:r>
              <w:rPr>
                <w:b/>
                <w:sz w:val="18"/>
              </w:rPr>
            </w:r>
            <w:r>
              <w:rPr>
                <w:b/>
                <w:sz w:val="18"/>
              </w:rPr>
              <w:t>llama.cpp / Ollama</w:t>
            </w:r>
          </w:p>
        </w:tc>
        <w:tc>
          <w:tcPr>
            <w:tcW w:type="dxa" w:w="3287"/>
            <w:shd w:val="clear" w:color="auto" w:fill="F2F6FA"/>
          </w:tcPr>
          <w:p>
            <w:pPr>
              <w:spacing w:after="20" w:line="240" w:lineRule="auto"/>
            </w:pPr>
            <w:r>
              <w:rPr>
                <w:sz w:val="18"/>
              </w:rPr>
            </w:r>
            <w:r>
              <w:rPr>
                <w:sz w:val="18"/>
              </w:rPr>
              <w:t>Runs on CPU or small GPUs; trivial setup.</w:t>
            </w:r>
          </w:p>
        </w:tc>
        <w:tc>
          <w:tcPr>
            <w:tcW w:type="dxa" w:w="2848"/>
            <w:shd w:val="clear" w:color="auto" w:fill="F2F6FA"/>
          </w:tcPr>
          <w:p>
            <w:pPr>
              <w:spacing w:after="20" w:line="240" w:lineRule="auto"/>
            </w:pPr>
            <w:r>
              <w:rPr>
                <w:sz w:val="18"/>
              </w:rPr>
            </w:r>
            <w:r>
              <w:rPr>
                <w:sz w:val="18"/>
              </w:rPr>
              <w:t>Not designed for high-concurrency multi-tenant serving.</w:t>
            </w:r>
          </w:p>
        </w:tc>
        <w:tc>
          <w:tcPr>
            <w:tcW w:type="dxa" w:w="1753"/>
            <w:shd w:val="clear" w:color="auto" w:fill="F2F6FA"/>
          </w:tcPr>
          <w:p>
            <w:pPr>
              <w:spacing w:after="20" w:line="240" w:lineRule="auto"/>
            </w:pPr>
            <w:r>
              <w:rPr>
                <w:sz w:val="18"/>
              </w:rPr>
            </w:r>
            <w:r>
              <w:rPr>
                <w:sz w:val="18"/>
              </w:rPr>
              <w:t>Developer laptops and edge only.</w:t>
            </w:r>
          </w:p>
        </w:tc>
      </w:tr>
    </w:tbl>
    <w:p>
      <w:pPr>
        <w:spacing w:after="80"/>
      </w:pPr>
    </w:p>
    <w:p>
      <w:pPr>
        <w:pStyle w:val="Heading3"/>
      </w:pPr>
      <w:r>
        <w:t>Open-weight model families</w:t>
      </w:r>
    </w:p>
    <w:p>
      <w:r>
        <w:t>The open-weight landscape moves every few months. Select by evaluated performance on the company's own agentic task suite (tool-call accuracy, multi-turn reliability, instruction following, multilingual needs), licence and hardware fit, not by leaderboards alone. As of October 2026, families worth shortlisting include:</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2794"/>
        <w:gridCol w:w="2211"/>
        <w:gridCol w:w="4307"/>
      </w:tblGrid>
      <w:tr>
        <w:trPr>
          <w:tblHeader w:val="true"/>
        </w:trPr>
        <w:tc>
          <w:tcPr>
            <w:tcW w:type="dxa" w:w="2794"/>
            <w:shd w:val="clear" w:color="auto" w:fill="1F4E79"/>
          </w:tcPr>
          <w:p>
            <w:r/>
            <w:r>
              <w:rPr>
                <w:b/>
                <w:color w:val="FFFFFF"/>
                <w:sz w:val="18"/>
              </w:rPr>
              <w:t>Family (examples)</w:t>
            </w:r>
          </w:p>
        </w:tc>
        <w:tc>
          <w:tcPr>
            <w:tcW w:type="dxa" w:w="2211"/>
            <w:shd w:val="clear" w:color="auto" w:fill="1F4E79"/>
          </w:tcPr>
          <w:p>
            <w:r/>
            <w:r>
              <w:rPr>
                <w:b/>
                <w:color w:val="FFFFFF"/>
                <w:sz w:val="18"/>
              </w:rPr>
              <w:t>Typical role</w:t>
            </w:r>
          </w:p>
        </w:tc>
        <w:tc>
          <w:tcPr>
            <w:tcW w:type="dxa" w:w="4307"/>
            <w:shd w:val="clear" w:color="auto" w:fill="1F4E79"/>
          </w:tcPr>
          <w:p>
            <w:r/>
            <w:r>
              <w:rPr>
                <w:b/>
                <w:color w:val="FFFFFF"/>
                <w:sz w:val="18"/>
              </w:rPr>
              <w:t>Notes</w:t>
            </w:r>
          </w:p>
        </w:tc>
      </w:tr>
      <w:tr>
        <w:trPr>
          <w:cantSplit w:val="true"/>
        </w:trPr>
        <w:tc>
          <w:tcPr>
            <w:tcW w:type="dxa" w:w="2794"/>
          </w:tcPr>
          <w:p>
            <w:pPr>
              <w:spacing w:after="20" w:line="240" w:lineRule="auto"/>
            </w:pPr>
            <w:r>
              <w:rPr>
                <w:b/>
                <w:sz w:val="18"/>
              </w:rPr>
            </w:r>
            <w:r>
              <w:rPr>
                <w:b/>
                <w:sz w:val="18"/>
              </w:rPr>
              <w:t>Qwen (Qwen3 / 3.5 / 3.6 series, dense and MoE, Coder variants)</w:t>
            </w:r>
          </w:p>
        </w:tc>
        <w:tc>
          <w:tcPr>
            <w:tcW w:type="dxa" w:w="2211"/>
          </w:tcPr>
          <w:p>
            <w:pPr>
              <w:spacing w:after="20" w:line="240" w:lineRule="auto"/>
            </w:pPr>
            <w:r>
              <w:rPr>
                <w:sz w:val="18"/>
              </w:rPr>
            </w:r>
            <w:r>
              <w:rPr>
                <w:sz w:val="18"/>
              </w:rPr>
              <w:t>Primary reasoning and tool-use model; small fast model; coder</w:t>
            </w:r>
          </w:p>
        </w:tc>
        <w:tc>
          <w:tcPr>
            <w:tcW w:type="dxa" w:w="4307"/>
          </w:tcPr>
          <w:p>
            <w:pPr>
              <w:spacing w:after="20" w:line="240" w:lineRule="auto"/>
            </w:pPr>
            <w:r>
              <w:rPr>
                <w:sz w:val="18"/>
              </w:rPr>
            </w:r>
            <w:r>
              <w:rPr>
                <w:sz w:val="18"/>
              </w:rPr>
              <w:t>Apache 2.0 for most sizes; strong tool calling and multilingual; wide size range from ~9B to several hundred billion parameters (MoE).</w:t>
            </w:r>
          </w:p>
        </w:tc>
      </w:tr>
      <w:tr>
        <w:trPr>
          <w:cantSplit w:val="true"/>
        </w:trPr>
        <w:tc>
          <w:tcPr>
            <w:tcW w:type="dxa" w:w="2794"/>
            <w:shd w:val="clear" w:color="auto" w:fill="F2F6FA"/>
          </w:tcPr>
          <w:p>
            <w:pPr>
              <w:spacing w:after="20" w:line="240" w:lineRule="auto"/>
            </w:pPr>
            <w:r>
              <w:rPr>
                <w:b/>
                <w:sz w:val="18"/>
              </w:rPr>
            </w:r>
            <w:r>
              <w:rPr>
                <w:b/>
                <w:sz w:val="18"/>
              </w:rPr>
              <w:t>Llama (Llama 3.x 70B, Llama 4 MoE)</w:t>
            </w:r>
          </w:p>
        </w:tc>
        <w:tc>
          <w:tcPr>
            <w:tcW w:type="dxa" w:w="2211"/>
            <w:shd w:val="clear" w:color="auto" w:fill="F2F6FA"/>
          </w:tcPr>
          <w:p>
            <w:pPr>
              <w:spacing w:after="20" w:line="240" w:lineRule="auto"/>
            </w:pPr>
            <w:r>
              <w:rPr>
                <w:sz w:val="18"/>
              </w:rPr>
            </w:r>
            <w:r>
              <w:rPr>
                <w:sz w:val="18"/>
              </w:rPr>
              <w:t>General assistant</w:t>
            </w:r>
          </w:p>
        </w:tc>
        <w:tc>
          <w:tcPr>
            <w:tcW w:type="dxa" w:w="4307"/>
            <w:shd w:val="clear" w:color="auto" w:fill="F2F6FA"/>
          </w:tcPr>
          <w:p>
            <w:pPr>
              <w:spacing w:after="20" w:line="240" w:lineRule="auto"/>
            </w:pPr>
            <w:r>
              <w:rPr>
                <w:sz w:val="18"/>
              </w:rPr>
            </w:r>
            <w:r>
              <w:rPr>
                <w:sz w:val="18"/>
              </w:rPr>
              <w:t>Mature ecosystem; community licence with acceptable-use and scale conditions, so review with Legal.</w:t>
            </w:r>
          </w:p>
        </w:tc>
      </w:tr>
      <w:tr>
        <w:trPr>
          <w:cantSplit w:val="true"/>
        </w:trPr>
        <w:tc>
          <w:tcPr>
            <w:tcW w:type="dxa" w:w="2794"/>
          </w:tcPr>
          <w:p>
            <w:pPr>
              <w:spacing w:after="20" w:line="240" w:lineRule="auto"/>
            </w:pPr>
            <w:r>
              <w:rPr>
                <w:b/>
                <w:sz w:val="18"/>
              </w:rPr>
            </w:r>
            <w:r>
              <w:rPr>
                <w:b/>
                <w:sz w:val="18"/>
              </w:rPr>
              <w:t>Mistral (Mistral Small, Ministral, Mistral Large)</w:t>
            </w:r>
          </w:p>
        </w:tc>
        <w:tc>
          <w:tcPr>
            <w:tcW w:type="dxa" w:w="2211"/>
          </w:tcPr>
          <w:p>
            <w:pPr>
              <w:spacing w:after="20" w:line="240" w:lineRule="auto"/>
            </w:pPr>
            <w:r>
              <w:rPr>
                <w:sz w:val="18"/>
              </w:rPr>
            </w:r>
            <w:r>
              <w:rPr>
                <w:sz w:val="18"/>
              </w:rPr>
              <w:t>Efficient general and tool-use models</w:t>
            </w:r>
          </w:p>
        </w:tc>
        <w:tc>
          <w:tcPr>
            <w:tcW w:type="dxa" w:w="4307"/>
          </w:tcPr>
          <w:p>
            <w:pPr>
              <w:spacing w:after="20" w:line="240" w:lineRule="auto"/>
            </w:pPr>
            <w:r>
              <w:rPr>
                <w:sz w:val="18"/>
              </w:rPr>
            </w:r>
            <w:r>
              <w:rPr>
                <w:sz w:val="18"/>
              </w:rPr>
              <w:t>Several Apache 2.0 releases; good function calling; European vendor.</w:t>
            </w:r>
          </w:p>
        </w:tc>
      </w:tr>
      <w:tr>
        <w:trPr>
          <w:cantSplit w:val="true"/>
        </w:trPr>
        <w:tc>
          <w:tcPr>
            <w:tcW w:type="dxa" w:w="2794"/>
            <w:shd w:val="clear" w:color="auto" w:fill="F2F6FA"/>
          </w:tcPr>
          <w:p>
            <w:pPr>
              <w:spacing w:after="20" w:line="240" w:lineRule="auto"/>
            </w:pPr>
            <w:r>
              <w:rPr>
                <w:b/>
                <w:sz w:val="18"/>
              </w:rPr>
            </w:r>
            <w:r>
              <w:rPr>
                <w:b/>
                <w:sz w:val="18"/>
              </w:rPr>
              <w:t>DeepSeek (V3.x / V4, R1-style reasoning)</w:t>
            </w:r>
          </w:p>
        </w:tc>
        <w:tc>
          <w:tcPr>
            <w:tcW w:type="dxa" w:w="2211"/>
            <w:shd w:val="clear" w:color="auto" w:fill="F2F6FA"/>
          </w:tcPr>
          <w:p>
            <w:pPr>
              <w:spacing w:after="20" w:line="240" w:lineRule="auto"/>
            </w:pPr>
            <w:r>
              <w:rPr>
                <w:sz w:val="18"/>
              </w:rPr>
            </w:r>
            <w:r>
              <w:rPr>
                <w:sz w:val="18"/>
              </w:rPr>
              <w:t>Top-end reasoning and coding</w:t>
            </w:r>
          </w:p>
        </w:tc>
        <w:tc>
          <w:tcPr>
            <w:tcW w:type="dxa" w:w="4307"/>
            <w:shd w:val="clear" w:color="auto" w:fill="F2F6FA"/>
          </w:tcPr>
          <w:p>
            <w:pPr>
              <w:spacing w:after="20" w:line="240" w:lineRule="auto"/>
            </w:pPr>
            <w:r>
              <w:rPr>
                <w:sz w:val="18"/>
              </w:rPr>
            </w:r>
            <w:r>
              <w:rPr>
                <w:sz w:val="18"/>
              </w:rPr>
              <w:t>MIT-licensed weights; very large MoE models need multi-node or 8x high-memory GPU nodes.</w:t>
            </w:r>
          </w:p>
        </w:tc>
      </w:tr>
      <w:tr>
        <w:trPr>
          <w:cantSplit w:val="true"/>
        </w:trPr>
        <w:tc>
          <w:tcPr>
            <w:tcW w:type="dxa" w:w="2794"/>
          </w:tcPr>
          <w:p>
            <w:pPr>
              <w:spacing w:after="20" w:line="240" w:lineRule="auto"/>
            </w:pPr>
            <w:r>
              <w:rPr>
                <w:b/>
                <w:sz w:val="18"/>
              </w:rPr>
            </w:r>
            <w:r>
              <w:rPr>
                <w:b/>
                <w:sz w:val="18"/>
              </w:rPr>
              <w:t>OpenAI gpt-oss (20B, 120B)</w:t>
            </w:r>
          </w:p>
        </w:tc>
        <w:tc>
          <w:tcPr>
            <w:tcW w:type="dxa" w:w="2211"/>
          </w:tcPr>
          <w:p>
            <w:pPr>
              <w:spacing w:after="20" w:line="240" w:lineRule="auto"/>
            </w:pPr>
            <w:r>
              <w:rPr>
                <w:sz w:val="18"/>
              </w:rPr>
            </w:r>
            <w:r>
              <w:rPr>
                <w:sz w:val="18"/>
              </w:rPr>
              <w:t>Efficient tool-use and reasoning</w:t>
            </w:r>
          </w:p>
        </w:tc>
        <w:tc>
          <w:tcPr>
            <w:tcW w:type="dxa" w:w="4307"/>
          </w:tcPr>
          <w:p>
            <w:pPr>
              <w:spacing w:after="20" w:line="240" w:lineRule="auto"/>
            </w:pPr>
            <w:r>
              <w:rPr>
                <w:sz w:val="18"/>
              </w:rPr>
            </w:r>
            <w:r>
              <w:rPr>
                <w:sz w:val="18"/>
              </w:rPr>
              <w:t>Apache 2.0; MoE with low active parameters; 120B fits on a single 80 GB GPU in native MXFP4.</w:t>
            </w:r>
          </w:p>
        </w:tc>
      </w:tr>
      <w:tr>
        <w:trPr>
          <w:cantSplit w:val="true"/>
        </w:trPr>
        <w:tc>
          <w:tcPr>
            <w:tcW w:type="dxa" w:w="2794"/>
            <w:shd w:val="clear" w:color="auto" w:fill="F2F6FA"/>
          </w:tcPr>
          <w:p>
            <w:pPr>
              <w:spacing w:after="20" w:line="240" w:lineRule="auto"/>
            </w:pPr>
            <w:r>
              <w:rPr>
                <w:b/>
                <w:sz w:val="18"/>
              </w:rPr>
            </w:r>
            <w:r>
              <w:rPr>
                <w:b/>
                <w:sz w:val="18"/>
              </w:rPr>
              <w:t>Others: GLM, Gemma, IBM Granite, Phi</w:t>
            </w:r>
          </w:p>
        </w:tc>
        <w:tc>
          <w:tcPr>
            <w:tcW w:type="dxa" w:w="2211"/>
            <w:shd w:val="clear" w:color="auto" w:fill="F2F6FA"/>
          </w:tcPr>
          <w:p>
            <w:pPr>
              <w:spacing w:after="20" w:line="240" w:lineRule="auto"/>
            </w:pPr>
            <w:r>
              <w:rPr>
                <w:sz w:val="18"/>
              </w:rPr>
            </w:r>
            <w:r>
              <w:rPr>
                <w:sz w:val="18"/>
              </w:rPr>
              <w:t>Small models, classification, guardrails, on-CPU tasks</w:t>
            </w:r>
          </w:p>
        </w:tc>
        <w:tc>
          <w:tcPr>
            <w:tcW w:type="dxa" w:w="4307"/>
            <w:shd w:val="clear" w:color="auto" w:fill="F2F6FA"/>
          </w:tcPr>
          <w:p>
            <w:pPr>
              <w:spacing w:after="20" w:line="240" w:lineRule="auto"/>
            </w:pPr>
            <w:r>
              <w:rPr>
                <w:sz w:val="18"/>
              </w:rPr>
            </w:r>
            <w:r>
              <w:rPr>
                <w:sz w:val="18"/>
              </w:rPr>
              <w:t>Useful for routing, PII detection, summarisation and safety classifiers.</w:t>
            </w:r>
          </w:p>
        </w:tc>
      </w:tr>
      <w:tr>
        <w:trPr>
          <w:cantSplit w:val="true"/>
        </w:trPr>
        <w:tc>
          <w:tcPr>
            <w:tcW w:type="dxa" w:w="2794"/>
          </w:tcPr>
          <w:p>
            <w:pPr>
              <w:spacing w:after="20" w:line="240" w:lineRule="auto"/>
            </w:pPr>
            <w:r>
              <w:rPr>
                <w:b/>
                <w:sz w:val="18"/>
              </w:rPr>
            </w:r>
            <w:r>
              <w:rPr>
                <w:b/>
                <w:sz w:val="18"/>
              </w:rPr>
              <w:t>Embeddings: BGE-M3, Qwen3-Embedding, multilingual-e5, nomic-embed</w:t>
            </w:r>
          </w:p>
        </w:tc>
        <w:tc>
          <w:tcPr>
            <w:tcW w:type="dxa" w:w="2211"/>
          </w:tcPr>
          <w:p>
            <w:pPr>
              <w:spacing w:after="20" w:line="240" w:lineRule="auto"/>
            </w:pPr>
            <w:r>
              <w:rPr>
                <w:sz w:val="18"/>
              </w:rPr>
            </w:r>
            <w:r>
              <w:rPr>
                <w:sz w:val="18"/>
              </w:rPr>
              <w:t>Retrieval</w:t>
            </w:r>
          </w:p>
        </w:tc>
        <w:tc>
          <w:tcPr>
            <w:tcW w:type="dxa" w:w="4307"/>
          </w:tcPr>
          <w:p>
            <w:pPr>
              <w:spacing w:after="20" w:line="240" w:lineRule="auto"/>
            </w:pPr>
            <w:r>
              <w:rPr>
                <w:sz w:val="18"/>
              </w:rPr>
            </w:r>
            <w:r>
              <w:rPr>
                <w:sz w:val="18"/>
              </w:rPr>
              <w:t>BGE-M3 offers dense + sparse in one model and strong multilingual coverage.</w:t>
            </w:r>
          </w:p>
        </w:tc>
      </w:tr>
      <w:tr>
        <w:trPr>
          <w:cantSplit w:val="true"/>
        </w:trPr>
        <w:tc>
          <w:tcPr>
            <w:tcW w:type="dxa" w:w="2794"/>
            <w:shd w:val="clear" w:color="auto" w:fill="F2F6FA"/>
          </w:tcPr>
          <w:p>
            <w:pPr>
              <w:spacing w:after="20" w:line="240" w:lineRule="auto"/>
            </w:pPr>
            <w:r>
              <w:rPr>
                <w:b/>
                <w:sz w:val="18"/>
              </w:rPr>
            </w:r>
            <w:r>
              <w:rPr>
                <w:b/>
                <w:sz w:val="18"/>
              </w:rPr>
              <w:t>Rerankers: bge-reranker-v2-m3, Qwen3-Reranker, mxbai-rerank</w:t>
            </w:r>
          </w:p>
        </w:tc>
        <w:tc>
          <w:tcPr>
            <w:tcW w:type="dxa" w:w="2211"/>
            <w:shd w:val="clear" w:color="auto" w:fill="F2F6FA"/>
          </w:tcPr>
          <w:p>
            <w:pPr>
              <w:spacing w:after="20" w:line="240" w:lineRule="auto"/>
            </w:pPr>
            <w:r>
              <w:rPr>
                <w:sz w:val="18"/>
              </w:rPr>
            </w:r>
            <w:r>
              <w:rPr>
                <w:sz w:val="18"/>
              </w:rPr>
              <w:t>Precision for RAG</w:t>
            </w:r>
          </w:p>
        </w:tc>
        <w:tc>
          <w:tcPr>
            <w:tcW w:type="dxa" w:w="4307"/>
            <w:shd w:val="clear" w:color="auto" w:fill="F2F6FA"/>
          </w:tcPr>
          <w:p>
            <w:pPr>
              <w:spacing w:after="20" w:line="240" w:lineRule="auto"/>
            </w:pPr>
            <w:r>
              <w:rPr>
                <w:sz w:val="18"/>
              </w:rPr>
            </w:r>
            <w:r>
              <w:rPr>
                <w:sz w:val="18"/>
              </w:rPr>
              <w:t>Cross-encoders; run on small GPUs; large gains in answer quality per unit cost.</w:t>
            </w:r>
          </w:p>
        </w:tc>
      </w:tr>
      <w:tr>
        <w:trPr>
          <w:cantSplit w:val="true"/>
        </w:trPr>
        <w:tc>
          <w:tcPr>
            <w:tcW w:type="dxa" w:w="2794"/>
          </w:tcPr>
          <w:p>
            <w:pPr>
              <w:spacing w:after="20" w:line="240" w:lineRule="auto"/>
            </w:pPr>
            <w:r>
              <w:rPr>
                <w:b/>
                <w:sz w:val="18"/>
              </w:rPr>
            </w:r>
            <w:r>
              <w:rPr>
                <w:b/>
                <w:sz w:val="18"/>
              </w:rPr>
              <w:t>Guardrail classifiers: Llama Guard, Granite Guardian, ShieldGemma</w:t>
            </w:r>
          </w:p>
        </w:tc>
        <w:tc>
          <w:tcPr>
            <w:tcW w:type="dxa" w:w="2211"/>
          </w:tcPr>
          <w:p>
            <w:pPr>
              <w:spacing w:after="20" w:line="240" w:lineRule="auto"/>
            </w:pPr>
            <w:r>
              <w:rPr>
                <w:sz w:val="18"/>
              </w:rPr>
            </w:r>
            <w:r>
              <w:rPr>
                <w:sz w:val="18"/>
              </w:rPr>
              <w:t>Input/output safety screening</w:t>
            </w:r>
          </w:p>
        </w:tc>
        <w:tc>
          <w:tcPr>
            <w:tcW w:type="dxa" w:w="4307"/>
          </w:tcPr>
          <w:p>
            <w:pPr>
              <w:spacing w:after="20" w:line="240" w:lineRule="auto"/>
            </w:pPr>
            <w:r>
              <w:rPr>
                <w:sz w:val="18"/>
              </w:rPr>
            </w:r>
            <w:r>
              <w:rPr>
                <w:sz w:val="18"/>
              </w:rPr>
              <w:t>Small models run alongside the main pool.</w:t>
            </w:r>
          </w:p>
        </w:tc>
      </w:tr>
    </w:tbl>
    <w:p>
      <w:pPr>
        <w:spacing w:after="80"/>
      </w:pPr>
    </w:p>
    <w:tbl>
      <w:tblPr>
        <w:jc w:val="center"/>
        <w:tblLook w:firstColumn="1" w:firstRow="1" w:lastColumn="0" w:lastRow="0" w:noHBand="0" w:noVBand="1" w:val="04A0"/>
        <w:tblCellMar>
          <w:top w:w="100" w:type="dxa"/>
          <w:left w:w="160" w:type="dxa"/>
          <w:bottom w:w="100" w:type="dxa"/>
          <w:right w:w="140" w:type="dxa"/>
        </w:tblCellMar>
        <w:tblW w:w="9313" w:type="dxa"/>
        <w:tblLayout w:type="fixed"/>
      </w:tblPr>
      <w:tblGrid>
        <w:gridCol w:w="9313"/>
      </w:tblGrid>
      <w:tr>
        <w:tc>
          <w:tcPr>
            <w:tcW w:type="dxa" w:w="9313"/>
            <w:shd w:val="clear" w:color="auto" w:fill="EAF2FB"/>
            <w:tcBorders>
              <w:left w:val="single" w:sz="24" w:color="1F4E79"/>
            </w:tcBorders>
          </w:tcPr>
          <w:p>
            <w:pPr>
              <w:spacing w:after="40"/>
            </w:pPr>
            <w:r>
              <w:rPr>
                <w:b/>
                <w:color w:val="1F4E79"/>
              </w:rPr>
              <w:t>Recommended starting portfolio</w:t>
            </w:r>
          </w:p>
          <w:p>
            <w:pPr>
              <w:spacing w:after="40"/>
            </w:pPr>
            <w:r>
              <w:rPr>
                <w:b/>
              </w:rPr>
              <w:t>Reasoning tier</w:t>
            </w:r>
            <w:r>
              <w:t>: one model in the ~70B-dense or ~100-250B MoE class with proven tool calling (e.g. a Qwen 3.x MoE, gpt-oss-120b or Llama 3.3 70B) in FP8.</w:t>
            </w:r>
          </w:p>
          <w:p>
            <w:pPr>
              <w:spacing w:after="40"/>
            </w:pPr>
            <w:r>
              <w:rPr>
                <w:b/>
              </w:rPr>
              <w:t>Fast tier</w:t>
            </w:r>
            <w:r>
              <w:t>: one ~7B to 32B model (or a small-active MoE such as a ~30B-A3B) for routing, summarisation, memory extraction, titles and classification.</w:t>
            </w:r>
          </w:p>
          <w:p>
            <w:pPr>
              <w:spacing w:after="40"/>
            </w:pPr>
            <w:r>
              <w:rPr>
                <w:b/>
              </w:rPr>
              <w:t>Retrieval</w:t>
            </w:r>
            <w:r>
              <w:t>: BGE-M3 (or Qwen3-Embedding) plus a cross-encoder reranker on TEI.</w:t>
            </w:r>
          </w:p>
          <w:p>
            <w:pPr>
              <w:spacing w:after="40"/>
            </w:pPr>
            <w:r>
              <w:rPr>
                <w:b/>
              </w:rPr>
              <w:t>Vision</w:t>
            </w:r>
            <w:r>
              <w:t xml:space="preserve"> (Phase 1+): a vision-language model for screenshots, scanned documents and charts.</w:t>
            </w:r>
          </w:p>
          <w:p>
            <w:pPr>
              <w:spacing w:after="40"/>
            </w:pPr>
            <w:r>
              <w:t>Keep weights in an internal model registry (e.g. an S3 bucket plus MLflow, or a Hugging Face Hub mirror) with checksums, licence metadata and evaluation results; nodes never pull from the internet.</w:t>
            </w:r>
          </w:p>
        </w:tc>
      </w:tr>
    </w:tbl>
    <w:p>
      <w:pPr>
        <w:spacing w:after="40"/>
      </w:pPr>
    </w:p>
    <w:p>
      <w:pPr>
        <w:pStyle w:val="Heading3"/>
      </w:pPr>
      <w:r>
        <w:t>GPU sizing guidance</w:t>
      </w:r>
    </w:p>
    <w:p>
      <w:r>
        <w:t xml:space="preserve">Two quantities determine GPU memory: </w:t>
      </w:r>
      <w:r>
        <w:rPr>
          <w:b/>
        </w:rPr>
        <w:t>weights</w:t>
      </w:r>
      <w:r>
        <w:t xml:space="preserve"> (parameters x bytes per parameter) and </w:t>
      </w:r>
      <w:r>
        <w:rPr>
          <w:b/>
        </w:rPr>
        <w:t>KV cache</w:t>
      </w:r>
      <w:r>
        <w:t xml:space="preserve"> (grows with concurrent tokens in flight). Compute throughput determines tokens per second. For MoE models, all experts must be resident in memory, but per-token compute scales with </w:t>
      </w:r>
      <w:r>
        <w:rPr>
          <w:b/>
        </w:rPr>
        <w:t>active</w:t>
      </w:r>
      <w:r>
        <w:t xml:space="preserve"> parameters, which makes MoE attractive for throughput.</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2759"/>
        <w:gridCol w:w="1264"/>
        <w:gridCol w:w="1839"/>
        <w:gridCol w:w="3449"/>
      </w:tblGrid>
      <w:tr>
        <w:trPr>
          <w:tblHeader w:val="true"/>
        </w:trPr>
        <w:tc>
          <w:tcPr>
            <w:tcW w:type="dxa" w:w="2759"/>
            <w:shd w:val="clear" w:color="auto" w:fill="1F4E79"/>
          </w:tcPr>
          <w:p>
            <w:r/>
            <w:r>
              <w:rPr>
                <w:b/>
                <w:color w:val="FFFFFF"/>
                <w:sz w:val="18"/>
              </w:rPr>
              <w:t>Precision</w:t>
            </w:r>
          </w:p>
        </w:tc>
        <w:tc>
          <w:tcPr>
            <w:tcW w:type="dxa" w:w="1264"/>
            <w:shd w:val="clear" w:color="auto" w:fill="1F4E79"/>
          </w:tcPr>
          <w:p>
            <w:r/>
            <w:r>
              <w:rPr>
                <w:b/>
                <w:color w:val="FFFFFF"/>
                <w:sz w:val="18"/>
              </w:rPr>
              <w:t>Bytes / param</w:t>
            </w:r>
          </w:p>
        </w:tc>
        <w:tc>
          <w:tcPr>
            <w:tcW w:type="dxa" w:w="1839"/>
            <w:shd w:val="clear" w:color="auto" w:fill="1F4E79"/>
          </w:tcPr>
          <w:p>
            <w:r/>
            <w:r>
              <w:rPr>
                <w:b/>
                <w:color w:val="FFFFFF"/>
                <w:sz w:val="18"/>
              </w:rPr>
              <w:t>70B dense weights</w:t>
            </w:r>
          </w:p>
        </w:tc>
        <w:tc>
          <w:tcPr>
            <w:tcW w:type="dxa" w:w="3449"/>
            <w:shd w:val="clear" w:color="auto" w:fill="1F4E79"/>
          </w:tcPr>
          <w:p>
            <w:r/>
            <w:r>
              <w:rPr>
                <w:b/>
                <w:color w:val="FFFFFF"/>
                <w:sz w:val="18"/>
              </w:rPr>
              <w:t>Quality impact (typical)</w:t>
            </w:r>
          </w:p>
        </w:tc>
      </w:tr>
      <w:tr>
        <w:trPr>
          <w:cantSplit w:val="true"/>
        </w:trPr>
        <w:tc>
          <w:tcPr>
            <w:tcW w:type="dxa" w:w="2759"/>
          </w:tcPr>
          <w:p>
            <w:pPr>
              <w:spacing w:after="20" w:line="240" w:lineRule="auto"/>
            </w:pPr>
            <w:r>
              <w:rPr>
                <w:b/>
                <w:sz w:val="18"/>
              </w:rPr>
            </w:r>
            <w:r>
              <w:rPr>
                <w:b/>
                <w:sz w:val="18"/>
              </w:rPr>
              <w:t>BF16 / FP16</w:t>
            </w:r>
          </w:p>
        </w:tc>
        <w:tc>
          <w:tcPr>
            <w:tcW w:type="dxa" w:w="1264"/>
          </w:tcPr>
          <w:p>
            <w:pPr>
              <w:spacing w:after="20" w:line="240" w:lineRule="auto"/>
            </w:pPr>
            <w:r>
              <w:rPr>
                <w:sz w:val="18"/>
              </w:rPr>
            </w:r>
            <w:r>
              <w:rPr>
                <w:sz w:val="18"/>
              </w:rPr>
              <w:t>2</w:t>
            </w:r>
          </w:p>
        </w:tc>
        <w:tc>
          <w:tcPr>
            <w:tcW w:type="dxa" w:w="1839"/>
          </w:tcPr>
          <w:p>
            <w:pPr>
              <w:spacing w:after="20" w:line="240" w:lineRule="auto"/>
            </w:pPr>
            <w:r>
              <w:rPr>
                <w:sz w:val="18"/>
              </w:rPr>
            </w:r>
            <w:r>
              <w:rPr>
                <w:sz w:val="18"/>
              </w:rPr>
              <w:t>~140 GB</w:t>
            </w:r>
          </w:p>
        </w:tc>
        <w:tc>
          <w:tcPr>
            <w:tcW w:type="dxa" w:w="3449"/>
          </w:tcPr>
          <w:p>
            <w:pPr>
              <w:spacing w:after="20" w:line="240" w:lineRule="auto"/>
            </w:pPr>
            <w:r>
              <w:rPr>
                <w:sz w:val="18"/>
              </w:rPr>
            </w:r>
            <w:r>
              <w:rPr>
                <w:sz w:val="18"/>
              </w:rPr>
              <w:t>Reference</w:t>
            </w:r>
          </w:p>
        </w:tc>
      </w:tr>
      <w:tr>
        <w:trPr>
          <w:cantSplit w:val="true"/>
        </w:trPr>
        <w:tc>
          <w:tcPr>
            <w:tcW w:type="dxa" w:w="2759"/>
            <w:shd w:val="clear" w:color="auto" w:fill="F2F6FA"/>
          </w:tcPr>
          <w:p>
            <w:pPr>
              <w:spacing w:after="20" w:line="240" w:lineRule="auto"/>
            </w:pPr>
            <w:r>
              <w:rPr>
                <w:b/>
                <w:sz w:val="18"/>
              </w:rPr>
            </w:r>
            <w:r>
              <w:rPr>
                <w:b/>
                <w:sz w:val="18"/>
              </w:rPr>
              <w:t>FP8 (H100/H200/B200, MI300-class)</w:t>
            </w:r>
          </w:p>
        </w:tc>
        <w:tc>
          <w:tcPr>
            <w:tcW w:type="dxa" w:w="1264"/>
            <w:shd w:val="clear" w:color="auto" w:fill="F2F6FA"/>
          </w:tcPr>
          <w:p>
            <w:pPr>
              <w:spacing w:after="20" w:line="240" w:lineRule="auto"/>
            </w:pPr>
            <w:r>
              <w:rPr>
                <w:sz w:val="18"/>
              </w:rPr>
            </w:r>
            <w:r>
              <w:rPr>
                <w:sz w:val="18"/>
              </w:rPr>
              <w:t>1</w:t>
            </w:r>
          </w:p>
        </w:tc>
        <w:tc>
          <w:tcPr>
            <w:tcW w:type="dxa" w:w="1839"/>
            <w:shd w:val="clear" w:color="auto" w:fill="F2F6FA"/>
          </w:tcPr>
          <w:p>
            <w:pPr>
              <w:spacing w:after="20" w:line="240" w:lineRule="auto"/>
            </w:pPr>
            <w:r>
              <w:rPr>
                <w:sz w:val="18"/>
              </w:rPr>
            </w:r>
            <w:r>
              <w:rPr>
                <w:sz w:val="18"/>
              </w:rPr>
              <w:t>~70 GB</w:t>
            </w:r>
          </w:p>
        </w:tc>
        <w:tc>
          <w:tcPr>
            <w:tcW w:type="dxa" w:w="3449"/>
            <w:shd w:val="clear" w:color="auto" w:fill="F2F6FA"/>
          </w:tcPr>
          <w:p>
            <w:pPr>
              <w:spacing w:after="20" w:line="240" w:lineRule="auto"/>
            </w:pPr>
            <w:r>
              <w:rPr>
                <w:sz w:val="18"/>
              </w:rPr>
            </w:r>
            <w:r>
              <w:rPr>
                <w:sz w:val="18"/>
              </w:rPr>
              <w:t xml:space="preserve">Negligible for most tasks; </w:t>
            </w:r>
            <w:r>
              <w:rPr>
                <w:b/>
                <w:sz w:val="18"/>
              </w:rPr>
              <w:t>recommended default</w:t>
            </w:r>
          </w:p>
        </w:tc>
      </w:tr>
      <w:tr>
        <w:trPr>
          <w:cantSplit w:val="true"/>
        </w:trPr>
        <w:tc>
          <w:tcPr>
            <w:tcW w:type="dxa" w:w="2759"/>
          </w:tcPr>
          <w:p>
            <w:pPr>
              <w:spacing w:after="20" w:line="240" w:lineRule="auto"/>
            </w:pPr>
            <w:r>
              <w:rPr>
                <w:b/>
                <w:sz w:val="18"/>
              </w:rPr>
            </w:r>
            <w:r>
              <w:rPr>
                <w:b/>
                <w:sz w:val="18"/>
              </w:rPr>
              <w:t>INT8 (W8A8 / SmoothQuant)</w:t>
            </w:r>
          </w:p>
        </w:tc>
        <w:tc>
          <w:tcPr>
            <w:tcW w:type="dxa" w:w="1264"/>
          </w:tcPr>
          <w:p>
            <w:pPr>
              <w:spacing w:after="20" w:line="240" w:lineRule="auto"/>
            </w:pPr>
            <w:r>
              <w:rPr>
                <w:sz w:val="18"/>
              </w:rPr>
            </w:r>
            <w:r>
              <w:rPr>
                <w:sz w:val="18"/>
              </w:rPr>
              <w:t>1</w:t>
            </w:r>
          </w:p>
        </w:tc>
        <w:tc>
          <w:tcPr>
            <w:tcW w:type="dxa" w:w="1839"/>
          </w:tcPr>
          <w:p>
            <w:pPr>
              <w:spacing w:after="20" w:line="240" w:lineRule="auto"/>
            </w:pPr>
            <w:r>
              <w:rPr>
                <w:sz w:val="18"/>
              </w:rPr>
            </w:r>
            <w:r>
              <w:rPr>
                <w:sz w:val="18"/>
              </w:rPr>
              <w:t>~70 GB</w:t>
            </w:r>
          </w:p>
        </w:tc>
        <w:tc>
          <w:tcPr>
            <w:tcW w:type="dxa" w:w="3449"/>
          </w:tcPr>
          <w:p>
            <w:pPr>
              <w:spacing w:after="20" w:line="240" w:lineRule="auto"/>
            </w:pPr>
            <w:r>
              <w:rPr>
                <w:sz w:val="18"/>
              </w:rPr>
            </w:r>
            <w:r>
              <w:rPr>
                <w:sz w:val="18"/>
              </w:rPr>
              <w:t>Small; for GPUs without FP8 (A100, L4 class)</w:t>
            </w:r>
          </w:p>
        </w:tc>
      </w:tr>
      <w:tr>
        <w:trPr>
          <w:cantSplit w:val="true"/>
        </w:trPr>
        <w:tc>
          <w:tcPr>
            <w:tcW w:type="dxa" w:w="2759"/>
            <w:shd w:val="clear" w:color="auto" w:fill="F2F6FA"/>
          </w:tcPr>
          <w:p>
            <w:pPr>
              <w:spacing w:after="20" w:line="240" w:lineRule="auto"/>
            </w:pPr>
            <w:r>
              <w:rPr>
                <w:b/>
                <w:sz w:val="18"/>
              </w:rPr>
            </w:r>
            <w:r>
              <w:rPr>
                <w:b/>
                <w:sz w:val="18"/>
              </w:rPr>
              <w:t>4-bit (AWQ, GPTQ, MXFP4, NVFP4)</w:t>
            </w:r>
          </w:p>
        </w:tc>
        <w:tc>
          <w:tcPr>
            <w:tcW w:type="dxa" w:w="1264"/>
            <w:shd w:val="clear" w:color="auto" w:fill="F2F6FA"/>
          </w:tcPr>
          <w:p>
            <w:pPr>
              <w:spacing w:after="20" w:line="240" w:lineRule="auto"/>
            </w:pPr>
            <w:r>
              <w:rPr>
                <w:sz w:val="18"/>
              </w:rPr>
            </w:r>
            <w:r>
              <w:rPr>
                <w:sz w:val="18"/>
              </w:rPr>
              <w:t>~0.5</w:t>
            </w:r>
          </w:p>
        </w:tc>
        <w:tc>
          <w:tcPr>
            <w:tcW w:type="dxa" w:w="1839"/>
            <w:shd w:val="clear" w:color="auto" w:fill="F2F6FA"/>
          </w:tcPr>
          <w:p>
            <w:pPr>
              <w:spacing w:after="20" w:line="240" w:lineRule="auto"/>
            </w:pPr>
            <w:r>
              <w:rPr>
                <w:sz w:val="18"/>
              </w:rPr>
            </w:r>
            <w:r>
              <w:rPr>
                <w:sz w:val="18"/>
              </w:rPr>
              <w:t>~35 to 40 GB</w:t>
            </w:r>
          </w:p>
        </w:tc>
        <w:tc>
          <w:tcPr>
            <w:tcW w:type="dxa" w:w="3449"/>
            <w:shd w:val="clear" w:color="auto" w:fill="F2F6FA"/>
          </w:tcPr>
          <w:p>
            <w:pPr>
              <w:spacing w:after="20" w:line="240" w:lineRule="auto"/>
            </w:pPr>
            <w:r>
              <w:rPr>
                <w:sz w:val="18"/>
              </w:rPr>
            </w:r>
            <w:r>
              <w:rPr>
                <w:sz w:val="18"/>
              </w:rPr>
              <w:t>Small to moderate; validate tool-call accuracy carefully</w:t>
            </w:r>
          </w:p>
        </w:tc>
      </w:tr>
    </w:tbl>
    <w:p>
      <w:pPr>
        <w:spacing w:after="80"/>
      </w:pPr>
    </w:p>
    <w:p>
      <w:r>
        <w:rPr>
          <w:b/>
        </w:rPr>
        <w:t>Worked example (illustrative).</w:t>
      </w:r>
      <w:r>
        <w:t xml:space="preserve"> A 70B-class dense model with grouped-query attention (80 layers, 8 KV heads, head dimension 128) needs about 2 x 80 x 8 x 128 x 2 bytes = ~0.33 MB of FP16 KV cache per token (~0.16 MB with FP8 KV cache). Serving 32 concurrent sequences averaging 16k tokens of context needs ~512k tokens of cache, i.e. ~170 GB in FP16 or ~85 GB in FP8. With FP8 weights (~70 GB) plus FP8 KV cache, a 4 x 80 GB GPU replica (tensor parallel 4) leaves comfortable headroom; a 2 x 80 GB replica works for lower concurrency. Agent workloads have long, repetitive prompts (system prompt plus tool schemas), so </w:t>
      </w:r>
      <w:r>
        <w:rPr>
          <w:b/>
        </w:rPr>
        <w:t>prefix caching</w:t>
      </w:r>
      <w:r>
        <w:t xml:space="preserve"> substantially reduces effective prefill cost.</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2211"/>
        <w:gridCol w:w="3725"/>
        <w:gridCol w:w="3376"/>
      </w:tblGrid>
      <w:tr>
        <w:trPr>
          <w:tblHeader w:val="true"/>
        </w:trPr>
        <w:tc>
          <w:tcPr>
            <w:tcW w:type="dxa" w:w="2211"/>
            <w:shd w:val="clear" w:color="auto" w:fill="1F4E79"/>
          </w:tcPr>
          <w:p>
            <w:r/>
            <w:r>
              <w:rPr>
                <w:b/>
                <w:color w:val="FFFFFF"/>
                <w:sz w:val="18"/>
              </w:rPr>
              <w:t>Model class</w:t>
            </w:r>
          </w:p>
        </w:tc>
        <w:tc>
          <w:tcPr>
            <w:tcW w:type="dxa" w:w="3725"/>
            <w:shd w:val="clear" w:color="auto" w:fill="1F4E79"/>
          </w:tcPr>
          <w:p>
            <w:r/>
            <w:r>
              <w:rPr>
                <w:b/>
                <w:color w:val="FFFFFF"/>
                <w:sz w:val="18"/>
              </w:rPr>
              <w:t>Example deployment per replica</w:t>
            </w:r>
          </w:p>
        </w:tc>
        <w:tc>
          <w:tcPr>
            <w:tcW w:type="dxa" w:w="3376"/>
            <w:shd w:val="clear" w:color="auto" w:fill="1F4E79"/>
          </w:tcPr>
          <w:p>
            <w:r/>
            <w:r>
              <w:rPr>
                <w:b/>
                <w:color w:val="FFFFFF"/>
                <w:sz w:val="18"/>
              </w:rPr>
              <w:t>Notes</w:t>
            </w:r>
          </w:p>
        </w:tc>
      </w:tr>
      <w:tr>
        <w:trPr>
          <w:cantSplit w:val="true"/>
        </w:trPr>
        <w:tc>
          <w:tcPr>
            <w:tcW w:type="dxa" w:w="2211"/>
          </w:tcPr>
          <w:p>
            <w:pPr>
              <w:spacing w:after="20" w:line="240" w:lineRule="auto"/>
            </w:pPr>
            <w:r>
              <w:rPr>
                <w:b/>
                <w:sz w:val="18"/>
              </w:rPr>
            </w:r>
            <w:r>
              <w:rPr>
                <w:b/>
                <w:sz w:val="18"/>
              </w:rPr>
              <w:t>7B to 14B dense</w:t>
            </w:r>
          </w:p>
        </w:tc>
        <w:tc>
          <w:tcPr>
            <w:tcW w:type="dxa" w:w="3725"/>
          </w:tcPr>
          <w:p>
            <w:pPr>
              <w:spacing w:after="20" w:line="240" w:lineRule="auto"/>
            </w:pPr>
            <w:r>
              <w:rPr>
                <w:sz w:val="18"/>
              </w:rPr>
            </w:r>
            <w:r>
              <w:rPr>
                <w:sz w:val="18"/>
              </w:rPr>
              <w:t>1 x L40S / L4 (48 / 24 GB) or 1 x A100/H100 shared via MIG</w:t>
            </w:r>
          </w:p>
        </w:tc>
        <w:tc>
          <w:tcPr>
            <w:tcW w:type="dxa" w:w="3376"/>
          </w:tcPr>
          <w:p>
            <w:pPr>
              <w:spacing w:after="20" w:line="240" w:lineRule="auto"/>
            </w:pPr>
            <w:r>
              <w:rPr>
                <w:sz w:val="18"/>
              </w:rPr>
            </w:r>
            <w:r>
              <w:rPr>
                <w:sz w:val="18"/>
              </w:rPr>
              <w:t>Fast tier; very high throughput.</w:t>
            </w:r>
          </w:p>
        </w:tc>
      </w:tr>
      <w:tr>
        <w:trPr>
          <w:cantSplit w:val="true"/>
        </w:trPr>
        <w:tc>
          <w:tcPr>
            <w:tcW w:type="dxa" w:w="2211"/>
            <w:shd w:val="clear" w:color="auto" w:fill="F2F6FA"/>
          </w:tcPr>
          <w:p>
            <w:pPr>
              <w:spacing w:after="20" w:line="240" w:lineRule="auto"/>
            </w:pPr>
            <w:r>
              <w:rPr>
                <w:b/>
                <w:sz w:val="18"/>
              </w:rPr>
            </w:r>
            <w:r>
              <w:rPr>
                <w:b/>
                <w:sz w:val="18"/>
              </w:rPr>
              <w:t>27B to 35B dense or ~30B small-active MoE</w:t>
            </w:r>
          </w:p>
        </w:tc>
        <w:tc>
          <w:tcPr>
            <w:tcW w:type="dxa" w:w="3725"/>
            <w:shd w:val="clear" w:color="auto" w:fill="F2F6FA"/>
          </w:tcPr>
          <w:p>
            <w:pPr>
              <w:spacing w:after="20" w:line="240" w:lineRule="auto"/>
            </w:pPr>
            <w:r>
              <w:rPr>
                <w:sz w:val="18"/>
              </w:rPr>
            </w:r>
            <w:r>
              <w:rPr>
                <w:sz w:val="18"/>
              </w:rPr>
              <w:t>1 x 80 GB GPU (FP8), or 2 x 48 GB</w:t>
            </w:r>
          </w:p>
        </w:tc>
        <w:tc>
          <w:tcPr>
            <w:tcW w:type="dxa" w:w="3376"/>
            <w:shd w:val="clear" w:color="auto" w:fill="F2F6FA"/>
          </w:tcPr>
          <w:p>
            <w:pPr>
              <w:spacing w:after="20" w:line="240" w:lineRule="auto"/>
            </w:pPr>
            <w:r>
              <w:rPr>
                <w:sz w:val="18"/>
              </w:rPr>
            </w:r>
            <w:r>
              <w:rPr>
                <w:sz w:val="18"/>
              </w:rPr>
              <w:t>Good fast-to-mid tier; strong cost-performance.</w:t>
            </w:r>
          </w:p>
        </w:tc>
      </w:tr>
      <w:tr>
        <w:trPr>
          <w:cantSplit w:val="true"/>
        </w:trPr>
        <w:tc>
          <w:tcPr>
            <w:tcW w:type="dxa" w:w="2211"/>
          </w:tcPr>
          <w:p>
            <w:pPr>
              <w:spacing w:after="20" w:line="240" w:lineRule="auto"/>
            </w:pPr>
            <w:r>
              <w:rPr>
                <w:b/>
                <w:sz w:val="18"/>
              </w:rPr>
            </w:r>
            <w:r>
              <w:rPr>
                <w:b/>
                <w:sz w:val="18"/>
              </w:rPr>
              <w:t>70B dense</w:t>
            </w:r>
          </w:p>
        </w:tc>
        <w:tc>
          <w:tcPr>
            <w:tcW w:type="dxa" w:w="3725"/>
          </w:tcPr>
          <w:p>
            <w:pPr>
              <w:spacing w:after="20" w:line="240" w:lineRule="auto"/>
            </w:pPr>
            <w:r>
              <w:rPr>
                <w:sz w:val="18"/>
              </w:rPr>
            </w:r>
            <w:r>
              <w:rPr>
                <w:sz w:val="18"/>
              </w:rPr>
              <w:t>2 to 4 x 80 GB GPUs (FP8), TP 2 to 4</w:t>
            </w:r>
          </w:p>
        </w:tc>
        <w:tc>
          <w:tcPr>
            <w:tcW w:type="dxa" w:w="3376"/>
          </w:tcPr>
          <w:p>
            <w:pPr>
              <w:spacing w:after="20" w:line="240" w:lineRule="auto"/>
            </w:pPr>
            <w:r>
              <w:rPr>
                <w:sz w:val="18"/>
              </w:rPr>
            </w:r>
            <w:r>
              <w:rPr>
                <w:sz w:val="18"/>
              </w:rPr>
              <w:t>Common reasoning tier.</w:t>
            </w:r>
          </w:p>
        </w:tc>
      </w:tr>
      <w:tr>
        <w:trPr>
          <w:cantSplit w:val="true"/>
        </w:trPr>
        <w:tc>
          <w:tcPr>
            <w:tcW w:type="dxa" w:w="2211"/>
            <w:shd w:val="clear" w:color="auto" w:fill="F2F6FA"/>
          </w:tcPr>
          <w:p>
            <w:pPr>
              <w:spacing w:after="20" w:line="240" w:lineRule="auto"/>
            </w:pPr>
            <w:r>
              <w:rPr>
                <w:b/>
                <w:sz w:val="18"/>
              </w:rPr>
            </w:r>
            <w:r>
              <w:rPr>
                <w:b/>
                <w:sz w:val="18"/>
              </w:rPr>
              <w:t>100 to 250B MoE</w:t>
            </w:r>
          </w:p>
        </w:tc>
        <w:tc>
          <w:tcPr>
            <w:tcW w:type="dxa" w:w="3725"/>
            <w:shd w:val="clear" w:color="auto" w:fill="F2F6FA"/>
          </w:tcPr>
          <w:p>
            <w:pPr>
              <w:spacing w:after="20" w:line="240" w:lineRule="auto"/>
            </w:pPr>
            <w:r>
              <w:rPr>
                <w:sz w:val="18"/>
              </w:rPr>
            </w:r>
            <w:r>
              <w:rPr>
                <w:sz w:val="18"/>
              </w:rPr>
              <w:t>1 to 4 x 80 GB, or 2 to 4 x 141 GB / 192 GB GPUs depending on quantisation</w:t>
            </w:r>
          </w:p>
        </w:tc>
        <w:tc>
          <w:tcPr>
            <w:tcW w:type="dxa" w:w="3376"/>
            <w:shd w:val="clear" w:color="auto" w:fill="F2F6FA"/>
          </w:tcPr>
          <w:p>
            <w:pPr>
              <w:spacing w:after="20" w:line="240" w:lineRule="auto"/>
            </w:pPr>
            <w:r>
              <w:rPr>
                <w:sz w:val="18"/>
              </w:rPr>
            </w:r>
            <w:r>
              <w:rPr>
                <w:sz w:val="18"/>
              </w:rPr>
              <w:t>Throughput close to a much smaller dense model.</w:t>
            </w:r>
          </w:p>
        </w:tc>
      </w:tr>
      <w:tr>
        <w:trPr>
          <w:cantSplit w:val="true"/>
        </w:trPr>
        <w:tc>
          <w:tcPr>
            <w:tcW w:type="dxa" w:w="2211"/>
          </w:tcPr>
          <w:p>
            <w:pPr>
              <w:spacing w:after="20" w:line="240" w:lineRule="auto"/>
            </w:pPr>
            <w:r>
              <w:rPr>
                <w:b/>
                <w:sz w:val="18"/>
              </w:rPr>
            </w:r>
            <w:r>
              <w:rPr>
                <w:b/>
                <w:sz w:val="18"/>
              </w:rPr>
              <w:t>600B+ MoE (frontier-class)</w:t>
            </w:r>
          </w:p>
        </w:tc>
        <w:tc>
          <w:tcPr>
            <w:tcW w:type="dxa" w:w="3725"/>
          </w:tcPr>
          <w:p>
            <w:pPr>
              <w:spacing w:after="20" w:line="240" w:lineRule="auto"/>
            </w:pPr>
            <w:r>
              <w:rPr>
                <w:sz w:val="18"/>
              </w:rPr>
            </w:r>
            <w:r>
              <w:rPr>
                <w:sz w:val="18"/>
              </w:rPr>
              <w:t>Full 8-GPU node of 141 GB+ GPUs, or multi-node with expert parallelism</w:t>
            </w:r>
          </w:p>
        </w:tc>
        <w:tc>
          <w:tcPr>
            <w:tcW w:type="dxa" w:w="3376"/>
          </w:tcPr>
          <w:p>
            <w:pPr>
              <w:spacing w:after="20" w:line="240" w:lineRule="auto"/>
            </w:pPr>
            <w:r>
              <w:rPr>
                <w:sz w:val="18"/>
              </w:rPr>
            </w:r>
            <w:r>
              <w:rPr>
                <w:sz w:val="18"/>
              </w:rPr>
              <w:t>Highest quality; highest capex; consider only after Phase 2 evidence.</w:t>
            </w:r>
          </w:p>
        </w:tc>
      </w:tr>
      <w:tr>
        <w:trPr>
          <w:cantSplit w:val="true"/>
        </w:trPr>
        <w:tc>
          <w:tcPr>
            <w:tcW w:type="dxa" w:w="2211"/>
            <w:shd w:val="clear" w:color="auto" w:fill="F2F6FA"/>
          </w:tcPr>
          <w:p>
            <w:pPr>
              <w:spacing w:after="20" w:line="240" w:lineRule="auto"/>
            </w:pPr>
            <w:r>
              <w:rPr>
                <w:b/>
                <w:sz w:val="18"/>
              </w:rPr>
            </w:r>
            <w:r>
              <w:rPr>
                <w:b/>
                <w:sz w:val="18"/>
              </w:rPr>
              <w:t>Embeddings + reranker</w:t>
            </w:r>
          </w:p>
        </w:tc>
        <w:tc>
          <w:tcPr>
            <w:tcW w:type="dxa" w:w="3725"/>
            <w:shd w:val="clear" w:color="auto" w:fill="F2F6FA"/>
          </w:tcPr>
          <w:p>
            <w:pPr>
              <w:spacing w:after="20" w:line="240" w:lineRule="auto"/>
            </w:pPr>
            <w:r>
              <w:rPr>
                <w:sz w:val="18"/>
              </w:rPr>
            </w:r>
            <w:r>
              <w:rPr>
                <w:sz w:val="18"/>
              </w:rPr>
              <w:t>1 small GPU (L4 / L40S) or a MIG slice; CPU possible at low volume</w:t>
            </w:r>
          </w:p>
        </w:tc>
        <w:tc>
          <w:tcPr>
            <w:tcW w:type="dxa" w:w="3376"/>
            <w:shd w:val="clear" w:color="auto" w:fill="F2F6FA"/>
          </w:tcPr>
          <w:p>
            <w:pPr>
              <w:spacing w:after="20" w:line="240" w:lineRule="auto"/>
            </w:pPr>
            <w:r>
              <w:rPr>
                <w:sz w:val="18"/>
              </w:rPr>
            </w:r>
            <w:r>
              <w:rPr>
                <w:sz w:val="18"/>
              </w:rPr>
              <w:t>Batch ingestion separately from query-time traffic.</w:t>
            </w:r>
          </w:p>
        </w:tc>
      </w:tr>
    </w:tbl>
    <w:p>
      <w:pPr>
        <w:spacing w:after="80"/>
      </w:pPr>
    </w:p>
    <w:p>
      <w:r>
        <w:t>Always validate with load tests on the target hardware (for example vLLM's benchmark scripts or GuideLLM) using recorded agent traffic shapes: long prefills, short outputs, many sequential calls per turn.</w:t>
      </w:r>
    </w:p>
    <w:p>
      <w:pPr>
        <w:pStyle w:val="Heading3"/>
      </w:pPr>
      <w:r>
        <w:t>Model gateway and routing</w:t>
      </w:r>
    </w:p>
    <w:p>
      <w:r>
        <w:t>A gateway (LiteLLM proxy is the reference open-source option; Envoy AI Gateway, Kong AI plugins or a thin in-house proxy are alternatives) sits in front of all engines and provides:</w:t>
      </w:r>
    </w:p>
    <w:p>
      <w:pPr>
        <w:pStyle w:val="ListBullet"/>
      </w:pPr>
      <w:r>
        <w:rPr>
          <w:b/>
        </w:rPr>
        <w:t>Model aliases</w:t>
      </w:r>
      <w:r>
        <w:t xml:space="preserve"> (e.g. </w:t>
      </w:r>
      <w:r>
        <w:rPr>
          <w:rFonts w:ascii="Consolas" w:hAnsi="Consolas"/>
          <w:color w:val="8B1A1A"/>
        </w:rPr>
        <w:t>reasoning</w:t>
      </w:r>
      <w:r>
        <w:t xml:space="preserve">, </w:t>
      </w:r>
      <w:r>
        <w:rPr>
          <w:rFonts w:ascii="Consolas" w:hAnsi="Consolas"/>
          <w:color w:val="8B1A1A"/>
        </w:rPr>
        <w:t>fast</w:t>
      </w:r>
      <w:r>
        <w:t xml:space="preserve">, </w:t>
      </w:r>
      <w:r>
        <w:rPr>
          <w:rFonts w:ascii="Consolas" w:hAnsi="Consolas"/>
          <w:color w:val="8B1A1A"/>
        </w:rPr>
        <w:t>vision</w:t>
      </w:r>
      <w:r>
        <w:t xml:space="preserve">, </w:t>
      </w:r>
      <w:r>
        <w:rPr>
          <w:rFonts w:ascii="Consolas" w:hAnsi="Consolas"/>
          <w:color w:val="8B1A1A"/>
        </w:rPr>
        <w:t>embed</w:t>
      </w:r>
      <w:r>
        <w:t xml:space="preserve">, </w:t>
      </w:r>
      <w:r>
        <w:rPr>
          <w:rFonts w:ascii="Consolas" w:hAnsi="Consolas"/>
          <w:color w:val="8B1A1A"/>
        </w:rPr>
        <w:t>rerank</w:t>
      </w:r>
      <w:r>
        <w:t>) so agents never hard-code model names, enabling blue/green upgrades.</w:t>
      </w:r>
    </w:p>
    <w:p>
      <w:pPr>
        <w:pStyle w:val="ListBullet"/>
      </w:pPr>
      <w:r>
        <w:rPr>
          <w:b/>
        </w:rPr>
        <w:t>Virtual keys per agent, team and tenant</w:t>
      </w:r>
      <w:r>
        <w:t xml:space="preserve"> with rate limits, token budgets and model access lists.</w:t>
      </w:r>
    </w:p>
    <w:p>
      <w:pPr>
        <w:pStyle w:val="ListBullet"/>
      </w:pPr>
      <w:r>
        <w:rPr>
          <w:b/>
        </w:rPr>
        <w:t>Routing and fallbacks</w:t>
      </w:r>
      <w:r>
        <w:t>: least-busy or latency-based load balancing across replicas; fallback to a secondary replica or the fast tier on overload; circuit breakers.</w:t>
      </w:r>
    </w:p>
    <w:p>
      <w:pPr>
        <w:pStyle w:val="ListBullet"/>
      </w:pPr>
      <w:r>
        <w:rPr>
          <w:b/>
        </w:rPr>
        <w:t>Metering</w:t>
      </w:r>
      <w:r>
        <w:t>: tokens in/out, cache hits, latency and GPU-seconds per request, exported to the cost and observability stack.</w:t>
      </w:r>
    </w:p>
    <w:p>
      <w:pPr>
        <w:pStyle w:val="ListBullet"/>
      </w:pPr>
      <w:r>
        <w:rPr>
          <w:b/>
        </w:rPr>
        <w:t>Guardrail hooks</w:t>
      </w:r>
      <w:r>
        <w:t>: optional pre/post calls to PII and safety classifiers.</w:t>
      </w:r>
    </w:p>
    <w:p>
      <w:pPr>
        <w:pStyle w:val="ListBullet"/>
      </w:pPr>
      <w:r>
        <w:rPr>
          <w:b/>
        </w:rPr>
        <w:t>Strict 'no external provider' configuration</w:t>
      </w:r>
      <w:r>
        <w:t>: only internal endpoints are registered; egress from the gateway namespace is denied at the network layer.</w:t>
      </w:r>
    </w:p>
    <w:p>
      <w:pPr>
        <w:keepNext/>
        <w:spacing w:after="40"/>
        <w:jc w:val="center"/>
      </w:pPr>
      <w:r>
        <w:drawing>
          <wp:inline xmlns:a="http://schemas.openxmlformats.org/drawingml/2006/main" xmlns:pic="http://schemas.openxmlformats.org/drawingml/2006/picture">
            <wp:extent cx="5914080" cy="1463433"/>
            <wp:docPr id="2" name="Picture 2"/>
            <wp:cNvGraphicFramePr>
              <a:graphicFrameLocks noChangeAspect="1"/>
            </wp:cNvGraphicFramePr>
            <a:graphic>
              <a:graphicData uri="http://schemas.openxmlformats.org/drawingml/2006/picture">
                <pic:pic>
                  <pic:nvPicPr>
                    <pic:cNvPr id="0" name="d8_routing.png"/>
                    <pic:cNvPicPr/>
                  </pic:nvPicPr>
                  <pic:blipFill>
                    <a:blip r:embed="rId12"/>
                    <a:stretch>
                      <a:fillRect/>
                    </a:stretch>
                  </pic:blipFill>
                  <pic:spPr>
                    <a:xfrm>
                      <a:off x="0" y="0"/>
                      <a:ext cx="5914080" cy="1463433"/>
                    </a:xfrm>
                    <a:prstGeom prst="rect"/>
                  </pic:spPr>
                </pic:pic>
              </a:graphicData>
            </a:graphic>
          </wp:inline>
        </w:drawing>
      </w:r>
    </w:p>
    <w:p>
      <w:pPr>
        <w:spacing w:after="160"/>
        <w:jc w:val="center"/>
      </w:pPr>
      <w:r>
        <w:rPr>
          <w:i/>
          <w:color w:val="595959"/>
          <w:sz w:val="18"/>
        </w:rPr>
        <w:t>Figure 2: Model gateway routing between small, large, vision and retrieval models</w:t>
      </w:r>
    </w:p>
    <w:p>
      <w:r>
        <w:rPr>
          <w:b/>
        </w:rPr>
        <w:t>Routing policy</w:t>
      </w:r>
      <w:r>
        <w:t xml:space="preserve">: start with explicit routing (the orchestrator chooses the alias per step: planning and tool selection on </w:t>
      </w:r>
      <w:r>
        <w:rPr>
          <w:rFonts w:ascii="Consolas" w:hAnsi="Consolas"/>
          <w:color w:val="8B1A1A"/>
        </w:rPr>
        <w:t>reasoning</w:t>
      </w:r>
      <w:r>
        <w:t xml:space="preserve">; summarisation, memory extraction, titles and classification on </w:t>
      </w:r>
      <w:r>
        <w:rPr>
          <w:rFonts w:ascii="Consolas" w:hAnsi="Consolas"/>
          <w:color w:val="8B1A1A"/>
        </w:rPr>
        <w:t>fast</w:t>
      </w:r>
      <w:r>
        <w:t>). Add learned or heuristic routing (difficulty classifier) only after evaluation data shows savings without quality loss. Speculative decoding (draft model or EAGLE-style heads) can cut latency for the reasoning tier where supported.</w:t>
      </w:r>
    </w:p>
    <w:p>
      <w:pPr>
        <w:pStyle w:val="Heading3"/>
      </w:pPr>
      <w:r>
        <w:t>Trade-offs</w:t>
      </w:r>
    </w:p>
    <w:p>
      <w:pPr>
        <w:pStyle w:val="ListBullet"/>
      </w:pPr>
      <w:r>
        <w:rPr>
          <w:b/>
        </w:rPr>
        <w:t>One large model vs many specialised</w:t>
      </w:r>
      <w:r>
        <w:t>: start with one reasoning and one fast model to limit operational burden; add specialists (coder, vision, SQL-tuned LoRA) when evaluations justify them.</w:t>
      </w:r>
    </w:p>
    <w:p>
      <w:pPr>
        <w:pStyle w:val="ListBullet"/>
      </w:pPr>
      <w:r>
        <w:rPr>
          <w:b/>
        </w:rPr>
        <w:t>Quantisation</w:t>
      </w:r>
      <w:r>
        <w:t>: FP8 is close to free; 4-bit halves memory again but must be validated on tool-calling and SQL tasks, where small accuracy losses compound across steps.</w:t>
      </w:r>
    </w:p>
    <w:p>
      <w:pPr>
        <w:pStyle w:val="ListBullet"/>
      </w:pPr>
      <w:r>
        <w:rPr>
          <w:b/>
        </w:rPr>
        <w:t>Dedicated vs shared GPU pools</w:t>
      </w:r>
      <w:r>
        <w:t>: dedicated pools per tenant give isolation and predictable latency but lower utilisation; prefer shared pools with quotas, plus dedicated pools only for regulated tenants.</w:t>
      </w:r>
    </w:p>
    <w:p>
      <w:pPr>
        <w:pStyle w:val="ListBullet"/>
      </w:pPr>
      <w:r>
        <w:rPr>
          <w:b/>
        </w:rPr>
        <w:t>Long context</w:t>
      </w:r>
      <w:r>
        <w:t>: large windows (128k+) are available but costly in KV cache; prefer retrieval and summarisation over stuffing context.</w:t>
      </w:r>
    </w:p>
    <w:p>
      <w:pPr>
        <w:pStyle w:val="Heading2"/>
      </w:pPr>
      <w:r>
        <w:t>4.2 Agent runtime and orchestrator</w:t>
      </w:r>
    </w:p>
    <w:p>
      <w:pPr>
        <w:pStyle w:val="Heading3"/>
      </w:pPr>
      <w:r>
        <w:t>Responsibilities</w:t>
      </w:r>
    </w:p>
    <w:p>
      <w:pPr>
        <w:pStyle w:val="ListBullet"/>
      </w:pPr>
      <w:r>
        <w:t xml:space="preserve">Execute the </w:t>
      </w:r>
      <w:r>
        <w:rPr>
          <w:b/>
        </w:rPr>
        <w:t>agent loop</w:t>
      </w:r>
      <w:r>
        <w:t>: build context, call the model, parse tool calls, authorise, execute, observe, repeat until a final answer, a budget limit or a pause.</w:t>
      </w:r>
    </w:p>
    <w:p>
      <w:pPr>
        <w:pStyle w:val="ListBullet"/>
      </w:pPr>
      <w:r>
        <w:t xml:space="preserve">Manage </w:t>
      </w:r>
      <w:r>
        <w:rPr>
          <w:b/>
        </w:rPr>
        <w:t>planning</w:t>
      </w:r>
      <w:r>
        <w:t xml:space="preserve"> (explicit plan or to-do list for long tasks), </w:t>
      </w:r>
      <w:r>
        <w:rPr>
          <w:b/>
        </w:rPr>
        <w:t>subagents/delegation</w:t>
      </w:r>
      <w:r>
        <w:t xml:space="preserve">, </w:t>
      </w:r>
      <w:r>
        <w:rPr>
          <w:b/>
        </w:rPr>
        <w:t>context window</w:t>
      </w:r>
      <w:r>
        <w:t xml:space="preserve"> budgeting and summarisation, retries and error recovery.</w:t>
      </w:r>
    </w:p>
    <w:p>
      <w:pPr>
        <w:pStyle w:val="ListBullet"/>
      </w:pPr>
      <w:r>
        <w:t xml:space="preserve">Enforce per-turn </w:t>
      </w:r>
      <w:r>
        <w:rPr>
          <w:b/>
        </w:rPr>
        <w:t>budgets</w:t>
      </w:r>
      <w:r>
        <w:t>: maximum steps, tokens, wall-clock time, cost and tool calls.</w:t>
      </w:r>
    </w:p>
    <w:p>
      <w:pPr>
        <w:pStyle w:val="ListBullet"/>
      </w:pPr>
      <w:r>
        <w:t>Stream partial output and step events (thinking status, tool started/finished, artefacts) to channels.</w:t>
      </w:r>
    </w:p>
    <w:p>
      <w:pPr>
        <w:pStyle w:val="ListBullet"/>
      </w:pPr>
      <w:r>
        <w:t>Persist every step for replay, debugging, evaluation and audit.</w:t>
      </w:r>
    </w:p>
    <w:p>
      <w:pPr>
        <w:pStyle w:val="Heading3"/>
      </w:pPr>
      <w:r>
        <w:t>The agent loop</w:t>
      </w:r>
    </w:p>
    <w:tbl>
      <w:tblPr>
        <w:tblLook w:firstColumn="1" w:firstRow="1" w:lastColumn="0" w:lastRow="0" w:noHBand="0" w:noVBand="1" w:val="04A0"/>
        <w:tblCellMar>
          <w:top w:w="80" w:type="dxa"/>
          <w:left w:w="140" w:type="dxa"/>
          <w:bottom w:w="80" w:type="dxa"/>
          <w:right w:w="140" w:type="dxa"/>
        </w:tblCellMar>
        <w:tblW w:w="9313" w:type="dxa"/>
        <w:tblLayout w:type="fixed"/>
      </w:tblPr>
      <w:tblGrid>
        <w:gridCol w:w="9313"/>
      </w:tblGrid>
      <w:tr>
        <w:tc>
          <w:tcPr>
            <w:tcW w:type="dxa" w:w="9313"/>
            <w:shd w:val="clear" w:color="auto" w:fill="F4F4F4"/>
          </w:tcPr>
          <w:p>
            <w:pPr>
              <w:spacing w:after="0" w:line="240" w:lineRule="auto"/>
            </w:pPr>
            <w:r>
              <w:rPr>
                <w:rFonts w:ascii="Consolas" w:hAnsi="Liberation Mono"/>
                <w:sz w:val="16"/>
              </w:rPr>
              <w:t>turn(conversation, user_msg):</w:t>
            </w:r>
          </w:p>
          <w:p>
            <w:pPr>
              <w:spacing w:after="0" w:line="240" w:lineRule="auto"/>
            </w:pPr>
            <w:r>
              <w:rPr>
                <w:rFonts w:ascii="Consolas" w:hAnsi="Liberation Mono"/>
                <w:sz w:val="16"/>
              </w:rPr>
              <w:t xml:space="preserve">  ctx = assemble(agent.instructions, policy_summary,</w:t>
            </w:r>
          </w:p>
          <w:p>
            <w:pPr>
              <w:spacing w:after="0" w:line="240" w:lineRule="auto"/>
            </w:pPr>
            <w:r>
              <w:rPr>
                <w:rFonts w:ascii="Consolas" w:hAnsi="Liberation Mono"/>
                <w:sz w:val="16"/>
              </w:rPr>
              <w:t xml:space="preserve">                 memory.recall(user, user_msg), conversation.summary,</w:t>
            </w:r>
          </w:p>
          <w:p>
            <w:pPr>
              <w:spacing w:after="0" w:line="240" w:lineRule="auto"/>
            </w:pPr>
            <w:r>
              <w:rPr>
                <w:rFonts w:ascii="Consolas" w:hAnsi="Liberation Mono"/>
                <w:sz w:val="16"/>
              </w:rPr>
              <w:t xml:space="preserve">                 recent_messages, tool_schemas(filtered_by_policy))</w:t>
            </w:r>
          </w:p>
          <w:p>
            <w:pPr>
              <w:spacing w:after="0" w:line="240" w:lineRule="auto"/>
            </w:pPr>
            <w:r>
              <w:rPr>
                <w:rFonts w:ascii="Consolas" w:hAnsi="Liberation Mono"/>
                <w:sz w:val="16"/>
              </w:rPr>
              <w:t xml:space="preserve">  for step in 1..MAX_STEPS:</w:t>
            </w:r>
          </w:p>
          <w:p>
            <w:pPr>
              <w:spacing w:after="0" w:line="240" w:lineRule="auto"/>
            </w:pPr>
            <w:r>
              <w:rPr>
                <w:rFonts w:ascii="Consolas" w:hAnsi="Liberation Mono"/>
                <w:sz w:val="16"/>
              </w:rPr>
              <w:t xml:space="preserve">    resp = gateway.chat(alias=pick_alias(step), messages=ctx,</w:t>
            </w:r>
          </w:p>
          <w:p>
            <w:pPr>
              <w:spacing w:after="0" w:line="240" w:lineRule="auto"/>
            </w:pPr>
            <w:r>
              <w:rPr>
                <w:rFonts w:ascii="Consolas" w:hAnsi="Liberation Mono"/>
                <w:sz w:val="16"/>
              </w:rPr>
              <w:t xml:space="preserve">                        tools=schemas, stream=True)</w:t>
            </w:r>
          </w:p>
          <w:p>
            <w:pPr>
              <w:spacing w:after="0" w:line="240" w:lineRule="auto"/>
            </w:pPr>
            <w:r>
              <w:rPr>
                <w:rFonts w:ascii="Consolas" w:hAnsi="Liberation Mono"/>
                <w:sz w:val="16"/>
              </w:rPr>
              <w:t xml:space="preserve">    if resp.final_answer:</w:t>
            </w:r>
          </w:p>
          <w:p>
            <w:pPr>
              <w:spacing w:after="0" w:line="240" w:lineRule="auto"/>
            </w:pPr>
            <w:r>
              <w:rPr>
                <w:rFonts w:ascii="Consolas" w:hAnsi="Liberation Mono"/>
                <w:sz w:val="16"/>
              </w:rPr>
              <w:t xml:space="preserve">      stream_to_user(resp); break</w:t>
            </w:r>
          </w:p>
          <w:p>
            <w:pPr>
              <w:spacing w:after="0" w:line="240" w:lineRule="auto"/>
            </w:pPr>
            <w:r>
              <w:rPr>
                <w:rFonts w:ascii="Consolas" w:hAnsi="Liberation Mono"/>
                <w:sz w:val="16"/>
              </w:rPr>
              <w:t xml:space="preserve">    for call in resp.tool_calls:              # parallel if independent</w:t>
            </w:r>
          </w:p>
          <w:p>
            <w:pPr>
              <w:spacing w:after="0" w:line="240" w:lineRule="auto"/>
            </w:pPr>
            <w:r>
              <w:rPr>
                <w:rFonts w:ascii="Consolas" w:hAnsi="Liberation Mono"/>
                <w:sz w:val="16"/>
              </w:rPr>
              <w:t xml:space="preserve">      decision = policy.authorise(user, agent, call)</w:t>
            </w:r>
          </w:p>
          <w:p>
            <w:pPr>
              <w:spacing w:after="0" w:line="240" w:lineRule="auto"/>
            </w:pPr>
            <w:r>
              <w:rPr>
                <w:rFonts w:ascii="Consolas" w:hAnsi="Liberation Mono"/>
                <w:sz w:val="16"/>
              </w:rPr>
              <w:t xml:space="preserve">      if decision == DENY: ctx.append(denied(call)); continue</w:t>
            </w:r>
          </w:p>
          <w:p>
            <w:pPr>
              <w:spacing w:after="0" w:line="240" w:lineRule="auto"/>
            </w:pPr>
            <w:r>
              <w:rPr>
                <w:rFonts w:ascii="Consolas" w:hAnsi="Liberation Mono"/>
                <w:sz w:val="16"/>
              </w:rPr>
              <w:t xml:space="preserve">      if decision == REQUIRE_APPROVAL:</w:t>
            </w:r>
          </w:p>
          <w:p>
            <w:pPr>
              <w:spacing w:after="0" w:line="240" w:lineRule="auto"/>
            </w:pPr>
            <w:r>
              <w:rPr>
                <w:rFonts w:ascii="Consolas" w:hAnsi="Liberation Mono"/>
                <w:sz w:val="16"/>
              </w:rPr>
              <w:t xml:space="preserve">        await approval(call)                  # durable wait (signal)</w:t>
            </w:r>
          </w:p>
          <w:p>
            <w:pPr>
              <w:spacing w:after="0" w:line="240" w:lineRule="auto"/>
            </w:pPr>
            <w:r>
              <w:rPr>
                <w:rFonts w:ascii="Consolas" w:hAnsi="Liberation Mono"/>
                <w:sz w:val="16"/>
              </w:rPr>
              <w:t xml:space="preserve">      creds  = vault.delegated(user, call.tool)</w:t>
            </w:r>
          </w:p>
          <w:p>
            <w:pPr>
              <w:spacing w:after="0" w:line="240" w:lineRule="auto"/>
            </w:pPr>
            <w:r>
              <w:rPr>
                <w:rFonts w:ascii="Consolas" w:hAnsi="Liberation Mono"/>
                <w:sz w:val="16"/>
              </w:rPr>
              <w:t xml:space="preserve">      result = execute(call, creds)</w:t>
            </w:r>
          </w:p>
          <w:p>
            <w:pPr>
              <w:spacing w:after="0" w:line="240" w:lineRule="auto"/>
            </w:pPr>
            <w:r>
              <w:rPr>
                <w:rFonts w:ascii="Consolas" w:hAnsi="Liberation Mono"/>
                <w:sz w:val="16"/>
              </w:rPr>
              <w:t xml:space="preserve">      ctx.append(tool_result(wrap_untrusted(truncate(result))))</w:t>
            </w:r>
          </w:p>
          <w:p>
            <w:pPr>
              <w:spacing w:after="0" w:line="240" w:lineRule="auto"/>
            </w:pPr>
            <w:r>
              <w:rPr>
                <w:rFonts w:ascii="Consolas" w:hAnsi="Liberation Mono"/>
                <w:sz w:val="16"/>
              </w:rPr>
              <w:t xml:space="preserve">    if ctx.tokens &gt; 0.7 * BUDGET:</w:t>
            </w:r>
          </w:p>
          <w:p>
            <w:pPr>
              <w:spacing w:after="0" w:line="240" w:lineRule="auto"/>
            </w:pPr>
            <w:r>
              <w:rPr>
                <w:rFonts w:ascii="Consolas" w:hAnsi="Liberation Mono"/>
                <w:sz w:val="16"/>
              </w:rPr>
              <w:t xml:space="preserve">      ctx = compact(ctx)                      # summarise older steps</w:t>
            </w:r>
          </w:p>
          <w:p>
            <w:pPr>
              <w:spacing w:after="0" w:line="240" w:lineRule="auto"/>
            </w:pPr>
            <w:r>
              <w:rPr>
                <w:rFonts w:ascii="Consolas" w:hAnsi="Liberation Mono"/>
                <w:sz w:val="16"/>
              </w:rPr>
              <w:t xml:space="preserve">    checkpoint(step)                          # durable history</w:t>
            </w:r>
          </w:p>
          <w:p>
            <w:pPr>
              <w:spacing w:after="0" w:line="240" w:lineRule="auto"/>
            </w:pPr>
            <w:r>
              <w:rPr>
                <w:rFonts w:ascii="Consolas" w:hAnsi="Liberation Mono"/>
                <w:sz w:val="16"/>
              </w:rPr>
              <w:t xml:space="preserve">  persist(); memory.extract_async(conversation)</w:t>
            </w:r>
          </w:p>
        </w:tc>
      </w:tr>
    </w:tbl>
    <w:p>
      <w:pPr>
        <w:spacing w:after="40"/>
      </w:pPr>
    </w:p>
    <w:p>
      <w:pPr>
        <w:pStyle w:val="Heading3"/>
      </w:pPr>
      <w:r>
        <w:t>Planning, subagents and delegation</w:t>
      </w:r>
    </w:p>
    <w:p>
      <w:pPr>
        <w:pStyle w:val="ListBullet"/>
      </w:pPr>
      <w:r>
        <w:rPr>
          <w:b/>
        </w:rPr>
        <w:t>Implicit planning</w:t>
      </w:r>
      <w:r>
        <w:t xml:space="preserve"> (model decides next step each iteration) is sufficient for most chat turns. For long tasks the agent maintains an explicit </w:t>
      </w:r>
      <w:r>
        <w:rPr>
          <w:b/>
        </w:rPr>
        <w:t>plan/to-do artefact</w:t>
      </w:r>
      <w:r>
        <w:t xml:space="preserve"> in its workspace that it updates as it goes; this improves reliability with open-weight models and gives users visibility.</w:t>
      </w:r>
    </w:p>
    <w:p>
      <w:pPr>
        <w:pStyle w:val="ListBullet"/>
      </w:pPr>
      <w:r>
        <w:rPr>
          <w:b/>
        </w:rPr>
        <w:t>Subagents</w:t>
      </w:r>
      <w:r>
        <w:t xml:space="preserve"> are spawned via a </w:t>
      </w:r>
      <w:r>
        <w:rPr>
          <w:rFonts w:ascii="Consolas" w:hAnsi="Consolas"/>
          <w:color w:val="8B1A1A"/>
        </w:rPr>
        <w:t>delegate</w:t>
      </w:r>
      <w:r>
        <w:t xml:space="preserve"> tool: the parent passes a task brief, a tool subset, a model alias and a budget. The subagent runs as a </w:t>
      </w:r>
      <w:r>
        <w:rPr>
          <w:b/>
        </w:rPr>
        <w:t>child workflow</w:t>
      </w:r>
      <w:r>
        <w:t xml:space="preserve"> with its own context window and returns a concise result. This isolates context (the parent never sees thousands of tokens of raw search results), allows parallelism and narrows permissions.</w:t>
      </w:r>
    </w:p>
    <w:p>
      <w:pPr>
        <w:pStyle w:val="ListBullet"/>
      </w:pPr>
      <w:r>
        <w:t xml:space="preserve">Common patterns: </w:t>
      </w:r>
      <w:r>
        <w:rPr>
          <w:b/>
        </w:rPr>
        <w:t>researcher</w:t>
      </w:r>
      <w:r>
        <w:t xml:space="preserve"> (search and read, read-only tools), </w:t>
      </w:r>
      <w:r>
        <w:rPr>
          <w:b/>
        </w:rPr>
        <w:t>analyst/coder</w:t>
      </w:r>
      <w:r>
        <w:t xml:space="preserve"> (sandbox and SQL), </w:t>
      </w:r>
      <w:r>
        <w:rPr>
          <w:b/>
        </w:rPr>
        <w:t>reviewer/critic</w:t>
      </w:r>
      <w:r>
        <w:t xml:space="preserve"> (checks output against requirements before delivery), </w:t>
      </w:r>
      <w:r>
        <w:rPr>
          <w:b/>
        </w:rPr>
        <w:t>router</w:t>
      </w:r>
      <w:r>
        <w:t xml:space="preserve"> agents that pick a specialist.</w:t>
      </w:r>
    </w:p>
    <w:p>
      <w:pPr>
        <w:pStyle w:val="ListBullet"/>
      </w:pPr>
      <w:r>
        <w:t>Guardrails: maximum delegation depth (e.g. 2), total budget inherited from the parent, subagents cannot obtain tools the parent lacks, and the user's identity propagates unchanged.</w:t>
      </w:r>
    </w:p>
    <w:p>
      <w:pPr>
        <w:pStyle w:val="Heading3"/>
      </w:pPr>
      <w:r>
        <w:t>Context window management</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2328"/>
        <w:gridCol w:w="6985"/>
      </w:tblGrid>
      <w:tr>
        <w:trPr>
          <w:tblHeader w:val="true"/>
        </w:trPr>
        <w:tc>
          <w:tcPr>
            <w:tcW w:type="dxa" w:w="2328"/>
            <w:shd w:val="clear" w:color="auto" w:fill="1F4E79"/>
          </w:tcPr>
          <w:p>
            <w:r/>
            <w:r>
              <w:rPr>
                <w:b/>
                <w:color w:val="FFFFFF"/>
                <w:sz w:val="18"/>
              </w:rPr>
              <w:t>Technique</w:t>
            </w:r>
          </w:p>
        </w:tc>
        <w:tc>
          <w:tcPr>
            <w:tcW w:type="dxa" w:w="6985"/>
            <w:shd w:val="clear" w:color="auto" w:fill="1F4E79"/>
          </w:tcPr>
          <w:p>
            <w:r/>
            <w:r>
              <w:rPr>
                <w:b/>
                <w:color w:val="FFFFFF"/>
                <w:sz w:val="18"/>
              </w:rPr>
              <w:t>Description</w:t>
            </w:r>
          </w:p>
        </w:tc>
      </w:tr>
      <w:tr>
        <w:trPr>
          <w:cantSplit w:val="true"/>
        </w:trPr>
        <w:tc>
          <w:tcPr>
            <w:tcW w:type="dxa" w:w="2328"/>
          </w:tcPr>
          <w:p>
            <w:pPr>
              <w:spacing w:after="20" w:line="240" w:lineRule="auto"/>
            </w:pPr>
            <w:r>
              <w:rPr>
                <w:b/>
                <w:sz w:val="18"/>
              </w:rPr>
            </w:r>
            <w:r>
              <w:rPr>
                <w:b/>
                <w:sz w:val="18"/>
              </w:rPr>
              <w:t>Token budgeting</w:t>
            </w:r>
          </w:p>
        </w:tc>
        <w:tc>
          <w:tcPr>
            <w:tcW w:type="dxa" w:w="6985"/>
          </w:tcPr>
          <w:p>
            <w:pPr>
              <w:spacing w:after="20" w:line="240" w:lineRule="auto"/>
            </w:pPr>
            <w:r>
              <w:rPr>
                <w:sz w:val="18"/>
              </w:rPr>
            </w:r>
            <w:r>
              <w:rPr>
                <w:sz w:val="18"/>
              </w:rPr>
              <w:t>Reserve fixed budgets for system prompt, tool schemas, memory, retrieved knowledge, history and output; enforce before each call.</w:t>
            </w:r>
          </w:p>
        </w:tc>
      </w:tr>
      <w:tr>
        <w:trPr>
          <w:cantSplit w:val="true"/>
        </w:trPr>
        <w:tc>
          <w:tcPr>
            <w:tcW w:type="dxa" w:w="2328"/>
            <w:shd w:val="clear" w:color="auto" w:fill="F2F6FA"/>
          </w:tcPr>
          <w:p>
            <w:pPr>
              <w:spacing w:after="20" w:line="240" w:lineRule="auto"/>
            </w:pPr>
            <w:r>
              <w:rPr>
                <w:b/>
                <w:sz w:val="18"/>
              </w:rPr>
            </w:r>
            <w:r>
              <w:rPr>
                <w:b/>
                <w:sz w:val="18"/>
              </w:rPr>
              <w:t>Tool schema filtering</w:t>
            </w:r>
          </w:p>
        </w:tc>
        <w:tc>
          <w:tcPr>
            <w:tcW w:type="dxa" w:w="6985"/>
            <w:shd w:val="clear" w:color="auto" w:fill="F2F6FA"/>
          </w:tcPr>
          <w:p>
            <w:pPr>
              <w:spacing w:after="20" w:line="240" w:lineRule="auto"/>
            </w:pPr>
            <w:r>
              <w:rPr>
                <w:sz w:val="18"/>
              </w:rPr>
            </w:r>
            <w:r>
              <w:rPr>
                <w:sz w:val="18"/>
              </w:rPr>
              <w:t>Expose only tools relevant to the agent and, for large catalogues, retrieve the top-k tools by semantic match to the task (tool search) rather than loading hundreds of schemas.</w:t>
            </w:r>
          </w:p>
        </w:tc>
      </w:tr>
      <w:tr>
        <w:trPr>
          <w:cantSplit w:val="true"/>
        </w:trPr>
        <w:tc>
          <w:tcPr>
            <w:tcW w:type="dxa" w:w="2328"/>
          </w:tcPr>
          <w:p>
            <w:pPr>
              <w:spacing w:after="20" w:line="240" w:lineRule="auto"/>
            </w:pPr>
            <w:r>
              <w:rPr>
                <w:b/>
                <w:sz w:val="18"/>
              </w:rPr>
            </w:r>
            <w:r>
              <w:rPr>
                <w:b/>
                <w:sz w:val="18"/>
              </w:rPr>
              <w:t>Result truncation and offloading</w:t>
            </w:r>
          </w:p>
        </w:tc>
        <w:tc>
          <w:tcPr>
            <w:tcW w:type="dxa" w:w="6985"/>
          </w:tcPr>
          <w:p>
            <w:pPr>
              <w:spacing w:after="20" w:line="240" w:lineRule="auto"/>
            </w:pPr>
            <w:r>
              <w:rPr>
                <w:sz w:val="18"/>
              </w:rPr>
            </w:r>
            <w:r>
              <w:rPr>
                <w:sz w:val="18"/>
              </w:rPr>
              <w:t>Large tool results (query results, web pages, files) are stored in the workspace or object store; the model sees a preview plus a handle it can page through.</w:t>
            </w:r>
          </w:p>
        </w:tc>
      </w:tr>
      <w:tr>
        <w:trPr>
          <w:cantSplit w:val="true"/>
        </w:trPr>
        <w:tc>
          <w:tcPr>
            <w:tcW w:type="dxa" w:w="2328"/>
            <w:shd w:val="clear" w:color="auto" w:fill="F2F6FA"/>
          </w:tcPr>
          <w:p>
            <w:pPr>
              <w:spacing w:after="20" w:line="240" w:lineRule="auto"/>
            </w:pPr>
            <w:r>
              <w:rPr>
                <w:b/>
                <w:sz w:val="18"/>
              </w:rPr>
            </w:r>
            <w:r>
              <w:rPr>
                <w:b/>
                <w:sz w:val="18"/>
              </w:rPr>
              <w:t>Rolling summarisation (compaction)</w:t>
            </w:r>
          </w:p>
        </w:tc>
        <w:tc>
          <w:tcPr>
            <w:tcW w:type="dxa" w:w="6985"/>
            <w:shd w:val="clear" w:color="auto" w:fill="F2F6FA"/>
          </w:tcPr>
          <w:p>
            <w:pPr>
              <w:spacing w:after="20" w:line="240" w:lineRule="auto"/>
            </w:pPr>
            <w:r>
              <w:rPr>
                <w:sz w:val="18"/>
              </w:rPr>
            </w:r>
            <w:r>
              <w:rPr>
                <w:sz w:val="18"/>
              </w:rPr>
              <w:t>When history exceeds ~70 percent of the window, the fast model summarises older turns into a structured summary (decisions, facts, open items, file handles). Raw history stays in the database.</w:t>
            </w:r>
          </w:p>
        </w:tc>
      </w:tr>
      <w:tr>
        <w:trPr>
          <w:cantSplit w:val="true"/>
        </w:trPr>
        <w:tc>
          <w:tcPr>
            <w:tcW w:type="dxa" w:w="2328"/>
          </w:tcPr>
          <w:p>
            <w:pPr>
              <w:spacing w:after="20" w:line="240" w:lineRule="auto"/>
            </w:pPr>
            <w:r>
              <w:rPr>
                <w:b/>
                <w:sz w:val="18"/>
              </w:rPr>
            </w:r>
            <w:r>
              <w:rPr>
                <w:b/>
                <w:sz w:val="18"/>
              </w:rPr>
              <w:t>Prefix stability</w:t>
            </w:r>
          </w:p>
        </w:tc>
        <w:tc>
          <w:tcPr>
            <w:tcW w:type="dxa" w:w="6985"/>
          </w:tcPr>
          <w:p>
            <w:pPr>
              <w:spacing w:after="20" w:line="240" w:lineRule="auto"/>
            </w:pPr>
            <w:r>
              <w:rPr>
                <w:sz w:val="18"/>
              </w:rPr>
            </w:r>
            <w:r>
              <w:rPr>
                <w:sz w:val="18"/>
              </w:rPr>
              <w:t>Keep system prompt and tool schemas byte-stable across calls to maximise prefix-cache hits in vLLM/SGLang.</w:t>
            </w:r>
          </w:p>
        </w:tc>
      </w:tr>
      <w:tr>
        <w:trPr>
          <w:cantSplit w:val="true"/>
        </w:trPr>
        <w:tc>
          <w:tcPr>
            <w:tcW w:type="dxa" w:w="2328"/>
            <w:shd w:val="clear" w:color="auto" w:fill="F2F6FA"/>
          </w:tcPr>
          <w:p>
            <w:pPr>
              <w:spacing w:after="20" w:line="240" w:lineRule="auto"/>
            </w:pPr>
            <w:r>
              <w:rPr>
                <w:b/>
                <w:sz w:val="18"/>
              </w:rPr>
            </w:r>
            <w:r>
              <w:rPr>
                <w:b/>
                <w:sz w:val="18"/>
              </w:rPr>
              <w:t>Scratchpad files</w:t>
            </w:r>
          </w:p>
        </w:tc>
        <w:tc>
          <w:tcPr>
            <w:tcW w:type="dxa" w:w="6985"/>
            <w:shd w:val="clear" w:color="auto" w:fill="F2F6FA"/>
          </w:tcPr>
          <w:p>
            <w:pPr>
              <w:spacing w:after="20" w:line="240" w:lineRule="auto"/>
            </w:pPr>
            <w:r>
              <w:rPr>
                <w:sz w:val="18"/>
              </w:rPr>
            </w:r>
            <w:r>
              <w:rPr>
                <w:sz w:val="18"/>
              </w:rPr>
              <w:t>Agents write intermediate notes to the workspace instead of holding them in context.</w:t>
            </w:r>
          </w:p>
        </w:tc>
      </w:tr>
    </w:tbl>
    <w:p>
      <w:pPr>
        <w:spacing w:after="80"/>
      </w:pPr>
    </w:p>
    <w:p>
      <w:pPr>
        <w:pStyle w:val="Heading3"/>
      </w:pPr>
      <w:r>
        <w:t>Framework choice: LangGraph vs custom loop</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817"/>
        <w:gridCol w:w="2725"/>
        <w:gridCol w:w="2725"/>
        <w:gridCol w:w="2044"/>
      </w:tblGrid>
      <w:tr>
        <w:trPr>
          <w:tblHeader w:val="true"/>
        </w:trPr>
        <w:tc>
          <w:tcPr>
            <w:tcW w:type="dxa" w:w="1817"/>
            <w:shd w:val="clear" w:color="auto" w:fill="1F4E79"/>
          </w:tcPr>
          <w:p>
            <w:r/>
            <w:r>
              <w:rPr>
                <w:b/>
                <w:color w:val="FFFFFF"/>
                <w:sz w:val="18"/>
              </w:rPr>
              <w:t>Option</w:t>
            </w:r>
          </w:p>
        </w:tc>
        <w:tc>
          <w:tcPr>
            <w:tcW w:type="dxa" w:w="2725"/>
            <w:shd w:val="clear" w:color="auto" w:fill="1F4E79"/>
          </w:tcPr>
          <w:p>
            <w:r/>
            <w:r>
              <w:rPr>
                <w:b/>
                <w:color w:val="FFFFFF"/>
                <w:sz w:val="18"/>
              </w:rPr>
              <w:t>Pros</w:t>
            </w:r>
          </w:p>
        </w:tc>
        <w:tc>
          <w:tcPr>
            <w:tcW w:type="dxa" w:w="2725"/>
            <w:shd w:val="clear" w:color="auto" w:fill="1F4E79"/>
          </w:tcPr>
          <w:p>
            <w:r/>
            <w:r>
              <w:rPr>
                <w:b/>
                <w:color w:val="FFFFFF"/>
                <w:sz w:val="18"/>
              </w:rPr>
              <w:t>Cons</w:t>
            </w:r>
          </w:p>
        </w:tc>
        <w:tc>
          <w:tcPr>
            <w:tcW w:type="dxa" w:w="2044"/>
            <w:shd w:val="clear" w:color="auto" w:fill="1F4E79"/>
          </w:tcPr>
          <w:p>
            <w:r/>
            <w:r>
              <w:rPr>
                <w:b/>
                <w:color w:val="FFFFFF"/>
                <w:sz w:val="18"/>
              </w:rPr>
              <w:t>Fit</w:t>
            </w:r>
          </w:p>
        </w:tc>
      </w:tr>
      <w:tr>
        <w:trPr>
          <w:cantSplit w:val="true"/>
        </w:trPr>
        <w:tc>
          <w:tcPr>
            <w:tcW w:type="dxa" w:w="1817"/>
          </w:tcPr>
          <w:p>
            <w:pPr>
              <w:spacing w:after="20" w:line="240" w:lineRule="auto"/>
            </w:pPr>
            <w:r>
              <w:rPr>
                <w:b/>
                <w:sz w:val="18"/>
              </w:rPr>
            </w:r>
            <w:r>
              <w:rPr>
                <w:b/>
                <w:sz w:val="18"/>
              </w:rPr>
              <w:t>Custom loop (thin, in-house)</w:t>
            </w:r>
          </w:p>
        </w:tc>
        <w:tc>
          <w:tcPr>
            <w:tcW w:type="dxa" w:w="2725"/>
          </w:tcPr>
          <w:p>
            <w:pPr>
              <w:spacing w:after="20" w:line="240" w:lineRule="auto"/>
            </w:pPr>
            <w:r>
              <w:rPr>
                <w:sz w:val="18"/>
              </w:rPr>
            </w:r>
            <w:r>
              <w:rPr>
                <w:sz w:val="18"/>
              </w:rPr>
              <w:t>Full control of context, streaming, policy hooks and durability; minimal dependencies; easy to reason about and audit.</w:t>
            </w:r>
          </w:p>
        </w:tc>
        <w:tc>
          <w:tcPr>
            <w:tcW w:type="dxa" w:w="2725"/>
          </w:tcPr>
          <w:p>
            <w:pPr>
              <w:spacing w:after="20" w:line="240" w:lineRule="auto"/>
            </w:pPr>
            <w:r>
              <w:rPr>
                <w:sz w:val="18"/>
              </w:rPr>
            </w:r>
            <w:r>
              <w:rPr>
                <w:sz w:val="18"/>
              </w:rPr>
              <w:t>You own the code: retries, parallel tools, subagents and tracing must be built.</w:t>
            </w:r>
          </w:p>
        </w:tc>
        <w:tc>
          <w:tcPr>
            <w:tcW w:type="dxa" w:w="2044"/>
          </w:tcPr>
          <w:p>
            <w:pPr>
              <w:spacing w:after="20" w:line="240" w:lineRule="auto"/>
            </w:pPr>
            <w:r>
              <w:rPr>
                <w:sz w:val="18"/>
              </w:rPr>
            </w:r>
            <w:r>
              <w:rPr>
                <w:b/>
                <w:sz w:val="18"/>
              </w:rPr>
              <w:t>Recommended core</w:t>
            </w:r>
            <w:r>
              <w:rPr>
                <w:sz w:val="18"/>
              </w:rPr>
              <w:t xml:space="preserve"> (a few thousand lines), using the OpenAI-compatible client and MCP SDK directly.</w:t>
            </w:r>
          </w:p>
        </w:tc>
      </w:tr>
      <w:tr>
        <w:trPr>
          <w:cantSplit w:val="true"/>
        </w:trPr>
        <w:tc>
          <w:tcPr>
            <w:tcW w:type="dxa" w:w="1817"/>
            <w:shd w:val="clear" w:color="auto" w:fill="F2F6FA"/>
          </w:tcPr>
          <w:p>
            <w:pPr>
              <w:spacing w:after="20" w:line="240" w:lineRule="auto"/>
            </w:pPr>
            <w:r>
              <w:rPr>
                <w:b/>
                <w:sz w:val="18"/>
              </w:rPr>
            </w:r>
            <w:r>
              <w:rPr>
                <w:b/>
                <w:sz w:val="18"/>
              </w:rPr>
              <w:t>LangGraph</w:t>
            </w:r>
          </w:p>
        </w:tc>
        <w:tc>
          <w:tcPr>
            <w:tcW w:type="dxa" w:w="2725"/>
            <w:shd w:val="clear" w:color="auto" w:fill="F2F6FA"/>
          </w:tcPr>
          <w:p>
            <w:pPr>
              <w:spacing w:after="20" w:line="240" w:lineRule="auto"/>
            </w:pPr>
            <w:r>
              <w:rPr>
                <w:sz w:val="18"/>
              </w:rPr>
            </w:r>
            <w:r>
              <w:rPr>
                <w:sz w:val="18"/>
              </w:rPr>
              <w:t>Explicit graph/state-machine modelling, checkpointers, human-in-the-loop interrupts, good for deterministic multi-step workflows.</w:t>
            </w:r>
          </w:p>
        </w:tc>
        <w:tc>
          <w:tcPr>
            <w:tcW w:type="dxa" w:w="2725"/>
            <w:shd w:val="clear" w:color="auto" w:fill="F2F6FA"/>
          </w:tcPr>
          <w:p>
            <w:pPr>
              <w:spacing w:after="20" w:line="240" w:lineRule="auto"/>
            </w:pPr>
            <w:r>
              <w:rPr>
                <w:sz w:val="18"/>
              </w:rPr>
            </w:r>
            <w:r>
              <w:rPr>
                <w:sz w:val="18"/>
              </w:rPr>
              <w:t>Abstraction overhead; its own persistence model overlaps with Temporal; version churn.</w:t>
            </w:r>
          </w:p>
        </w:tc>
        <w:tc>
          <w:tcPr>
            <w:tcW w:type="dxa" w:w="2044"/>
            <w:shd w:val="clear" w:color="auto" w:fill="F2F6FA"/>
          </w:tcPr>
          <w:p>
            <w:pPr>
              <w:spacing w:after="20" w:line="240" w:lineRule="auto"/>
            </w:pPr>
            <w:r>
              <w:rPr>
                <w:sz w:val="18"/>
              </w:rPr>
            </w:r>
            <w:r>
              <w:rPr>
                <w:sz w:val="18"/>
              </w:rPr>
              <w:t xml:space="preserve">Good for </w:t>
            </w:r>
            <w:r>
              <w:rPr>
                <w:b/>
                <w:sz w:val="18"/>
              </w:rPr>
              <w:t>specific structured workflows</w:t>
            </w:r>
            <w:r>
              <w:rPr>
                <w:sz w:val="18"/>
              </w:rPr>
              <w:t xml:space="preserve"> (e.g. a fixed document-review pipeline) running inside an activity.</w:t>
            </w:r>
          </w:p>
        </w:tc>
      </w:tr>
      <w:tr>
        <w:trPr>
          <w:cantSplit w:val="true"/>
        </w:trPr>
        <w:tc>
          <w:tcPr>
            <w:tcW w:type="dxa" w:w="1817"/>
          </w:tcPr>
          <w:p>
            <w:pPr>
              <w:spacing w:after="20" w:line="240" w:lineRule="auto"/>
            </w:pPr>
            <w:r>
              <w:rPr>
                <w:b/>
                <w:sz w:val="18"/>
              </w:rPr>
            </w:r>
            <w:r>
              <w:rPr>
                <w:b/>
                <w:sz w:val="18"/>
              </w:rPr>
              <w:t>Other frameworks (OpenAI Agents SDK with local endpoints, PydanticAI, LlamaIndex agents, Microsoft Agent Framework / Semantic Kernel, CrewAI)</w:t>
            </w:r>
          </w:p>
        </w:tc>
        <w:tc>
          <w:tcPr>
            <w:tcW w:type="dxa" w:w="2725"/>
          </w:tcPr>
          <w:p>
            <w:pPr>
              <w:spacing w:after="20" w:line="240" w:lineRule="auto"/>
            </w:pPr>
            <w:r>
              <w:rPr>
                <w:sz w:val="18"/>
              </w:rPr>
            </w:r>
            <w:r>
              <w:rPr>
                <w:sz w:val="18"/>
              </w:rPr>
              <w:t>Fast to prototype; useful building blocks.</w:t>
            </w:r>
          </w:p>
        </w:tc>
        <w:tc>
          <w:tcPr>
            <w:tcW w:type="dxa" w:w="2725"/>
          </w:tcPr>
          <w:p>
            <w:pPr>
              <w:spacing w:after="20" w:line="240" w:lineRule="auto"/>
            </w:pPr>
            <w:r>
              <w:rPr>
                <w:sz w:val="18"/>
              </w:rPr>
            </w:r>
            <w:r>
              <w:rPr>
                <w:sz w:val="18"/>
              </w:rPr>
              <w:t>Opinionated; may assume hosted-model features; varied maturity.</w:t>
            </w:r>
          </w:p>
        </w:tc>
        <w:tc>
          <w:tcPr>
            <w:tcW w:type="dxa" w:w="2044"/>
          </w:tcPr>
          <w:p>
            <w:pPr>
              <w:spacing w:after="20" w:line="240" w:lineRule="auto"/>
            </w:pPr>
            <w:r>
              <w:rPr>
                <w:sz w:val="18"/>
              </w:rPr>
            </w:r>
            <w:r>
              <w:rPr>
                <w:sz w:val="18"/>
              </w:rPr>
              <w:t>Prototyping; selectively reuse components.</w:t>
            </w:r>
          </w:p>
        </w:tc>
      </w:tr>
    </w:tbl>
    <w:p>
      <w:pPr>
        <w:spacing w:after="80"/>
      </w:pPr>
    </w:p>
    <w:p>
      <w:pPr>
        <w:pStyle w:val="Heading3"/>
      </w:pPr>
      <w:r>
        <w:t>Durable execution</w:t>
      </w:r>
    </w:p>
    <w:p>
      <w:r>
        <w:t xml:space="preserve">Agent turns can last minutes (and routines or approval waits, hours or days). Plain request/response services lose this work on restarts. </w:t>
      </w:r>
      <w:r>
        <w:rPr>
          <w:b/>
        </w:rPr>
        <w:t>Temporal</w:t>
      </w:r>
      <w:r>
        <w:t xml:space="preserve"> (MIT-licensed, self-hostable on Postgres or Cassandra) is recommended:</w:t>
      </w:r>
    </w:p>
    <w:p>
      <w:pPr>
        <w:pStyle w:val="ListBullet"/>
      </w:pPr>
      <w:r>
        <w:t xml:space="preserve">Each conversation turn, routine run and subagent is a </w:t>
      </w:r>
      <w:r>
        <w:rPr>
          <w:b/>
        </w:rPr>
        <w:t>workflow</w:t>
      </w:r>
      <w:r>
        <w:t xml:space="preserve">; model calls, tool calls and sandbox executions are </w:t>
      </w:r>
      <w:r>
        <w:rPr>
          <w:b/>
        </w:rPr>
        <w:t>activities</w:t>
      </w:r>
      <w:r>
        <w:t xml:space="preserve"> with timeouts, retries and heartbeats.</w:t>
      </w:r>
    </w:p>
    <w:p>
      <w:pPr>
        <w:pStyle w:val="ListBullet"/>
      </w:pPr>
      <w:r>
        <w:rPr>
          <w:b/>
        </w:rPr>
        <w:t>Signals</w:t>
      </w:r>
      <w:r>
        <w:t xml:space="preserve"> deliver approvals, user interrupts ('stop', 'also do X') and Slack replies to a running workflow; </w:t>
      </w:r>
      <w:r>
        <w:rPr>
          <w:b/>
        </w:rPr>
        <w:t>timers</w:t>
      </w:r>
      <w:r>
        <w:t xml:space="preserve"> implement waits and schedules.</w:t>
      </w:r>
    </w:p>
    <w:p>
      <w:pPr>
        <w:pStyle w:val="ListBullet"/>
      </w:pPr>
      <w:r>
        <w:t>The workflow history provides an exact replayable record of the run, complementing the audit log.</w:t>
      </w:r>
    </w:p>
    <w:p>
      <w:pPr>
        <w:pStyle w:val="ListBullet"/>
      </w:pPr>
      <w:r>
        <w:t>Idempotency keys on write tools ensure at-least-once activity retries do not duplicate side effects.</w:t>
      </w:r>
    </w:p>
    <w:p>
      <w:r>
        <w:rPr>
          <w:b/>
        </w:rPr>
        <w:t>Alternatives</w:t>
      </w:r>
      <w:r>
        <w:t>: a queue-based design (Kafka/NATS JetStream/Redis Streams plus a state table with step checkpoints) is simpler to start but requires hand-built retries, timers and resumption; Restate, DBOS or Hatchet are lighter durable-execution options; Argo Workflows suits batch pipelines rather than interactive turns. For Phase 0, an in-process loop with Postgres checkpoints is acceptable, with Temporal adopted from Phase 1.</w:t>
      </w:r>
    </w:p>
    <w:p>
      <w:pPr>
        <w:pStyle w:val="Heading2"/>
      </w:pPr>
      <w:r>
        <w:t>4.3 Tool layer using the Model Context Protocol (MCP)</w:t>
      </w:r>
    </w:p>
    <w:p>
      <w:r>
        <w:t xml:space="preserve">MCP is an open protocol that standardises how an AI application discovers and invokes </w:t>
      </w:r>
      <w:r>
        <w:rPr>
          <w:b/>
        </w:rPr>
        <w:t>tools</w:t>
      </w:r>
      <w:r>
        <w:t xml:space="preserve">, reads </w:t>
      </w:r>
      <w:r>
        <w:rPr>
          <w:b/>
        </w:rPr>
        <w:t>resources</w:t>
      </w:r>
      <w:r>
        <w:t xml:space="preserve"> and uses </w:t>
      </w:r>
      <w:r>
        <w:rPr>
          <w:b/>
        </w:rPr>
        <w:t>prompts</w:t>
      </w:r>
      <w:r>
        <w:t xml:space="preserve"> exposed by servers. In this architecture, every capability outside the model (except the core sandbox, which may also be exposed via MCP) is an MCP server, which gives one integration contract, one security choke point and a reusable ecosystem.</w:t>
      </w:r>
    </w:p>
    <w:p>
      <w:pPr>
        <w:pStyle w:val="Heading3"/>
      </w:pPr>
      <w:r>
        <w:t>Topology</w:t>
      </w:r>
    </w:p>
    <w:p>
      <w:pPr>
        <w:pStyle w:val="ListBullet"/>
      </w:pPr>
      <w:r>
        <w:rPr>
          <w:b/>
        </w:rPr>
        <w:t>MCP servers run as internal services</w:t>
      </w:r>
      <w:r>
        <w:t xml:space="preserve"> (streamable HTTP transport) in Kubernetes, owned by the platform team or by the team owning the underlying system. Local stdio servers are only used inside sandboxes.</w:t>
      </w:r>
    </w:p>
    <w:p>
      <w:pPr>
        <w:pStyle w:val="ListBullet"/>
      </w:pPr>
      <w:r>
        <w:t xml:space="preserve">An </w:t>
      </w:r>
      <w:r>
        <w:rPr>
          <w:b/>
        </w:rPr>
        <w:t>MCP gateway</w:t>
      </w:r>
      <w:r>
        <w:t xml:space="preserve"> (in-house service, or an open-source MCP gateway/proxy) fronts all servers: authenticates the orchestrator, injects the user's delegated credentials, applies policy, rate limits, redacts, logs and meters each call.</w:t>
      </w:r>
    </w:p>
    <w:p>
      <w:pPr>
        <w:pStyle w:val="ListBullet"/>
      </w:pPr>
      <w:r>
        <w:t xml:space="preserve">The orchestrator sees a </w:t>
      </w:r>
      <w:r>
        <w:rPr>
          <w:b/>
        </w:rPr>
        <w:t>virtual, per-user tool catalogue</w:t>
      </w:r>
      <w:r>
        <w:t xml:space="preserve"> assembled from the registry: only tools the agent is configured for and the user is entitled to.</w:t>
      </w:r>
    </w:p>
    <w:p>
      <w:pPr>
        <w:pStyle w:val="ListBullet"/>
      </w:pPr>
      <w:r>
        <w:t xml:space="preserve">Third-party or community MCP servers are </w:t>
      </w:r>
      <w:r>
        <w:rPr>
          <w:b/>
        </w:rPr>
        <w:t>vendored, reviewed, pinned and rebuilt</w:t>
      </w:r>
      <w:r>
        <w:t xml:space="preserve"> internally; they never run straight from public registries.</w:t>
      </w:r>
    </w:p>
    <w:p>
      <w:pPr>
        <w:pStyle w:val="Heading3"/>
      </w:pPr>
      <w:r>
        <w:t>Recommended initial MCP servers</w:t>
      </w:r>
    </w:p>
    <w:tbl>
      <w:tblPr>
        <w:tblStyle w:val="TableGrid"/>
        <w:jc w:val="center"/>
        <w:tblLook w:firstColumn="1" w:firstRow="1" w:lastColumn="0" w:lastRow="0" w:noHBand="0" w:noVBand="1" w:val="04A0"/>
        <w:tblCellMar>
          <w:top w:w="60" w:type="dxa"/>
          <w:left w:w="90" w:type="dxa"/>
          <w:bottom w:w="60" w:type="dxa"/>
          <w:right w:w="90" w:type="dxa"/>
        </w:tblCellMar>
        <w:tblW w:w="9310" w:type="dxa"/>
        <w:tblLayout w:type="fixed"/>
      </w:tblPr>
      <w:tblGrid>
        <w:gridCol w:w="1629"/>
        <w:gridCol w:w="3026"/>
        <w:gridCol w:w="3026"/>
        <w:gridCol w:w="1629"/>
      </w:tblGrid>
      <w:tr>
        <w:trPr>
          <w:tblHeader w:val="true"/>
        </w:trPr>
        <w:tc>
          <w:tcPr>
            <w:tcW w:type="dxa" w:w="1629"/>
            <w:shd w:val="clear" w:color="auto" w:fill="1F4E79"/>
          </w:tcPr>
          <w:p>
            <w:r/>
            <w:r>
              <w:rPr>
                <w:b/>
                <w:color w:val="FFFFFF"/>
                <w:sz w:val="18"/>
              </w:rPr>
              <w:t>Domain</w:t>
            </w:r>
          </w:p>
        </w:tc>
        <w:tc>
          <w:tcPr>
            <w:tcW w:type="dxa" w:w="3026"/>
            <w:shd w:val="clear" w:color="auto" w:fill="1F4E79"/>
          </w:tcPr>
          <w:p>
            <w:r/>
            <w:r>
              <w:rPr>
                <w:b/>
                <w:color w:val="FFFFFF"/>
                <w:sz w:val="18"/>
              </w:rPr>
              <w:t>MCP server(s)</w:t>
            </w:r>
          </w:p>
        </w:tc>
        <w:tc>
          <w:tcPr>
            <w:tcW w:type="dxa" w:w="3026"/>
            <w:shd w:val="clear" w:color="auto" w:fill="1F4E79"/>
          </w:tcPr>
          <w:p>
            <w:r/>
            <w:r>
              <w:rPr>
                <w:b/>
                <w:color w:val="FFFFFF"/>
                <w:sz w:val="18"/>
              </w:rPr>
              <w:t>Typical tools</w:t>
            </w:r>
          </w:p>
        </w:tc>
        <w:tc>
          <w:tcPr>
            <w:tcW w:type="dxa" w:w="1629"/>
            <w:shd w:val="clear" w:color="auto" w:fill="1F4E79"/>
          </w:tcPr>
          <w:p>
            <w:r/>
            <w:r>
              <w:rPr>
                <w:b/>
                <w:color w:val="FFFFFF"/>
                <w:sz w:val="18"/>
              </w:rPr>
              <w:t>Default class</w:t>
            </w:r>
          </w:p>
        </w:tc>
      </w:tr>
      <w:tr>
        <w:trPr>
          <w:cantSplit w:val="true"/>
        </w:trPr>
        <w:tc>
          <w:tcPr>
            <w:tcW w:type="dxa" w:w="1629"/>
          </w:tcPr>
          <w:p>
            <w:pPr>
              <w:spacing w:after="20" w:line="240" w:lineRule="auto"/>
            </w:pPr>
            <w:r>
              <w:rPr>
                <w:b/>
                <w:sz w:val="18"/>
              </w:rPr>
            </w:r>
            <w:r>
              <w:rPr>
                <w:b/>
                <w:sz w:val="18"/>
              </w:rPr>
              <w:t>Relational databases</w:t>
            </w:r>
          </w:p>
        </w:tc>
        <w:tc>
          <w:tcPr>
            <w:tcW w:type="dxa" w:w="3026"/>
          </w:tcPr>
          <w:p>
            <w:pPr>
              <w:spacing w:after="20" w:line="240" w:lineRule="auto"/>
            </w:pPr>
            <w:r>
              <w:rPr>
                <w:sz w:val="18"/>
              </w:rPr>
            </w:r>
            <w:r>
              <w:rPr>
                <w:sz w:val="18"/>
              </w:rPr>
              <w:t>Postgres, SQL Server, Oracle, MySQL; one server per engine with a shared safety core (see 4.5)</w:t>
            </w:r>
          </w:p>
        </w:tc>
        <w:tc>
          <w:tcPr>
            <w:tcW w:type="dxa" w:w="3026"/>
          </w:tcPr>
          <w:p>
            <w:pPr>
              <w:spacing w:after="20" w:line="240" w:lineRule="auto"/>
            </w:pPr>
            <w:r>
              <w:rPr>
                <w:sz w:val="18"/>
              </w:rPr>
            </w:r>
            <w:r>
              <w:rPr>
                <w:sz w:val="18"/>
              </w:rPr>
              <w:t>list_schemas, describe_table, sample_rows, run_query (read), explain</w:t>
            </w:r>
          </w:p>
        </w:tc>
        <w:tc>
          <w:tcPr>
            <w:tcW w:type="dxa" w:w="1629"/>
          </w:tcPr>
          <w:p>
            <w:pPr>
              <w:spacing w:after="20" w:line="240" w:lineRule="auto"/>
            </w:pPr>
            <w:r>
              <w:rPr>
                <w:sz w:val="18"/>
              </w:rPr>
            </w:r>
            <w:r>
              <w:rPr>
                <w:sz w:val="18"/>
              </w:rPr>
              <w:t>Read</w:t>
            </w:r>
          </w:p>
        </w:tc>
      </w:tr>
      <w:tr>
        <w:trPr>
          <w:cantSplit w:val="true"/>
        </w:trPr>
        <w:tc>
          <w:tcPr>
            <w:tcW w:type="dxa" w:w="1629"/>
            <w:shd w:val="clear" w:color="auto" w:fill="F2F6FA"/>
          </w:tcPr>
          <w:p>
            <w:pPr>
              <w:spacing w:after="20" w:line="240" w:lineRule="auto"/>
            </w:pPr>
            <w:r>
              <w:rPr>
                <w:b/>
                <w:sz w:val="18"/>
              </w:rPr>
            </w:r>
            <w:r>
              <w:rPr>
                <w:b/>
                <w:sz w:val="18"/>
              </w:rPr>
              <w:t>Data warehouse</w:t>
            </w:r>
          </w:p>
        </w:tc>
        <w:tc>
          <w:tcPr>
            <w:tcW w:type="dxa" w:w="3026"/>
            <w:shd w:val="clear" w:color="auto" w:fill="F2F6FA"/>
          </w:tcPr>
          <w:p>
            <w:pPr>
              <w:spacing w:after="20" w:line="240" w:lineRule="auto"/>
            </w:pPr>
            <w:r>
              <w:rPr>
                <w:sz w:val="18"/>
              </w:rPr>
            </w:r>
            <w:r>
              <w:rPr>
                <w:sz w:val="18"/>
              </w:rPr>
              <w:t>Snowflake, Databricks/Spark SQL, BigQuery-on-prem equivalents, Trino</w:t>
            </w:r>
          </w:p>
        </w:tc>
        <w:tc>
          <w:tcPr>
            <w:tcW w:type="dxa" w:w="3026"/>
            <w:shd w:val="clear" w:color="auto" w:fill="F2F6FA"/>
          </w:tcPr>
          <w:p>
            <w:pPr>
              <w:spacing w:after="20" w:line="240" w:lineRule="auto"/>
            </w:pPr>
            <w:r>
              <w:rPr>
                <w:sz w:val="18"/>
              </w:rPr>
            </w:r>
            <w:r>
              <w:rPr>
                <w:sz w:val="18"/>
              </w:rPr>
              <w:t>semantic_search_metrics, run_query with warehouse cost guard</w:t>
            </w:r>
          </w:p>
        </w:tc>
        <w:tc>
          <w:tcPr>
            <w:tcW w:type="dxa" w:w="1629"/>
            <w:shd w:val="clear" w:color="auto" w:fill="F2F6FA"/>
          </w:tcPr>
          <w:p>
            <w:pPr>
              <w:spacing w:after="20" w:line="240" w:lineRule="auto"/>
            </w:pPr>
            <w:r>
              <w:rPr>
                <w:sz w:val="18"/>
              </w:rPr>
            </w:r>
            <w:r>
              <w:rPr>
                <w:sz w:val="18"/>
              </w:rPr>
              <w:t>Read</w:t>
            </w:r>
          </w:p>
        </w:tc>
      </w:tr>
      <w:tr>
        <w:trPr>
          <w:cantSplit w:val="true"/>
        </w:trPr>
        <w:tc>
          <w:tcPr>
            <w:tcW w:type="dxa" w:w="1629"/>
          </w:tcPr>
          <w:p>
            <w:pPr>
              <w:spacing w:after="20" w:line="240" w:lineRule="auto"/>
            </w:pPr>
            <w:r>
              <w:rPr>
                <w:b/>
                <w:sz w:val="18"/>
              </w:rPr>
            </w:r>
            <w:r>
              <w:rPr>
                <w:b/>
                <w:sz w:val="18"/>
              </w:rPr>
              <w:t>Documents</w:t>
            </w:r>
          </w:p>
        </w:tc>
        <w:tc>
          <w:tcPr>
            <w:tcW w:type="dxa" w:w="3026"/>
          </w:tcPr>
          <w:p>
            <w:pPr>
              <w:spacing w:after="20" w:line="240" w:lineRule="auto"/>
            </w:pPr>
            <w:r>
              <w:rPr>
                <w:sz w:val="18"/>
              </w:rPr>
            </w:r>
            <w:r>
              <w:rPr>
                <w:sz w:val="18"/>
              </w:rPr>
              <w:t>SharePoint/OneDrive (Microsoft Graph), Confluence, Jira, SMB/NFS file shares, Google Drive if used</w:t>
            </w:r>
          </w:p>
        </w:tc>
        <w:tc>
          <w:tcPr>
            <w:tcW w:type="dxa" w:w="3026"/>
          </w:tcPr>
          <w:p>
            <w:pPr>
              <w:spacing w:after="20" w:line="240" w:lineRule="auto"/>
            </w:pPr>
            <w:r>
              <w:rPr>
                <w:sz w:val="18"/>
              </w:rPr>
            </w:r>
            <w:r>
              <w:rPr>
                <w:sz w:val="18"/>
              </w:rPr>
              <w:t>search, get_document, list_folder, create_page (write)</w:t>
            </w:r>
          </w:p>
        </w:tc>
        <w:tc>
          <w:tcPr>
            <w:tcW w:type="dxa" w:w="1629"/>
          </w:tcPr>
          <w:p>
            <w:pPr>
              <w:spacing w:after="20" w:line="240" w:lineRule="auto"/>
            </w:pPr>
            <w:r>
              <w:rPr>
                <w:sz w:val="18"/>
              </w:rPr>
            </w:r>
            <w:r>
              <w:rPr>
                <w:sz w:val="18"/>
              </w:rPr>
              <w:t>Read / Write</w:t>
            </w:r>
          </w:p>
        </w:tc>
      </w:tr>
      <w:tr>
        <w:trPr>
          <w:cantSplit w:val="true"/>
        </w:trPr>
        <w:tc>
          <w:tcPr>
            <w:tcW w:type="dxa" w:w="1629"/>
            <w:shd w:val="clear" w:color="auto" w:fill="F2F6FA"/>
          </w:tcPr>
          <w:p>
            <w:pPr>
              <w:spacing w:after="20" w:line="240" w:lineRule="auto"/>
            </w:pPr>
            <w:r>
              <w:rPr>
                <w:b/>
                <w:sz w:val="18"/>
              </w:rPr>
            </w:r>
            <w:r>
              <w:rPr>
                <w:b/>
                <w:sz w:val="18"/>
              </w:rPr>
              <w:t>Knowledge search</w:t>
            </w:r>
          </w:p>
        </w:tc>
        <w:tc>
          <w:tcPr>
            <w:tcW w:type="dxa" w:w="3026"/>
            <w:shd w:val="clear" w:color="auto" w:fill="F2F6FA"/>
          </w:tcPr>
          <w:p>
            <w:pPr>
              <w:spacing w:after="20" w:line="240" w:lineRule="auto"/>
            </w:pPr>
            <w:r>
              <w:rPr>
                <w:sz w:val="18"/>
              </w:rPr>
            </w:r>
            <w:r>
              <w:rPr>
                <w:sz w:val="18"/>
              </w:rPr>
              <w:t>Platform RAG service (4.4)</w:t>
            </w:r>
          </w:p>
        </w:tc>
        <w:tc>
          <w:tcPr>
            <w:tcW w:type="dxa" w:w="3026"/>
            <w:shd w:val="clear" w:color="auto" w:fill="F2F6FA"/>
          </w:tcPr>
          <w:p>
            <w:pPr>
              <w:spacing w:after="20" w:line="240" w:lineRule="auto"/>
            </w:pPr>
            <w:r>
              <w:rPr>
                <w:sz w:val="18"/>
              </w:rPr>
            </w:r>
            <w:r>
              <w:rPr>
                <w:sz w:val="18"/>
              </w:rPr>
              <w:t>knowledge.search, knowledge.get_chunk, knowledge.list_collections</w:t>
            </w:r>
          </w:p>
        </w:tc>
        <w:tc>
          <w:tcPr>
            <w:tcW w:type="dxa" w:w="1629"/>
            <w:shd w:val="clear" w:color="auto" w:fill="F2F6FA"/>
          </w:tcPr>
          <w:p>
            <w:pPr>
              <w:spacing w:after="20" w:line="240" w:lineRule="auto"/>
            </w:pPr>
            <w:r>
              <w:rPr>
                <w:sz w:val="18"/>
              </w:rPr>
            </w:r>
            <w:r>
              <w:rPr>
                <w:sz w:val="18"/>
              </w:rPr>
              <w:t>Read</w:t>
            </w:r>
          </w:p>
        </w:tc>
      </w:tr>
      <w:tr>
        <w:trPr>
          <w:cantSplit w:val="true"/>
        </w:trPr>
        <w:tc>
          <w:tcPr>
            <w:tcW w:type="dxa" w:w="1629"/>
          </w:tcPr>
          <w:p>
            <w:pPr>
              <w:spacing w:after="20" w:line="240" w:lineRule="auto"/>
            </w:pPr>
            <w:r>
              <w:rPr>
                <w:b/>
                <w:sz w:val="18"/>
              </w:rPr>
            </w:r>
            <w:r>
              <w:rPr>
                <w:b/>
                <w:sz w:val="18"/>
              </w:rPr>
              <w:t>Ticketing / ITSM</w:t>
            </w:r>
          </w:p>
        </w:tc>
        <w:tc>
          <w:tcPr>
            <w:tcW w:type="dxa" w:w="3026"/>
          </w:tcPr>
          <w:p>
            <w:pPr>
              <w:spacing w:after="20" w:line="240" w:lineRule="auto"/>
            </w:pPr>
            <w:r>
              <w:rPr>
                <w:sz w:val="18"/>
              </w:rPr>
            </w:r>
            <w:r>
              <w:rPr>
                <w:sz w:val="18"/>
              </w:rPr>
              <w:t>Jira, ServiceNow, GitLab/GitHub Enterprise issues</w:t>
            </w:r>
          </w:p>
        </w:tc>
        <w:tc>
          <w:tcPr>
            <w:tcW w:type="dxa" w:w="3026"/>
          </w:tcPr>
          <w:p>
            <w:pPr>
              <w:spacing w:after="20" w:line="240" w:lineRule="auto"/>
            </w:pPr>
            <w:r>
              <w:rPr>
                <w:sz w:val="18"/>
              </w:rPr>
            </w:r>
            <w:r>
              <w:rPr>
                <w:sz w:val="18"/>
              </w:rPr>
              <w:t>search_issues, get_issue, create_issue, comment, transition</w:t>
            </w:r>
          </w:p>
        </w:tc>
        <w:tc>
          <w:tcPr>
            <w:tcW w:type="dxa" w:w="1629"/>
          </w:tcPr>
          <w:p>
            <w:pPr>
              <w:spacing w:after="20" w:line="240" w:lineRule="auto"/>
            </w:pPr>
            <w:r>
              <w:rPr>
                <w:sz w:val="18"/>
              </w:rPr>
            </w:r>
            <w:r>
              <w:rPr>
                <w:sz w:val="18"/>
              </w:rPr>
              <w:t>Read / Write</w:t>
            </w:r>
          </w:p>
        </w:tc>
      </w:tr>
      <w:tr>
        <w:trPr>
          <w:cantSplit w:val="true"/>
        </w:trPr>
        <w:tc>
          <w:tcPr>
            <w:tcW w:type="dxa" w:w="1629"/>
            <w:shd w:val="clear" w:color="auto" w:fill="F2F6FA"/>
          </w:tcPr>
          <w:p>
            <w:pPr>
              <w:spacing w:after="20" w:line="240" w:lineRule="auto"/>
            </w:pPr>
            <w:r>
              <w:rPr>
                <w:b/>
                <w:sz w:val="18"/>
              </w:rPr>
            </w:r>
            <w:r>
              <w:rPr>
                <w:b/>
                <w:sz w:val="18"/>
              </w:rPr>
              <w:t>Communication</w:t>
            </w:r>
          </w:p>
        </w:tc>
        <w:tc>
          <w:tcPr>
            <w:tcW w:type="dxa" w:w="3026"/>
            <w:shd w:val="clear" w:color="auto" w:fill="F2F6FA"/>
          </w:tcPr>
          <w:p>
            <w:pPr>
              <w:spacing w:after="20" w:line="240" w:lineRule="auto"/>
            </w:pPr>
            <w:r>
              <w:rPr>
                <w:sz w:val="18"/>
              </w:rPr>
            </w:r>
            <w:r>
              <w:rPr>
                <w:sz w:val="18"/>
              </w:rPr>
              <w:t>Email (Exchange/Graph, IMAP/SMTP), Slack, Teams, calendar</w:t>
            </w:r>
          </w:p>
        </w:tc>
        <w:tc>
          <w:tcPr>
            <w:tcW w:type="dxa" w:w="3026"/>
            <w:shd w:val="clear" w:color="auto" w:fill="F2F6FA"/>
          </w:tcPr>
          <w:p>
            <w:pPr>
              <w:spacing w:after="20" w:line="240" w:lineRule="auto"/>
            </w:pPr>
            <w:r>
              <w:rPr>
                <w:sz w:val="18"/>
              </w:rPr>
            </w:r>
            <w:r>
              <w:rPr>
                <w:sz w:val="18"/>
              </w:rPr>
              <w:t>search_mail, read_thread, draft_message, send_message, find_free_time</w:t>
            </w:r>
          </w:p>
        </w:tc>
        <w:tc>
          <w:tcPr>
            <w:tcW w:type="dxa" w:w="1629"/>
            <w:shd w:val="clear" w:color="auto" w:fill="F2F6FA"/>
          </w:tcPr>
          <w:p>
            <w:pPr>
              <w:spacing w:after="20" w:line="240" w:lineRule="auto"/>
            </w:pPr>
            <w:r>
              <w:rPr>
                <w:sz w:val="18"/>
              </w:rPr>
            </w:r>
            <w:r>
              <w:rPr>
                <w:sz w:val="18"/>
              </w:rPr>
              <w:t>Read / Write (send = approval)</w:t>
            </w:r>
          </w:p>
        </w:tc>
      </w:tr>
      <w:tr>
        <w:trPr>
          <w:cantSplit w:val="true"/>
        </w:trPr>
        <w:tc>
          <w:tcPr>
            <w:tcW w:type="dxa" w:w="1629"/>
          </w:tcPr>
          <w:p>
            <w:pPr>
              <w:spacing w:after="20" w:line="240" w:lineRule="auto"/>
            </w:pPr>
            <w:r>
              <w:rPr>
                <w:b/>
                <w:sz w:val="18"/>
              </w:rPr>
            </w:r>
            <w:r>
              <w:rPr>
                <w:b/>
                <w:sz w:val="18"/>
              </w:rPr>
              <w:t>Internal APIs</w:t>
            </w:r>
          </w:p>
        </w:tc>
        <w:tc>
          <w:tcPr>
            <w:tcW w:type="dxa" w:w="3026"/>
          </w:tcPr>
          <w:p>
            <w:pPr>
              <w:spacing w:after="20" w:line="240" w:lineRule="auto"/>
            </w:pPr>
            <w:r>
              <w:rPr>
                <w:sz w:val="18"/>
              </w:rPr>
            </w:r>
            <w:r>
              <w:rPr>
                <w:sz w:val="18"/>
              </w:rPr>
              <w:t>Generated from OpenAPI specs (HR, CRM, ERP, finance), wrapped with explicit tool descriptions</w:t>
            </w:r>
          </w:p>
        </w:tc>
        <w:tc>
          <w:tcPr>
            <w:tcW w:type="dxa" w:w="3026"/>
          </w:tcPr>
          <w:p>
            <w:pPr>
              <w:spacing w:after="20" w:line="240" w:lineRule="auto"/>
            </w:pPr>
            <w:r>
              <w:rPr>
                <w:sz w:val="18"/>
              </w:rPr>
            </w:r>
            <w:r>
              <w:rPr>
                <w:sz w:val="18"/>
              </w:rPr>
              <w:t>get_employee, get_customer, create_purchase_request</w:t>
            </w:r>
          </w:p>
        </w:tc>
        <w:tc>
          <w:tcPr>
            <w:tcW w:type="dxa" w:w="1629"/>
          </w:tcPr>
          <w:p>
            <w:pPr>
              <w:spacing w:after="20" w:line="240" w:lineRule="auto"/>
            </w:pPr>
            <w:r>
              <w:rPr>
                <w:sz w:val="18"/>
              </w:rPr>
            </w:r>
            <w:r>
              <w:rPr>
                <w:sz w:val="18"/>
              </w:rPr>
              <w:t>Varies</w:t>
            </w:r>
          </w:p>
        </w:tc>
      </w:tr>
      <w:tr>
        <w:trPr>
          <w:cantSplit w:val="true"/>
        </w:trPr>
        <w:tc>
          <w:tcPr>
            <w:tcW w:type="dxa" w:w="1629"/>
            <w:shd w:val="clear" w:color="auto" w:fill="F2F6FA"/>
          </w:tcPr>
          <w:p>
            <w:pPr>
              <w:spacing w:after="20" w:line="240" w:lineRule="auto"/>
            </w:pPr>
            <w:r>
              <w:rPr>
                <w:b/>
                <w:sz w:val="18"/>
              </w:rPr>
            </w:r>
            <w:r>
              <w:rPr>
                <w:b/>
                <w:sz w:val="18"/>
              </w:rPr>
              <w:t>Sandbox and browser</w:t>
            </w:r>
          </w:p>
        </w:tc>
        <w:tc>
          <w:tcPr>
            <w:tcW w:type="dxa" w:w="3026"/>
            <w:shd w:val="clear" w:color="auto" w:fill="F2F6FA"/>
          </w:tcPr>
          <w:p>
            <w:pPr>
              <w:spacing w:after="20" w:line="240" w:lineRule="auto"/>
            </w:pPr>
            <w:r>
              <w:rPr>
                <w:sz w:val="18"/>
              </w:rPr>
            </w:r>
            <w:r>
              <w:rPr>
                <w:sz w:val="18"/>
              </w:rPr>
              <w:t>Sandbox manager (4.6)</w:t>
            </w:r>
          </w:p>
        </w:tc>
        <w:tc>
          <w:tcPr>
            <w:tcW w:type="dxa" w:w="3026"/>
            <w:shd w:val="clear" w:color="auto" w:fill="F2F6FA"/>
          </w:tcPr>
          <w:p>
            <w:pPr>
              <w:spacing w:after="20" w:line="240" w:lineRule="auto"/>
            </w:pPr>
            <w:r>
              <w:rPr>
                <w:sz w:val="18"/>
              </w:rPr>
            </w:r>
            <w:r>
              <w:rPr>
                <w:sz w:val="18"/>
              </w:rPr>
              <w:t>run_code, read_file, write_file, browser.navigate, browser.screenshot</w:t>
            </w:r>
          </w:p>
        </w:tc>
        <w:tc>
          <w:tcPr>
            <w:tcW w:type="dxa" w:w="1629"/>
            <w:shd w:val="clear" w:color="auto" w:fill="F2F6FA"/>
          </w:tcPr>
          <w:p>
            <w:pPr>
              <w:spacing w:after="20" w:line="240" w:lineRule="auto"/>
            </w:pPr>
            <w:r>
              <w:rPr>
                <w:sz w:val="18"/>
              </w:rPr>
            </w:r>
            <w:r>
              <w:rPr>
                <w:sz w:val="18"/>
              </w:rPr>
              <w:t>Read / Write (scoped to workspace)</w:t>
            </w:r>
          </w:p>
        </w:tc>
      </w:tr>
    </w:tbl>
    <w:p>
      <w:pPr>
        <w:spacing w:after="80"/>
      </w:pPr>
    </w:p>
    <w:p>
      <w:pPr>
        <w:pStyle w:val="Heading3"/>
      </w:pPr>
      <w:r>
        <w:t>Tool registry and versioning</w:t>
      </w:r>
    </w:p>
    <w:p>
      <w:pPr>
        <w:pStyle w:val="ListBullet"/>
      </w:pPr>
      <w:r>
        <w:t xml:space="preserve">Registry entry per tool: name, owning team, MCP server and version, JSON schema, natural-language description, </w:t>
      </w:r>
      <w:r>
        <w:rPr>
          <w:b/>
        </w:rPr>
        <w:t>risk class</w:t>
      </w:r>
      <w:r>
        <w:t>, required scopes, data classification touched, rate limits, cost hints, approval policy, test suite reference and status (draft, approved, deprecated).</w:t>
      </w:r>
    </w:p>
    <w:p>
      <w:pPr>
        <w:pStyle w:val="ListBullet"/>
      </w:pPr>
      <w:r>
        <w:rPr>
          <w:b/>
        </w:rPr>
        <w:t>Semantic versioning</w:t>
      </w:r>
      <w:r>
        <w:t xml:space="preserve"> of servers; tool schemas are immutable per version. Agents pin a major version; minor upgrades roll out progressively with evaluation gates.</w:t>
      </w:r>
    </w:p>
    <w:p>
      <w:pPr>
        <w:pStyle w:val="ListBullet"/>
      </w:pPr>
      <w:r>
        <w:rPr>
          <w:b/>
        </w:rPr>
        <w:t>Description quality is a security and quality control</w:t>
      </w:r>
      <w:r>
        <w:t>: descriptions are reviewed (they are effectively prompts) and diffed on change; changes in a description trigger re-evaluation, defending against 'tool poisoning' where a server alters instructions after approval.</w:t>
      </w:r>
    </w:p>
    <w:p>
      <w:pPr>
        <w:pStyle w:val="ListBullet"/>
      </w:pPr>
      <w:r>
        <w:rPr>
          <w:b/>
        </w:rPr>
        <w:t>Kill switches</w:t>
      </w:r>
      <w:r>
        <w:t xml:space="preserve"> at tool, server and agent level, effective within seconds.</w:t>
      </w:r>
    </w:p>
    <w:p>
      <w:pPr>
        <w:pStyle w:val="Heading3"/>
      </w:pPr>
      <w:r>
        <w:t>Read vs write tools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2561"/>
        <w:gridCol w:w="3259"/>
        <w:gridCol w:w="3492"/>
      </w:tblGrid>
      <w:tr>
        <w:trPr>
          <w:tblHeader w:val="true"/>
        </w:trPr>
        <w:tc>
          <w:tcPr>
            <w:tcW w:type="dxa" w:w="2561"/>
            <w:shd w:val="clear" w:color="auto" w:fill="1F4E79"/>
          </w:tcPr>
          <w:p>
            <w:r/>
            <w:r>
              <w:rPr>
                <w:b/>
                <w:color w:val="FFFFFF"/>
                <w:sz w:val="18"/>
              </w:rPr>
              <w:t>Risk class</w:t>
            </w:r>
          </w:p>
        </w:tc>
        <w:tc>
          <w:tcPr>
            <w:tcW w:type="dxa" w:w="3259"/>
            <w:shd w:val="clear" w:color="auto" w:fill="1F4E79"/>
          </w:tcPr>
          <w:p>
            <w:r/>
            <w:r>
              <w:rPr>
                <w:b/>
                <w:color w:val="FFFFFF"/>
                <w:sz w:val="18"/>
              </w:rPr>
              <w:t>Examples</w:t>
            </w:r>
          </w:p>
        </w:tc>
        <w:tc>
          <w:tcPr>
            <w:tcW w:type="dxa" w:w="3492"/>
            <w:shd w:val="clear" w:color="auto" w:fill="1F4E79"/>
          </w:tcPr>
          <w:p>
            <w:r/>
            <w:r>
              <w:rPr>
                <w:b/>
                <w:color w:val="FFFFFF"/>
                <w:sz w:val="18"/>
              </w:rPr>
              <w:t>Controls</w:t>
            </w:r>
          </w:p>
        </w:tc>
      </w:tr>
      <w:tr>
        <w:trPr>
          <w:cantSplit w:val="true"/>
        </w:trPr>
        <w:tc>
          <w:tcPr>
            <w:tcW w:type="dxa" w:w="2561"/>
          </w:tcPr>
          <w:p>
            <w:pPr>
              <w:spacing w:after="20" w:line="240" w:lineRule="auto"/>
            </w:pPr>
            <w:r>
              <w:rPr>
                <w:b/>
                <w:sz w:val="18"/>
              </w:rPr>
            </w:r>
            <w:r>
              <w:rPr>
                <w:b/>
                <w:sz w:val="18"/>
              </w:rPr>
              <w:t>R0: Read, low sensitivity</w:t>
            </w:r>
          </w:p>
        </w:tc>
        <w:tc>
          <w:tcPr>
            <w:tcW w:type="dxa" w:w="3259"/>
          </w:tcPr>
          <w:p>
            <w:pPr>
              <w:spacing w:after="20" w:line="240" w:lineRule="auto"/>
            </w:pPr>
            <w:r>
              <w:rPr>
                <w:sz w:val="18"/>
              </w:rPr>
            </w:r>
            <w:r>
              <w:rPr>
                <w:sz w:val="18"/>
              </w:rPr>
              <w:t>Search public intranet, describe schema</w:t>
            </w:r>
          </w:p>
        </w:tc>
        <w:tc>
          <w:tcPr>
            <w:tcW w:type="dxa" w:w="3492"/>
          </w:tcPr>
          <w:p>
            <w:pPr>
              <w:spacing w:after="20" w:line="240" w:lineRule="auto"/>
            </w:pPr>
            <w:r>
              <w:rPr>
                <w:sz w:val="18"/>
              </w:rPr>
            </w:r>
            <w:r>
              <w:rPr>
                <w:sz w:val="18"/>
              </w:rPr>
              <w:t>Allowed by default per agent configuration.</w:t>
            </w:r>
          </w:p>
        </w:tc>
      </w:tr>
      <w:tr>
        <w:trPr>
          <w:cantSplit w:val="true"/>
        </w:trPr>
        <w:tc>
          <w:tcPr>
            <w:tcW w:type="dxa" w:w="2561"/>
            <w:shd w:val="clear" w:color="auto" w:fill="F2F6FA"/>
          </w:tcPr>
          <w:p>
            <w:pPr>
              <w:spacing w:after="20" w:line="240" w:lineRule="auto"/>
            </w:pPr>
            <w:r>
              <w:rPr>
                <w:b/>
                <w:sz w:val="18"/>
              </w:rPr>
            </w:r>
            <w:r>
              <w:rPr>
                <w:b/>
                <w:sz w:val="18"/>
              </w:rPr>
              <w:t>R1: Read, sensitive</w:t>
            </w:r>
          </w:p>
        </w:tc>
        <w:tc>
          <w:tcPr>
            <w:tcW w:type="dxa" w:w="3259"/>
            <w:shd w:val="clear" w:color="auto" w:fill="F2F6FA"/>
          </w:tcPr>
          <w:p>
            <w:pPr>
              <w:spacing w:after="20" w:line="240" w:lineRule="auto"/>
            </w:pPr>
            <w:r>
              <w:rPr>
                <w:sz w:val="18"/>
              </w:rPr>
            </w:r>
            <w:r>
              <w:rPr>
                <w:sz w:val="18"/>
              </w:rPr>
              <w:t>HR records, customer PII, financial data</w:t>
            </w:r>
          </w:p>
        </w:tc>
        <w:tc>
          <w:tcPr>
            <w:tcW w:type="dxa" w:w="3492"/>
            <w:shd w:val="clear" w:color="auto" w:fill="F2F6FA"/>
          </w:tcPr>
          <w:p>
            <w:pPr>
              <w:spacing w:after="20" w:line="240" w:lineRule="auto"/>
            </w:pPr>
            <w:r>
              <w:rPr>
                <w:sz w:val="18"/>
              </w:rPr>
            </w:r>
            <w:r>
              <w:rPr>
                <w:sz w:val="18"/>
              </w:rPr>
              <w:t>Entitlement check, ABAC on data classification, PII redaction in traces, purpose logging.</w:t>
            </w:r>
          </w:p>
        </w:tc>
      </w:tr>
      <w:tr>
        <w:trPr>
          <w:cantSplit w:val="true"/>
        </w:trPr>
        <w:tc>
          <w:tcPr>
            <w:tcW w:type="dxa" w:w="2561"/>
          </w:tcPr>
          <w:p>
            <w:pPr>
              <w:spacing w:after="20" w:line="240" w:lineRule="auto"/>
            </w:pPr>
            <w:r>
              <w:rPr>
                <w:b/>
                <w:sz w:val="18"/>
              </w:rPr>
            </w:r>
            <w:r>
              <w:rPr>
                <w:b/>
                <w:sz w:val="18"/>
              </w:rPr>
              <w:t>W1: Reversible write, own scope</w:t>
            </w:r>
          </w:p>
        </w:tc>
        <w:tc>
          <w:tcPr>
            <w:tcW w:type="dxa" w:w="3259"/>
          </w:tcPr>
          <w:p>
            <w:pPr>
              <w:spacing w:after="20" w:line="240" w:lineRule="auto"/>
            </w:pPr>
            <w:r>
              <w:rPr>
                <w:sz w:val="18"/>
              </w:rPr>
            </w:r>
            <w:r>
              <w:rPr>
                <w:sz w:val="18"/>
              </w:rPr>
              <w:t>Create draft, add comment, write to own workspace</w:t>
            </w:r>
          </w:p>
        </w:tc>
        <w:tc>
          <w:tcPr>
            <w:tcW w:type="dxa" w:w="3492"/>
          </w:tcPr>
          <w:p>
            <w:pPr>
              <w:spacing w:after="20" w:line="240" w:lineRule="auto"/>
            </w:pPr>
            <w:r>
              <w:rPr>
                <w:sz w:val="18"/>
              </w:rPr>
            </w:r>
            <w:r>
              <w:rPr>
                <w:sz w:val="18"/>
              </w:rPr>
              <w:t>Allowed with audit; idempotency keys; undo where possible.</w:t>
            </w:r>
          </w:p>
        </w:tc>
      </w:tr>
      <w:tr>
        <w:trPr>
          <w:cantSplit w:val="true"/>
        </w:trPr>
        <w:tc>
          <w:tcPr>
            <w:tcW w:type="dxa" w:w="2561"/>
            <w:shd w:val="clear" w:color="auto" w:fill="F2F6FA"/>
          </w:tcPr>
          <w:p>
            <w:pPr>
              <w:spacing w:after="20" w:line="240" w:lineRule="auto"/>
            </w:pPr>
            <w:r>
              <w:rPr>
                <w:b/>
                <w:sz w:val="18"/>
              </w:rPr>
            </w:r>
            <w:r>
              <w:rPr>
                <w:b/>
                <w:sz w:val="18"/>
              </w:rPr>
              <w:t>W2: External or shared side effects</w:t>
            </w:r>
          </w:p>
        </w:tc>
        <w:tc>
          <w:tcPr>
            <w:tcW w:type="dxa" w:w="3259"/>
            <w:shd w:val="clear" w:color="auto" w:fill="F2F6FA"/>
          </w:tcPr>
          <w:p>
            <w:pPr>
              <w:spacing w:after="20" w:line="240" w:lineRule="auto"/>
            </w:pPr>
            <w:r>
              <w:rPr>
                <w:sz w:val="18"/>
              </w:rPr>
            </w:r>
            <w:r>
              <w:rPr>
                <w:sz w:val="18"/>
              </w:rPr>
              <w:t>Send email/Slack, create ticket in another team's queue, update CRM</w:t>
            </w:r>
          </w:p>
        </w:tc>
        <w:tc>
          <w:tcPr>
            <w:tcW w:type="dxa" w:w="3492"/>
            <w:shd w:val="clear" w:color="auto" w:fill="F2F6FA"/>
          </w:tcPr>
          <w:p>
            <w:pPr>
              <w:spacing w:after="20" w:line="240" w:lineRule="auto"/>
            </w:pPr>
            <w:r>
              <w:rPr>
                <w:sz w:val="18"/>
              </w:rPr>
            </w:r>
            <w:r>
              <w:rPr>
                <w:b/>
                <w:sz w:val="18"/>
              </w:rPr>
              <w:t>Human approval</w:t>
            </w:r>
            <w:r>
              <w:rPr>
                <w:sz w:val="18"/>
              </w:rPr>
              <w:t xml:space="preserve"> of exact arguments (can be pre-approved per routine).</w:t>
            </w:r>
          </w:p>
        </w:tc>
      </w:tr>
      <w:tr>
        <w:trPr>
          <w:cantSplit w:val="true"/>
        </w:trPr>
        <w:tc>
          <w:tcPr>
            <w:tcW w:type="dxa" w:w="2561"/>
          </w:tcPr>
          <w:p>
            <w:pPr>
              <w:spacing w:after="20" w:line="240" w:lineRule="auto"/>
            </w:pPr>
            <w:r>
              <w:rPr>
                <w:b/>
                <w:sz w:val="18"/>
              </w:rPr>
            </w:r>
            <w:r>
              <w:rPr>
                <w:b/>
                <w:sz w:val="18"/>
              </w:rPr>
              <w:t>W3: Destructive or production-impacting</w:t>
            </w:r>
          </w:p>
        </w:tc>
        <w:tc>
          <w:tcPr>
            <w:tcW w:type="dxa" w:w="3259"/>
          </w:tcPr>
          <w:p>
            <w:pPr>
              <w:spacing w:after="20" w:line="240" w:lineRule="auto"/>
            </w:pPr>
            <w:r>
              <w:rPr>
                <w:sz w:val="18"/>
              </w:rPr>
            </w:r>
            <w:r>
              <w:rPr>
                <w:sz w:val="18"/>
              </w:rPr>
              <w:t>Delete records, DDL/DML on production, payments, permission changes</w:t>
            </w:r>
          </w:p>
        </w:tc>
        <w:tc>
          <w:tcPr>
            <w:tcW w:type="dxa" w:w="3492"/>
          </w:tcPr>
          <w:p>
            <w:pPr>
              <w:spacing w:after="20" w:line="240" w:lineRule="auto"/>
            </w:pPr>
            <w:r>
              <w:rPr>
                <w:sz w:val="18"/>
              </w:rPr>
            </w:r>
            <w:r>
              <w:rPr>
                <w:sz w:val="18"/>
              </w:rPr>
              <w:t>Approval plus step-up authentication, optional four-eyes rule, dry run and diff preview, change-window policy; disabled by default.</w:t>
            </w:r>
          </w:p>
        </w:tc>
      </w:tr>
    </w:tbl>
    <w:p>
      <w:pPr>
        <w:spacing w:after="80"/>
      </w:pPr>
    </w:p>
    <w:p>
      <w:r>
        <w:t xml:space="preserve">Prefer </w:t>
      </w:r>
      <w:r>
        <w:rPr>
          <w:b/>
        </w:rPr>
        <w:t>narrow, intention-revealing tools</w:t>
      </w:r>
      <w:r>
        <w:t xml:space="preserve"> (e.g. </w:t>
      </w:r>
      <w:r>
        <w:rPr>
          <w:rFonts w:ascii="Consolas" w:hAnsi="Consolas"/>
          <w:color w:val="8B1A1A"/>
        </w:rPr>
        <w:t>create_jira_issue(project, summary, description)</w:t>
      </w:r>
      <w:r>
        <w:t>) over generic ones (</w:t>
      </w:r>
      <w:r>
        <w:rPr>
          <w:rFonts w:ascii="Consolas" w:hAnsi="Consolas"/>
          <w:color w:val="8B1A1A"/>
        </w:rPr>
        <w:t>http_request</w:t>
      </w:r>
      <w:r>
        <w:t xml:space="preserve">, </w:t>
      </w:r>
      <w:r>
        <w:rPr>
          <w:rFonts w:ascii="Consolas" w:hAnsi="Consolas"/>
          <w:color w:val="8B1A1A"/>
        </w:rPr>
        <w:t>execute_sql_write</w:t>
      </w:r>
      <w:r>
        <w:t>). Narrow tools are easier to authorise, approve, test and explain to users.</w:t>
      </w:r>
    </w:p>
    <w:p>
      <w:pPr>
        <w:pStyle w:val="Heading2"/>
      </w:pPr>
      <w:r>
        <w:t>4.4 Knowledge and retrieval-augmented generation (RAG)</w:t>
      </w:r>
    </w:p>
    <w:p>
      <w:pPr>
        <w:pStyle w:val="Heading3"/>
      </w:pPr>
      <w:r>
        <w:t>Ingestion pipeline</w:t>
      </w:r>
    </w:p>
    <w:p>
      <w:pPr>
        <w:spacing w:after="60"/>
        <w:ind w:left="432" w:hanging="360"/>
      </w:pPr>
      <w:r>
        <w:t xml:space="preserve">1.  </w:t>
      </w:r>
      <w:r>
        <w:rPr>
          <w:b/>
        </w:rPr>
        <w:t>Connectors</w:t>
      </w:r>
      <w:r>
        <w:t xml:space="preserve"> pull or receive change notifications from SharePoint (Microsoft Graph delta queries), Confluence, file shares, ticketing, wikis and uploaded files. Each connector records source ID, URL, version, last-modified and the </w:t>
      </w:r>
      <w:r>
        <w:rPr>
          <w:b/>
        </w:rPr>
        <w:t>permission set</w:t>
      </w:r>
      <w:r>
        <w:t xml:space="preserve"> (users and groups with read access).</w:t>
      </w:r>
    </w:p>
    <w:p>
      <w:pPr>
        <w:spacing w:after="60"/>
        <w:ind w:left="432" w:hanging="360"/>
      </w:pPr>
      <w:r>
        <w:t xml:space="preserve">2.  </w:t>
      </w:r>
      <w:r>
        <w:rPr>
          <w:b/>
        </w:rPr>
        <w:t>Parsing and normalisation</w:t>
      </w:r>
      <w:r>
        <w:t>: layout-aware parsing for PDF, Office, HTML and scans (e.g. Docling, Apache Tika, Unstructured; OCR via Tesseract or PaddleOCR; a vision-language model for complex tables and figures). Output is clean Markdown with structural markers (headings, tables, page numbers).</w:t>
      </w:r>
    </w:p>
    <w:p>
      <w:pPr>
        <w:spacing w:after="60"/>
        <w:ind w:left="432" w:hanging="360"/>
      </w:pPr>
      <w:r>
        <w:t xml:space="preserve">3.  </w:t>
      </w:r>
      <w:r>
        <w:rPr>
          <w:b/>
        </w:rPr>
        <w:t>Chunking</w:t>
      </w:r>
      <w:r>
        <w:t>: structure-aware chunks of roughly 300 to 800 tokens with 10 to 15 percent overlap, never splitting tables mid-row; each chunk carries its heading path, and optionally a short model-generated context sentence ('contextual chunking') which measurably improves retrieval.</w:t>
      </w:r>
    </w:p>
    <w:p>
      <w:pPr>
        <w:spacing w:after="60"/>
        <w:ind w:left="432" w:hanging="360"/>
      </w:pPr>
      <w:r>
        <w:t xml:space="preserve">4.  </w:t>
      </w:r>
      <w:r>
        <w:rPr>
          <w:b/>
        </w:rPr>
        <w:t>Enrichment</w:t>
      </w:r>
      <w:r>
        <w:t>: language detection, PII and classification tags, entity extraction, document-level summary for coarse retrieval.</w:t>
      </w:r>
    </w:p>
    <w:p>
      <w:pPr>
        <w:spacing w:after="60"/>
        <w:ind w:left="432" w:hanging="360"/>
      </w:pPr>
      <w:r>
        <w:t xml:space="preserve">5.  </w:t>
      </w:r>
      <w:r>
        <w:rPr>
          <w:b/>
        </w:rPr>
        <w:t>Embedding</w:t>
      </w:r>
      <w:r>
        <w:t xml:space="preserve"> in batches on the embedding pool (separate from query-time traffic), plus sparse vectors or BM25 indexing.</w:t>
      </w:r>
    </w:p>
    <w:p>
      <w:pPr>
        <w:spacing w:after="60"/>
        <w:ind w:left="432" w:hanging="360"/>
      </w:pPr>
      <w:r>
        <w:t xml:space="preserve">6.  </w:t>
      </w:r>
      <w:r>
        <w:rPr>
          <w:b/>
        </w:rPr>
        <w:t>Indexing</w:t>
      </w:r>
      <w:r>
        <w:t xml:space="preserve"> with metadata: tenant, collection, source, ACL principals, classification, timestamps, version hash.</w:t>
      </w:r>
    </w:p>
    <w:p>
      <w:r>
        <w:t>Ingestion runs as idempotent, resumable jobs (Temporal or Argo Workflows), keyed by source document version hash so unchanged documents are skipped.</w:t>
      </w:r>
    </w:p>
    <w:p>
      <w:pPr>
        <w:pStyle w:val="Heading3"/>
      </w:pPr>
      <w:r>
        <w:t>Vector and hybrid search options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590"/>
        <w:gridCol w:w="3180"/>
        <w:gridCol w:w="2725"/>
        <w:gridCol w:w="1817"/>
      </w:tblGrid>
      <w:tr>
        <w:trPr>
          <w:tblHeader w:val="true"/>
        </w:trPr>
        <w:tc>
          <w:tcPr>
            <w:tcW w:type="dxa" w:w="1590"/>
            <w:shd w:val="clear" w:color="auto" w:fill="1F4E79"/>
          </w:tcPr>
          <w:p>
            <w:r/>
            <w:r>
              <w:rPr>
                <w:b/>
                <w:color w:val="FFFFFF"/>
                <w:sz w:val="18"/>
              </w:rPr>
              <w:t>Store</w:t>
            </w:r>
          </w:p>
        </w:tc>
        <w:tc>
          <w:tcPr>
            <w:tcW w:type="dxa" w:w="3180"/>
            <w:shd w:val="clear" w:color="auto" w:fill="1F4E79"/>
          </w:tcPr>
          <w:p>
            <w:r/>
            <w:r>
              <w:rPr>
                <w:b/>
                <w:color w:val="FFFFFF"/>
                <w:sz w:val="18"/>
              </w:rPr>
              <w:t>Strengths</w:t>
            </w:r>
          </w:p>
        </w:tc>
        <w:tc>
          <w:tcPr>
            <w:tcW w:type="dxa" w:w="2725"/>
            <w:shd w:val="clear" w:color="auto" w:fill="1F4E79"/>
          </w:tcPr>
          <w:p>
            <w:r/>
            <w:r>
              <w:rPr>
                <w:b/>
                <w:color w:val="FFFFFF"/>
                <w:sz w:val="18"/>
              </w:rPr>
              <w:t>Trade-offs</w:t>
            </w:r>
          </w:p>
        </w:tc>
        <w:tc>
          <w:tcPr>
            <w:tcW w:type="dxa" w:w="1817"/>
            <w:shd w:val="clear" w:color="auto" w:fill="1F4E79"/>
          </w:tcPr>
          <w:p>
            <w:r/>
            <w:r>
              <w:rPr>
                <w:b/>
                <w:color w:val="FFFFFF"/>
                <w:sz w:val="18"/>
              </w:rPr>
              <w:t>Fit</w:t>
            </w:r>
          </w:p>
        </w:tc>
      </w:tr>
      <w:tr>
        <w:trPr>
          <w:cantSplit w:val="true"/>
        </w:trPr>
        <w:tc>
          <w:tcPr>
            <w:tcW w:type="dxa" w:w="1590"/>
          </w:tcPr>
          <w:p>
            <w:pPr>
              <w:spacing w:after="20" w:line="240" w:lineRule="auto"/>
            </w:pPr>
            <w:r>
              <w:rPr>
                <w:b/>
                <w:sz w:val="18"/>
              </w:rPr>
            </w:r>
            <w:r>
              <w:rPr>
                <w:b/>
                <w:sz w:val="18"/>
              </w:rPr>
              <w:t>pgvector (Postgres)</w:t>
            </w:r>
          </w:p>
        </w:tc>
        <w:tc>
          <w:tcPr>
            <w:tcW w:type="dxa" w:w="3180"/>
          </w:tcPr>
          <w:p>
            <w:pPr>
              <w:spacing w:after="20" w:line="240" w:lineRule="auto"/>
            </w:pPr>
            <w:r>
              <w:rPr>
                <w:sz w:val="18"/>
              </w:rPr>
            </w:r>
            <w:r>
              <w:rPr>
                <w:sz w:val="18"/>
              </w:rPr>
              <w:t>No new system; transactional with app data; HNSW indexes; row-level security; good to tens of millions of vectors.</w:t>
            </w:r>
          </w:p>
        </w:tc>
        <w:tc>
          <w:tcPr>
            <w:tcW w:type="dxa" w:w="2725"/>
          </w:tcPr>
          <w:p>
            <w:pPr>
              <w:spacing w:after="20" w:line="240" w:lineRule="auto"/>
            </w:pPr>
            <w:r>
              <w:rPr>
                <w:sz w:val="18"/>
              </w:rPr>
            </w:r>
            <w:r>
              <w:rPr>
                <w:sz w:val="18"/>
              </w:rPr>
              <w:t>Hybrid search requires combining with Postgres full-text; scaling beyond ~50 to 100M vectors needs care.</w:t>
            </w:r>
          </w:p>
        </w:tc>
        <w:tc>
          <w:tcPr>
            <w:tcW w:type="dxa" w:w="1817"/>
          </w:tcPr>
          <w:p>
            <w:pPr>
              <w:spacing w:after="20" w:line="240" w:lineRule="auto"/>
            </w:pPr>
            <w:r>
              <w:rPr>
                <w:sz w:val="18"/>
              </w:rPr>
            </w:r>
            <w:r>
              <w:rPr>
                <w:sz w:val="18"/>
              </w:rPr>
              <w:t>Memory store; Phase 0/1 RAG; smaller corpora.</w:t>
            </w:r>
          </w:p>
        </w:tc>
      </w:tr>
      <w:tr>
        <w:trPr>
          <w:cantSplit w:val="true"/>
        </w:trPr>
        <w:tc>
          <w:tcPr>
            <w:tcW w:type="dxa" w:w="1590"/>
            <w:shd w:val="clear" w:color="auto" w:fill="F2F6FA"/>
          </w:tcPr>
          <w:p>
            <w:pPr>
              <w:spacing w:after="20" w:line="240" w:lineRule="auto"/>
            </w:pPr>
            <w:r>
              <w:rPr>
                <w:b/>
                <w:sz w:val="18"/>
              </w:rPr>
            </w:r>
            <w:r>
              <w:rPr>
                <w:b/>
                <w:sz w:val="18"/>
              </w:rPr>
              <w:t>Qdrant</w:t>
            </w:r>
          </w:p>
        </w:tc>
        <w:tc>
          <w:tcPr>
            <w:tcW w:type="dxa" w:w="3180"/>
            <w:shd w:val="clear" w:color="auto" w:fill="F2F6FA"/>
          </w:tcPr>
          <w:p>
            <w:pPr>
              <w:spacing w:after="20" w:line="240" w:lineRule="auto"/>
            </w:pPr>
            <w:r>
              <w:rPr>
                <w:sz w:val="18"/>
              </w:rPr>
            </w:r>
            <w:r>
              <w:rPr>
                <w:sz w:val="18"/>
              </w:rPr>
              <w:t>Fast, filter-aware HNSW (payload filtering performs well with ACL filters), sparse+dense hybrid, quantisation, simple to run.</w:t>
            </w:r>
          </w:p>
        </w:tc>
        <w:tc>
          <w:tcPr>
            <w:tcW w:type="dxa" w:w="2725"/>
            <w:shd w:val="clear" w:color="auto" w:fill="F2F6FA"/>
          </w:tcPr>
          <w:p>
            <w:pPr>
              <w:spacing w:after="20" w:line="240" w:lineRule="auto"/>
            </w:pPr>
            <w:r>
              <w:rPr>
                <w:sz w:val="18"/>
              </w:rPr>
            </w:r>
            <w:r>
              <w:rPr>
                <w:sz w:val="18"/>
              </w:rPr>
              <w:t>Another stateful cluster to operate.</w:t>
            </w:r>
          </w:p>
        </w:tc>
        <w:tc>
          <w:tcPr>
            <w:tcW w:type="dxa" w:w="1817"/>
            <w:shd w:val="clear" w:color="auto" w:fill="F2F6FA"/>
          </w:tcPr>
          <w:p>
            <w:pPr>
              <w:spacing w:after="20" w:line="240" w:lineRule="auto"/>
            </w:pPr>
            <w:r>
              <w:rPr>
                <w:sz w:val="18"/>
              </w:rPr>
            </w:r>
            <w:r>
              <w:rPr>
                <w:b/>
                <w:sz w:val="18"/>
              </w:rPr>
              <w:t>Recommended</w:t>
            </w:r>
            <w:r>
              <w:rPr>
                <w:sz w:val="18"/>
              </w:rPr>
              <w:t xml:space="preserve"> dedicated RAG store.</w:t>
            </w:r>
          </w:p>
        </w:tc>
      </w:tr>
      <w:tr>
        <w:trPr>
          <w:cantSplit w:val="true"/>
        </w:trPr>
        <w:tc>
          <w:tcPr>
            <w:tcW w:type="dxa" w:w="1590"/>
          </w:tcPr>
          <w:p>
            <w:pPr>
              <w:spacing w:after="20" w:line="240" w:lineRule="auto"/>
            </w:pPr>
            <w:r>
              <w:rPr>
                <w:b/>
                <w:sz w:val="18"/>
              </w:rPr>
            </w:r>
            <w:r>
              <w:rPr>
                <w:b/>
                <w:sz w:val="18"/>
              </w:rPr>
              <w:t>OpenSearch</w:t>
            </w:r>
          </w:p>
        </w:tc>
        <w:tc>
          <w:tcPr>
            <w:tcW w:type="dxa" w:w="3180"/>
          </w:tcPr>
          <w:p>
            <w:pPr>
              <w:spacing w:after="20" w:line="240" w:lineRule="auto"/>
            </w:pPr>
            <w:r>
              <w:rPr>
                <w:sz w:val="18"/>
              </w:rPr>
            </w:r>
            <w:r>
              <w:rPr>
                <w:sz w:val="18"/>
              </w:rPr>
              <w:t>Mature BM25 + k-NN hybrid in one engine, aggregations, document-level security plugin, familiar to many ops teams.</w:t>
            </w:r>
          </w:p>
        </w:tc>
        <w:tc>
          <w:tcPr>
            <w:tcW w:type="dxa" w:w="2725"/>
          </w:tcPr>
          <w:p>
            <w:pPr>
              <w:spacing w:after="20" w:line="240" w:lineRule="auto"/>
            </w:pPr>
            <w:r>
              <w:rPr>
                <w:sz w:val="18"/>
              </w:rPr>
            </w:r>
            <w:r>
              <w:rPr>
                <w:sz w:val="18"/>
              </w:rPr>
              <w:t>Heavier; vector performance below specialised engines at large scale.</w:t>
            </w:r>
          </w:p>
        </w:tc>
        <w:tc>
          <w:tcPr>
            <w:tcW w:type="dxa" w:w="1817"/>
          </w:tcPr>
          <w:p>
            <w:pPr>
              <w:spacing w:after="20" w:line="240" w:lineRule="auto"/>
            </w:pPr>
            <w:r>
              <w:rPr>
                <w:sz w:val="18"/>
              </w:rPr>
            </w:r>
            <w:r>
              <w:rPr>
                <w:b/>
                <w:sz w:val="18"/>
              </w:rPr>
              <w:t>Recommended</w:t>
            </w:r>
            <w:r>
              <w:rPr>
                <w:sz w:val="18"/>
              </w:rPr>
              <w:t xml:space="preserve"> if OpenSearch/Elasticsearch already runs in-house.</w:t>
            </w:r>
          </w:p>
        </w:tc>
      </w:tr>
      <w:tr>
        <w:trPr>
          <w:cantSplit w:val="true"/>
        </w:trPr>
        <w:tc>
          <w:tcPr>
            <w:tcW w:type="dxa" w:w="1590"/>
            <w:shd w:val="clear" w:color="auto" w:fill="F2F6FA"/>
          </w:tcPr>
          <w:p>
            <w:pPr>
              <w:spacing w:after="20" w:line="240" w:lineRule="auto"/>
            </w:pPr>
            <w:r>
              <w:rPr>
                <w:b/>
                <w:sz w:val="18"/>
              </w:rPr>
            </w:r>
            <w:r>
              <w:rPr>
                <w:b/>
                <w:sz w:val="18"/>
              </w:rPr>
              <w:t>Milvus</w:t>
            </w:r>
          </w:p>
        </w:tc>
        <w:tc>
          <w:tcPr>
            <w:tcW w:type="dxa" w:w="3180"/>
            <w:shd w:val="clear" w:color="auto" w:fill="F2F6FA"/>
          </w:tcPr>
          <w:p>
            <w:pPr>
              <w:spacing w:after="20" w:line="240" w:lineRule="auto"/>
            </w:pPr>
            <w:r>
              <w:rPr>
                <w:sz w:val="18"/>
              </w:rPr>
            </w:r>
            <w:r>
              <w:rPr>
                <w:sz w:val="18"/>
              </w:rPr>
              <w:t>Designed for billions of vectors, GPU indexes, disaggregated storage.</w:t>
            </w:r>
          </w:p>
        </w:tc>
        <w:tc>
          <w:tcPr>
            <w:tcW w:type="dxa" w:w="2725"/>
            <w:shd w:val="clear" w:color="auto" w:fill="F2F6FA"/>
          </w:tcPr>
          <w:p>
            <w:pPr>
              <w:spacing w:after="20" w:line="240" w:lineRule="auto"/>
            </w:pPr>
            <w:r>
              <w:rPr>
                <w:sz w:val="18"/>
              </w:rPr>
            </w:r>
            <w:r>
              <w:rPr>
                <w:sz w:val="18"/>
              </w:rPr>
              <w:t>Most complex to operate (multiple components, etcd, object store, message queue).</w:t>
            </w:r>
          </w:p>
        </w:tc>
        <w:tc>
          <w:tcPr>
            <w:tcW w:type="dxa" w:w="1817"/>
            <w:shd w:val="clear" w:color="auto" w:fill="F2F6FA"/>
          </w:tcPr>
          <w:p>
            <w:pPr>
              <w:spacing w:after="20" w:line="240" w:lineRule="auto"/>
            </w:pPr>
            <w:r>
              <w:rPr>
                <w:sz w:val="18"/>
              </w:rPr>
            </w:r>
            <w:r>
              <w:rPr>
                <w:sz w:val="18"/>
              </w:rPr>
              <w:t>Very large corpora (Phase 3).</w:t>
            </w:r>
          </w:p>
        </w:tc>
      </w:tr>
      <w:tr>
        <w:trPr>
          <w:cantSplit w:val="true"/>
        </w:trPr>
        <w:tc>
          <w:tcPr>
            <w:tcW w:type="dxa" w:w="1590"/>
          </w:tcPr>
          <w:p>
            <w:pPr>
              <w:spacing w:after="20" w:line="240" w:lineRule="auto"/>
            </w:pPr>
            <w:r>
              <w:rPr>
                <w:b/>
                <w:sz w:val="18"/>
              </w:rPr>
            </w:r>
            <w:r>
              <w:rPr>
                <w:b/>
                <w:sz w:val="18"/>
              </w:rPr>
              <w:t>Weaviate, Vespa</w:t>
            </w:r>
          </w:p>
        </w:tc>
        <w:tc>
          <w:tcPr>
            <w:tcW w:type="dxa" w:w="3180"/>
          </w:tcPr>
          <w:p>
            <w:pPr>
              <w:spacing w:after="20" w:line="240" w:lineRule="auto"/>
            </w:pPr>
            <w:r>
              <w:rPr>
                <w:sz w:val="18"/>
              </w:rPr>
            </w:r>
            <w:r>
              <w:rPr>
                <w:sz w:val="18"/>
              </w:rPr>
              <w:t>Hybrid search and rich ranking (Vespa especially).</w:t>
            </w:r>
          </w:p>
        </w:tc>
        <w:tc>
          <w:tcPr>
            <w:tcW w:type="dxa" w:w="2725"/>
          </w:tcPr>
          <w:p>
            <w:pPr>
              <w:spacing w:after="20" w:line="240" w:lineRule="auto"/>
            </w:pPr>
            <w:r>
              <w:rPr>
                <w:sz w:val="18"/>
              </w:rPr>
            </w:r>
            <w:r>
              <w:rPr>
                <w:sz w:val="18"/>
              </w:rPr>
              <w:t>Smaller in-house skill base in many companies.</w:t>
            </w:r>
          </w:p>
        </w:tc>
        <w:tc>
          <w:tcPr>
            <w:tcW w:type="dxa" w:w="1817"/>
          </w:tcPr>
          <w:p>
            <w:pPr>
              <w:spacing w:after="20" w:line="240" w:lineRule="auto"/>
            </w:pPr>
            <w:r>
              <w:rPr>
                <w:sz w:val="18"/>
              </w:rPr>
            </w:r>
            <w:r>
              <w:rPr>
                <w:sz w:val="18"/>
              </w:rPr>
              <w:t>Alternatives.</w:t>
            </w:r>
          </w:p>
        </w:tc>
      </w:tr>
    </w:tbl>
    <w:p>
      <w:pPr>
        <w:spacing w:after="80"/>
      </w:pPr>
    </w:p>
    <w:p>
      <w:pPr>
        <w:pStyle w:val="Heading3"/>
      </w:pPr>
      <w:r>
        <w:t>Retrieval pipeline</w:t>
      </w:r>
    </w:p>
    <w:p>
      <w:pPr>
        <w:pStyle w:val="ListBullet"/>
      </w:pPr>
      <w:r>
        <w:rPr>
          <w:b/>
        </w:rPr>
        <w:t>Query understanding</w:t>
      </w:r>
      <w:r>
        <w:t xml:space="preserve">: the agent issues explicit </w:t>
      </w:r>
      <w:r>
        <w:rPr>
          <w:rFonts w:ascii="Consolas" w:hAnsi="Consolas"/>
          <w:color w:val="8B1A1A"/>
        </w:rPr>
        <w:t>knowledge.search</w:t>
      </w:r>
      <w:r>
        <w:t xml:space="preserve"> calls (agentic RAG) and can reformulate, decompose or iterate; optional query expansion on the fast model.</w:t>
      </w:r>
    </w:p>
    <w:p>
      <w:pPr>
        <w:pStyle w:val="ListBullet"/>
      </w:pPr>
      <w:r>
        <w:rPr>
          <w:b/>
        </w:rPr>
        <w:t>Hybrid retrieval</w:t>
      </w:r>
      <w:r>
        <w:t>: dense vector plus BM25/sparse, fused with reciprocal rank fusion; top 30 to 100 candidates.</w:t>
      </w:r>
    </w:p>
    <w:p>
      <w:pPr>
        <w:pStyle w:val="ListBullet"/>
      </w:pPr>
      <w:r>
        <w:rPr>
          <w:b/>
        </w:rPr>
        <w:t>Reranking</w:t>
      </w:r>
      <w:r>
        <w:t xml:space="preserve"> with a cross-encoder to top 5 to 10; optional diversity (maximal marginal relevance) and recency boosts.</w:t>
      </w:r>
    </w:p>
    <w:p>
      <w:pPr>
        <w:pStyle w:val="ListBullet"/>
      </w:pPr>
      <w:r>
        <w:rPr>
          <w:b/>
        </w:rPr>
        <w:t>Citations</w:t>
      </w:r>
      <w:r>
        <w:t>: every chunk returns title, URL, version and modified date; the UI renders source links and the agent is instructed to cite.</w:t>
      </w:r>
    </w:p>
    <w:p>
      <w:pPr>
        <w:pStyle w:val="ListBullet"/>
      </w:pPr>
      <w:r>
        <w:rPr>
          <w:b/>
        </w:rPr>
        <w:t>Answerability</w:t>
      </w:r>
      <w:r>
        <w:t>: if top scores are below threshold the agent says it did not find an answer rather than guessing.</w:t>
      </w:r>
    </w:p>
    <w:p>
      <w:pPr>
        <w:pStyle w:val="Heading3"/>
      </w:pPr>
      <w:r>
        <w:t>Document-level ACL enforcement</w:t>
      </w:r>
    </w:p>
    <w:p>
      <w:r>
        <w:t xml:space="preserve">Permissions are the hardest part of enterprise RAG. The design uses </w:t>
      </w:r>
      <w:r>
        <w:rPr>
          <w:b/>
        </w:rPr>
        <w:t>early binding with late verification</w:t>
      </w:r>
      <w:r>
        <w:t>:</w:t>
      </w:r>
    </w:p>
    <w:p>
      <w:pPr>
        <w:pStyle w:val="ListBullet"/>
      </w:pPr>
      <w:r>
        <w:rPr>
          <w:b/>
        </w:rPr>
        <w:t>Early binding</w:t>
      </w:r>
      <w:r>
        <w:t xml:space="preserve">: each chunk stores the list of principals (user IDs and group IDs) allowed to read it, copied from the source at ingestion. At query time the knowledge service resolves the caller's principals (user plus transitive group memberships from the IdP/directory, cached briefly) and applies them as a </w:t>
      </w:r>
      <w:r>
        <w:rPr>
          <w:b/>
        </w:rPr>
        <w:t>mandatory filter inside the vector query</w:t>
      </w:r>
      <w:r>
        <w:t>, so unauthorised chunks are never retrieved, not merely hidden afterwards.</w:t>
      </w:r>
    </w:p>
    <w:p>
      <w:pPr>
        <w:pStyle w:val="ListBullet"/>
      </w:pPr>
      <w:r>
        <w:rPr>
          <w:b/>
        </w:rPr>
        <w:t>Late verification</w:t>
      </w:r>
      <w:r>
        <w:t xml:space="preserve"> for high-sensitivity collections: re-check permissions against the source system (e.g. Graph API) for the final handful of documents before returning them.</w:t>
      </w:r>
    </w:p>
    <w:p>
      <w:pPr>
        <w:pStyle w:val="ListBullet"/>
      </w:pPr>
      <w:r>
        <w:rPr>
          <w:b/>
        </w:rPr>
        <w:t>Permission freshness</w:t>
      </w:r>
      <w:r>
        <w:t>: subscribe to permission-change events or run frequent delta crawls of ACLs (more often than content), and propagate group-membership changes; target ACL staleness under 15 minutes for sensitive sources.</w:t>
      </w:r>
    </w:p>
    <w:p>
      <w:pPr>
        <w:pStyle w:val="ListBullet"/>
      </w:pPr>
      <w:r>
        <w:t xml:space="preserve">The filter is applied by the knowledge service using the identity from the </w:t>
      </w:r>
      <w:r>
        <w:rPr>
          <w:b/>
        </w:rPr>
        <w:t>verified token</w:t>
      </w:r>
      <w:r>
        <w:t>, never from model-supplied arguments, so prompt injection cannot widen access.</w:t>
      </w:r>
    </w:p>
    <w:p>
      <w:pPr>
        <w:pStyle w:val="ListBullet"/>
      </w:pPr>
      <w:r>
        <w:t>Uploaded files are scoped to the conversation or user unless explicitly shared.</w:t>
      </w:r>
    </w:p>
    <w:p>
      <w:pPr>
        <w:pStyle w:val="Heading3"/>
      </w:pPr>
      <w:r>
        <w:t>Freshness and re-indexing</w:t>
      </w:r>
    </w:p>
    <w:p>
      <w:pPr>
        <w:pStyle w:val="ListBullet"/>
      </w:pPr>
      <w:r>
        <w:t>Incremental sync via webhooks/delta APIs where available; scheduled crawls elsewhere (hourly for active sources, daily for archives).</w:t>
      </w:r>
    </w:p>
    <w:p>
      <w:pPr>
        <w:pStyle w:val="ListBullet"/>
      </w:pPr>
      <w:r>
        <w:t>Deletions propagate as tombstones within the same SLA as permission changes.</w:t>
      </w:r>
    </w:p>
    <w:p>
      <w:pPr>
        <w:pStyle w:val="ListBullet"/>
      </w:pPr>
      <w:r>
        <w:rPr>
          <w:b/>
        </w:rPr>
        <w:t>Re-embedding</w:t>
      </w:r>
      <w:r>
        <w:t xml:space="preserve"> when the embedding model changes: build a new index version in parallel (blue/green collection alias), backfill, evaluate retrieval quality, switch alias, then retire the old index.</w:t>
      </w:r>
    </w:p>
    <w:p>
      <w:pPr>
        <w:pStyle w:val="ListBullet"/>
      </w:pPr>
      <w:r>
        <w:t>Per-collection dashboards: document counts, lag, failures, last successful sync.</w:t>
      </w:r>
    </w:p>
    <w:p>
      <w:pPr>
        <w:pStyle w:val="Heading2"/>
      </w:pPr>
      <w:r>
        <w:t>4.5 Text-to-SQL and database access safety</w:t>
      </w:r>
    </w:p>
    <w:p>
      <w:r>
        <w:t>Database access is high value and high risk: a plausible but wrong query misleads decisions, and an unsafe query can leak or damage data. Layered controls apply, so that no single control (least of all the model's own judgement) is relied upon.</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1979"/>
        <w:gridCol w:w="7334"/>
      </w:tblGrid>
      <w:tr>
        <w:trPr>
          <w:tblHeader w:val="true"/>
        </w:trPr>
        <w:tc>
          <w:tcPr>
            <w:tcW w:type="dxa" w:w="1979"/>
            <w:shd w:val="clear" w:color="auto" w:fill="1F4E79"/>
          </w:tcPr>
          <w:p>
            <w:r/>
            <w:r>
              <w:rPr>
                <w:b/>
                <w:color w:val="FFFFFF"/>
                <w:sz w:val="18"/>
              </w:rPr>
              <w:t>Control</w:t>
            </w:r>
          </w:p>
        </w:tc>
        <w:tc>
          <w:tcPr>
            <w:tcW w:type="dxa" w:w="7334"/>
            <w:shd w:val="clear" w:color="auto" w:fill="1F4E79"/>
          </w:tcPr>
          <w:p>
            <w:r/>
            <w:r>
              <w:rPr>
                <w:b/>
                <w:color w:val="FFFFFF"/>
                <w:sz w:val="18"/>
              </w:rPr>
              <w:t>Implementation</w:t>
            </w:r>
          </w:p>
        </w:tc>
      </w:tr>
      <w:tr>
        <w:trPr>
          <w:cantSplit w:val="true"/>
        </w:trPr>
        <w:tc>
          <w:tcPr>
            <w:tcW w:type="dxa" w:w="1979"/>
          </w:tcPr>
          <w:p>
            <w:pPr>
              <w:spacing w:after="20" w:line="240" w:lineRule="auto"/>
            </w:pPr>
            <w:r>
              <w:rPr>
                <w:b/>
                <w:sz w:val="18"/>
              </w:rPr>
            </w:r>
            <w:r>
              <w:rPr>
                <w:b/>
                <w:sz w:val="18"/>
              </w:rPr>
              <w:t>Read-only by default</w:t>
            </w:r>
          </w:p>
        </w:tc>
        <w:tc>
          <w:tcPr>
            <w:tcW w:type="dxa" w:w="7334"/>
          </w:tcPr>
          <w:p>
            <w:pPr>
              <w:spacing w:after="20" w:line="240" w:lineRule="auto"/>
            </w:pPr>
            <w:r>
              <w:rPr>
                <w:sz w:val="18"/>
              </w:rPr>
            </w:r>
            <w:r>
              <w:rPr>
                <w:sz w:val="18"/>
              </w:rPr>
              <w:t xml:space="preserve">Connect to </w:t>
            </w:r>
            <w:r>
              <w:rPr>
                <w:b/>
                <w:sz w:val="18"/>
              </w:rPr>
              <w:t>read replicas</w:t>
            </w:r>
            <w:r>
              <w:rPr>
                <w:sz w:val="18"/>
              </w:rPr>
              <w:t xml:space="preserve">, reporting databases or warehouse shares, never primaries. Database roles have SELECT only on approved schemas; the connection is opened with a read-only transaction (e.g. </w:t>
            </w:r>
            <w:r>
              <w:rPr>
                <w:rFonts w:ascii="Consolas" w:hAnsi="Consolas"/>
                <w:color w:val="8B1A1A"/>
                <w:sz w:val="18"/>
              </w:rPr>
              <w:t>SET TRANSACTION READ ONLY</w:t>
            </w:r>
            <w:r>
              <w:rPr>
                <w:sz w:val="18"/>
              </w:rPr>
              <w:t xml:space="preserve"> / </w:t>
            </w:r>
            <w:r>
              <w:rPr>
                <w:rFonts w:ascii="Consolas" w:hAnsi="Consolas"/>
                <w:color w:val="8B1A1A"/>
                <w:sz w:val="18"/>
              </w:rPr>
              <w:t>default_transaction_read_only</w:t>
            </w:r>
            <w:r>
              <w:rPr>
                <w:sz w:val="18"/>
              </w:rPr>
              <w:t>).</w:t>
            </w:r>
          </w:p>
        </w:tc>
      </w:tr>
      <w:tr>
        <w:trPr>
          <w:cantSplit w:val="true"/>
        </w:trPr>
        <w:tc>
          <w:tcPr>
            <w:tcW w:type="dxa" w:w="1979"/>
            <w:shd w:val="clear" w:color="auto" w:fill="F2F6FA"/>
          </w:tcPr>
          <w:p>
            <w:pPr>
              <w:spacing w:after="20" w:line="240" w:lineRule="auto"/>
            </w:pPr>
            <w:r>
              <w:rPr>
                <w:b/>
                <w:sz w:val="18"/>
              </w:rPr>
            </w:r>
            <w:r>
              <w:rPr>
                <w:b/>
                <w:sz w:val="18"/>
              </w:rPr>
              <w:t>Delegated identity and RLS</w:t>
            </w:r>
          </w:p>
        </w:tc>
        <w:tc>
          <w:tcPr>
            <w:tcW w:type="dxa" w:w="7334"/>
            <w:shd w:val="clear" w:color="auto" w:fill="F2F6FA"/>
          </w:tcPr>
          <w:p>
            <w:pPr>
              <w:spacing w:after="20" w:line="240" w:lineRule="auto"/>
            </w:pPr>
            <w:r>
              <w:rPr>
                <w:sz w:val="18"/>
              </w:rPr>
            </w:r>
            <w:r>
              <w:rPr>
                <w:sz w:val="18"/>
              </w:rPr>
              <w:t xml:space="preserve">Queries run under the end user's identity (Kerberos/OIDC pass-through, or a per-user mapped role) so existing </w:t>
            </w:r>
            <w:r>
              <w:rPr>
                <w:b/>
                <w:sz w:val="18"/>
              </w:rPr>
              <w:t>row-level security</w:t>
            </w:r>
            <w:r>
              <w:rPr>
                <w:sz w:val="18"/>
              </w:rPr>
              <w:t xml:space="preserve"> and column masking apply (Postgres RLS, SQL Server RLS and dynamic data masking, Oracle VPD, Snowflake row access and masking policies).</w:t>
            </w:r>
          </w:p>
        </w:tc>
      </w:tr>
      <w:tr>
        <w:trPr>
          <w:cantSplit w:val="true"/>
        </w:trPr>
        <w:tc>
          <w:tcPr>
            <w:tcW w:type="dxa" w:w="1979"/>
          </w:tcPr>
          <w:p>
            <w:pPr>
              <w:spacing w:after="20" w:line="240" w:lineRule="auto"/>
            </w:pPr>
            <w:r>
              <w:rPr>
                <w:b/>
                <w:sz w:val="18"/>
              </w:rPr>
            </w:r>
            <w:r>
              <w:rPr>
                <w:b/>
                <w:sz w:val="18"/>
              </w:rPr>
              <w:t>Statement validation</w:t>
            </w:r>
          </w:p>
        </w:tc>
        <w:tc>
          <w:tcPr>
            <w:tcW w:type="dxa" w:w="7334"/>
          </w:tcPr>
          <w:p>
            <w:pPr>
              <w:spacing w:after="20" w:line="240" w:lineRule="auto"/>
            </w:pPr>
            <w:r>
              <w:rPr>
                <w:sz w:val="18"/>
              </w:rPr>
            </w:r>
            <w:r>
              <w:rPr>
                <w:sz w:val="18"/>
              </w:rPr>
              <w:t>Parse SQL with a real parser (e.g. sqlglot) before execution: allow only single SELECT/WITH statements; block DDL/DML, multiple statements, procedures with side effects, system catalogues outside allowlist, cross-database links and functions such as file or network access.</w:t>
            </w:r>
          </w:p>
        </w:tc>
      </w:tr>
      <w:tr>
        <w:trPr>
          <w:cantSplit w:val="true"/>
        </w:trPr>
        <w:tc>
          <w:tcPr>
            <w:tcW w:type="dxa" w:w="1979"/>
            <w:shd w:val="clear" w:color="auto" w:fill="F2F6FA"/>
          </w:tcPr>
          <w:p>
            <w:pPr>
              <w:spacing w:after="20" w:line="240" w:lineRule="auto"/>
            </w:pPr>
            <w:r>
              <w:rPr>
                <w:b/>
                <w:sz w:val="18"/>
              </w:rPr>
            </w:r>
            <w:r>
              <w:rPr>
                <w:b/>
                <w:sz w:val="18"/>
              </w:rPr>
              <w:t>Allowlists</w:t>
            </w:r>
          </w:p>
        </w:tc>
        <w:tc>
          <w:tcPr>
            <w:tcW w:type="dxa" w:w="7334"/>
            <w:shd w:val="clear" w:color="auto" w:fill="F2F6FA"/>
          </w:tcPr>
          <w:p>
            <w:pPr>
              <w:spacing w:after="20" w:line="240" w:lineRule="auto"/>
            </w:pPr>
            <w:r>
              <w:rPr>
                <w:sz w:val="18"/>
              </w:rPr>
            </w:r>
            <w:r>
              <w:rPr>
                <w:sz w:val="18"/>
              </w:rPr>
              <w:t xml:space="preserve">Schema/table/column allowlists per agent and data domain; optionally </w:t>
            </w:r>
            <w:r>
              <w:rPr>
                <w:b/>
                <w:sz w:val="18"/>
              </w:rPr>
              <w:t>parameterised query templates</w:t>
            </w:r>
            <w:r>
              <w:rPr>
                <w:sz w:val="18"/>
              </w:rPr>
              <w:t xml:space="preserve"> or a semantic layer (dbt metrics, Cube) for governed KPIs, with free-form SQL only for approved analysts.</w:t>
            </w:r>
          </w:p>
        </w:tc>
      </w:tr>
      <w:tr>
        <w:trPr>
          <w:cantSplit w:val="true"/>
        </w:trPr>
        <w:tc>
          <w:tcPr>
            <w:tcW w:type="dxa" w:w="1979"/>
          </w:tcPr>
          <w:p>
            <w:pPr>
              <w:spacing w:after="20" w:line="240" w:lineRule="auto"/>
            </w:pPr>
            <w:r>
              <w:rPr>
                <w:b/>
                <w:sz w:val="18"/>
              </w:rPr>
            </w:r>
            <w:r>
              <w:rPr>
                <w:b/>
                <w:sz w:val="18"/>
              </w:rPr>
              <w:t>Result limits</w:t>
            </w:r>
          </w:p>
        </w:tc>
        <w:tc>
          <w:tcPr>
            <w:tcW w:type="dxa" w:w="7334"/>
          </w:tcPr>
          <w:p>
            <w:pPr>
              <w:spacing w:after="20" w:line="240" w:lineRule="auto"/>
            </w:pPr>
            <w:r>
              <w:rPr>
                <w:sz w:val="18"/>
              </w:rPr>
            </w:r>
            <w:r>
              <w:rPr>
                <w:sz w:val="18"/>
              </w:rPr>
              <w:t xml:space="preserve">Enforce </w:t>
            </w:r>
            <w:r>
              <w:rPr>
                <w:rFonts w:ascii="Consolas" w:hAnsi="Consolas"/>
                <w:color w:val="8B1A1A"/>
                <w:sz w:val="18"/>
              </w:rPr>
              <w:t>LIMIT</w:t>
            </w:r>
            <w:r>
              <w:rPr>
                <w:sz w:val="18"/>
              </w:rPr>
              <w:t xml:space="preserve"> / </w:t>
            </w:r>
            <w:r>
              <w:rPr>
                <w:rFonts w:ascii="Consolas" w:hAnsi="Consolas"/>
                <w:color w:val="8B1A1A"/>
                <w:sz w:val="18"/>
              </w:rPr>
              <w:t>TOP</w:t>
            </w:r>
            <w:r>
              <w:rPr>
                <w:sz w:val="18"/>
              </w:rPr>
              <w:t xml:space="preserve"> injection, maximum rows (e.g. 1,000 to the model, larger exports to the sandbox as files), maximum bytes, statement timeouts (e.g. 30 s), and warehouse cost or credit guards.</w:t>
            </w:r>
          </w:p>
        </w:tc>
      </w:tr>
      <w:tr>
        <w:trPr>
          <w:cantSplit w:val="true"/>
        </w:trPr>
        <w:tc>
          <w:tcPr>
            <w:tcW w:type="dxa" w:w="1979"/>
            <w:shd w:val="clear" w:color="auto" w:fill="F2F6FA"/>
          </w:tcPr>
          <w:p>
            <w:pPr>
              <w:spacing w:after="20" w:line="240" w:lineRule="auto"/>
            </w:pPr>
            <w:r>
              <w:rPr>
                <w:b/>
                <w:sz w:val="18"/>
              </w:rPr>
            </w:r>
            <w:r>
              <w:rPr>
                <w:b/>
                <w:sz w:val="18"/>
              </w:rPr>
              <w:t>Workload protection</w:t>
            </w:r>
          </w:p>
        </w:tc>
        <w:tc>
          <w:tcPr>
            <w:tcW w:type="dxa" w:w="7334"/>
            <w:shd w:val="clear" w:color="auto" w:fill="F2F6FA"/>
          </w:tcPr>
          <w:p>
            <w:pPr>
              <w:spacing w:after="20" w:line="240" w:lineRule="auto"/>
            </w:pPr>
            <w:r>
              <w:rPr>
                <w:sz w:val="18"/>
              </w:rPr>
            </w:r>
            <w:r>
              <w:rPr>
                <w:sz w:val="18"/>
              </w:rPr>
              <w:t>Dedicated resource pools/warehouses for agent traffic; concurrency limits per user; EXPLAIN-based cost check before running expensive queries.</w:t>
            </w:r>
          </w:p>
        </w:tc>
      </w:tr>
      <w:tr>
        <w:trPr>
          <w:cantSplit w:val="true"/>
        </w:trPr>
        <w:tc>
          <w:tcPr>
            <w:tcW w:type="dxa" w:w="1979"/>
          </w:tcPr>
          <w:p>
            <w:pPr>
              <w:spacing w:after="20" w:line="240" w:lineRule="auto"/>
            </w:pPr>
            <w:r>
              <w:rPr>
                <w:b/>
                <w:sz w:val="18"/>
              </w:rPr>
            </w:r>
            <w:r>
              <w:rPr>
                <w:b/>
                <w:sz w:val="18"/>
              </w:rPr>
              <w:t>Accuracy aids</w:t>
            </w:r>
          </w:p>
        </w:tc>
        <w:tc>
          <w:tcPr>
            <w:tcW w:type="dxa" w:w="7334"/>
          </w:tcPr>
          <w:p>
            <w:pPr>
              <w:spacing w:after="20" w:line="240" w:lineRule="auto"/>
            </w:pPr>
            <w:r>
              <w:rPr>
                <w:sz w:val="18"/>
              </w:rPr>
            </w:r>
            <w:r>
              <w:rPr>
                <w:sz w:val="18"/>
              </w:rPr>
              <w:t>Curated schema descriptions, column glossary and sample queries in a retrieval index; schema-linking step; self-check by EXPLAIN and dry run; show SQL to the user with results; evaluation set of question/SQL pairs per domain; optional SQL-specialised LoRA.</w:t>
            </w:r>
          </w:p>
        </w:tc>
      </w:tr>
      <w:tr>
        <w:trPr>
          <w:cantSplit w:val="true"/>
        </w:trPr>
        <w:tc>
          <w:tcPr>
            <w:tcW w:type="dxa" w:w="1979"/>
            <w:shd w:val="clear" w:color="auto" w:fill="F2F6FA"/>
          </w:tcPr>
          <w:p>
            <w:pPr>
              <w:spacing w:after="20" w:line="240" w:lineRule="auto"/>
            </w:pPr>
            <w:r>
              <w:rPr>
                <w:b/>
                <w:sz w:val="18"/>
              </w:rPr>
            </w:r>
            <w:r>
              <w:rPr>
                <w:b/>
                <w:sz w:val="18"/>
              </w:rPr>
              <w:t>Writes</w:t>
            </w:r>
          </w:p>
        </w:tc>
        <w:tc>
          <w:tcPr>
            <w:tcW w:type="dxa" w:w="7334"/>
            <w:shd w:val="clear" w:color="auto" w:fill="F2F6FA"/>
          </w:tcPr>
          <w:p>
            <w:pPr>
              <w:spacing w:after="20" w:line="240" w:lineRule="auto"/>
            </w:pPr>
            <w:r>
              <w:rPr>
                <w:sz w:val="18"/>
              </w:rPr>
            </w:r>
            <w:r>
              <w:rPr>
                <w:sz w:val="18"/>
              </w:rPr>
              <w:t>Separate, narrow write tools (stored procedures or API calls) under W2/W3 approval rules; never a general 'execute SQL write' tool against production.</w:t>
            </w:r>
          </w:p>
        </w:tc>
      </w:tr>
      <w:tr>
        <w:trPr>
          <w:cantSplit w:val="true"/>
        </w:trPr>
        <w:tc>
          <w:tcPr>
            <w:tcW w:type="dxa" w:w="1979"/>
          </w:tcPr>
          <w:p>
            <w:pPr>
              <w:spacing w:after="20" w:line="240" w:lineRule="auto"/>
            </w:pPr>
            <w:r>
              <w:rPr>
                <w:b/>
                <w:sz w:val="18"/>
              </w:rPr>
            </w:r>
            <w:r>
              <w:rPr>
                <w:b/>
                <w:sz w:val="18"/>
              </w:rPr>
              <w:t>Audit</w:t>
            </w:r>
          </w:p>
        </w:tc>
        <w:tc>
          <w:tcPr>
            <w:tcW w:type="dxa" w:w="7334"/>
          </w:tcPr>
          <w:p>
            <w:pPr>
              <w:spacing w:after="20" w:line="240" w:lineRule="auto"/>
            </w:pPr>
            <w:r>
              <w:rPr>
                <w:sz w:val="18"/>
              </w:rPr>
            </w:r>
            <w:r>
              <w:rPr>
                <w:sz w:val="18"/>
              </w:rPr>
              <w:t>Log SQL text, parameters, row counts, user, agent and conversation; feed to database activity monitoring.</w:t>
            </w:r>
          </w:p>
        </w:tc>
      </w:tr>
    </w:tbl>
    <w:p>
      <w:pPr>
        <w:spacing w:after="80"/>
      </w:pPr>
    </w:p>
    <w:p>
      <w:pPr>
        <w:pStyle w:val="Heading2"/>
      </w:pPr>
      <w:r>
        <w:t>4.6 Sandboxed execution environments</w:t>
      </w:r>
    </w:p>
    <w:p>
      <w:r>
        <w:t>Agents execute model-written code and drive browsers; both must be assumed hostile. Sandboxes provide a disposable but optionally persistent computer per session or per agent.</w:t>
      </w:r>
    </w:p>
    <w:p>
      <w:pPr>
        <w:pStyle w:val="Heading3"/>
      </w:pPr>
      <w:r>
        <w:t>Isolation options</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2095"/>
        <w:gridCol w:w="2677"/>
        <w:gridCol w:w="1513"/>
        <w:gridCol w:w="3026"/>
      </w:tblGrid>
      <w:tr>
        <w:trPr>
          <w:tblHeader w:val="true"/>
        </w:trPr>
        <w:tc>
          <w:tcPr>
            <w:tcW w:type="dxa" w:w="2095"/>
            <w:shd w:val="clear" w:color="auto" w:fill="1F4E79"/>
          </w:tcPr>
          <w:p>
            <w:r/>
            <w:r>
              <w:rPr>
                <w:b/>
                <w:color w:val="FFFFFF"/>
                <w:sz w:val="18"/>
              </w:rPr>
              <w:t>Option</w:t>
            </w:r>
          </w:p>
        </w:tc>
        <w:tc>
          <w:tcPr>
            <w:tcW w:type="dxa" w:w="2677"/>
            <w:shd w:val="clear" w:color="auto" w:fill="1F4E79"/>
          </w:tcPr>
          <w:p>
            <w:r/>
            <w:r>
              <w:rPr>
                <w:b/>
                <w:color w:val="FFFFFF"/>
                <w:sz w:val="18"/>
              </w:rPr>
              <w:t>Isolation</w:t>
            </w:r>
          </w:p>
        </w:tc>
        <w:tc>
          <w:tcPr>
            <w:tcW w:type="dxa" w:w="1513"/>
            <w:shd w:val="clear" w:color="auto" w:fill="1F4E79"/>
          </w:tcPr>
          <w:p>
            <w:r/>
            <w:r>
              <w:rPr>
                <w:b/>
                <w:color w:val="FFFFFF"/>
                <w:sz w:val="18"/>
              </w:rPr>
              <w:t>Start-up</w:t>
            </w:r>
          </w:p>
        </w:tc>
        <w:tc>
          <w:tcPr>
            <w:tcW w:type="dxa" w:w="3026"/>
            <w:shd w:val="clear" w:color="auto" w:fill="1F4E79"/>
          </w:tcPr>
          <w:p>
            <w:r/>
            <w:r>
              <w:rPr>
                <w:b/>
                <w:color w:val="FFFFFF"/>
                <w:sz w:val="18"/>
              </w:rPr>
              <w:t>Notes</w:t>
            </w:r>
          </w:p>
        </w:tc>
      </w:tr>
      <w:tr>
        <w:trPr>
          <w:cantSplit w:val="true"/>
        </w:trPr>
        <w:tc>
          <w:tcPr>
            <w:tcW w:type="dxa" w:w="2095"/>
          </w:tcPr>
          <w:p>
            <w:pPr>
              <w:spacing w:after="20" w:line="240" w:lineRule="auto"/>
            </w:pPr>
            <w:r>
              <w:rPr>
                <w:b/>
                <w:sz w:val="18"/>
              </w:rPr>
            </w:r>
            <w:r>
              <w:rPr>
                <w:b/>
                <w:sz w:val="18"/>
              </w:rPr>
              <w:t>Standard containers (runc)</w:t>
            </w:r>
          </w:p>
        </w:tc>
        <w:tc>
          <w:tcPr>
            <w:tcW w:type="dxa" w:w="2677"/>
          </w:tcPr>
          <w:p>
            <w:pPr>
              <w:spacing w:after="20" w:line="240" w:lineRule="auto"/>
            </w:pPr>
            <w:r>
              <w:rPr>
                <w:sz w:val="18"/>
              </w:rPr>
            </w:r>
            <w:r>
              <w:rPr>
                <w:sz w:val="18"/>
              </w:rPr>
              <w:t>Shared kernel; namespaces and cgroups</w:t>
            </w:r>
          </w:p>
        </w:tc>
        <w:tc>
          <w:tcPr>
            <w:tcW w:type="dxa" w:w="1513"/>
          </w:tcPr>
          <w:p>
            <w:pPr>
              <w:spacing w:after="20" w:line="240" w:lineRule="auto"/>
            </w:pPr>
            <w:r>
              <w:rPr>
                <w:sz w:val="18"/>
              </w:rPr>
            </w:r>
            <w:r>
              <w:rPr>
                <w:sz w:val="18"/>
              </w:rPr>
              <w:t>Fast</w:t>
            </w:r>
          </w:p>
        </w:tc>
        <w:tc>
          <w:tcPr>
            <w:tcW w:type="dxa" w:w="3026"/>
          </w:tcPr>
          <w:p>
            <w:pPr>
              <w:spacing w:after="20" w:line="240" w:lineRule="auto"/>
            </w:pPr>
            <w:r>
              <w:rPr>
                <w:sz w:val="18"/>
              </w:rPr>
            </w:r>
            <w:r>
              <w:rPr>
                <w:b/>
                <w:sz w:val="18"/>
              </w:rPr>
              <w:t>Not sufficient</w:t>
            </w:r>
            <w:r>
              <w:rPr>
                <w:sz w:val="18"/>
              </w:rPr>
              <w:t xml:space="preserve"> on its own for untrusted code.</w:t>
            </w:r>
          </w:p>
        </w:tc>
      </w:tr>
      <w:tr>
        <w:trPr>
          <w:cantSplit w:val="true"/>
        </w:trPr>
        <w:tc>
          <w:tcPr>
            <w:tcW w:type="dxa" w:w="2095"/>
            <w:shd w:val="clear" w:color="auto" w:fill="F2F6FA"/>
          </w:tcPr>
          <w:p>
            <w:pPr>
              <w:spacing w:after="20" w:line="240" w:lineRule="auto"/>
            </w:pPr>
            <w:r>
              <w:rPr>
                <w:b/>
                <w:sz w:val="18"/>
              </w:rPr>
            </w:r>
            <w:r>
              <w:rPr>
                <w:b/>
                <w:sz w:val="18"/>
              </w:rPr>
              <w:t>gVisor (runsc)</w:t>
            </w:r>
          </w:p>
        </w:tc>
        <w:tc>
          <w:tcPr>
            <w:tcW w:type="dxa" w:w="2677"/>
            <w:shd w:val="clear" w:color="auto" w:fill="F2F6FA"/>
          </w:tcPr>
          <w:p>
            <w:pPr>
              <w:spacing w:after="20" w:line="240" w:lineRule="auto"/>
            </w:pPr>
            <w:r>
              <w:rPr>
                <w:sz w:val="18"/>
              </w:rPr>
            </w:r>
            <w:r>
              <w:rPr>
                <w:sz w:val="18"/>
              </w:rPr>
              <w:t>User-space kernel intercepts syscalls</w:t>
            </w:r>
          </w:p>
        </w:tc>
        <w:tc>
          <w:tcPr>
            <w:tcW w:type="dxa" w:w="1513"/>
            <w:shd w:val="clear" w:color="auto" w:fill="F2F6FA"/>
          </w:tcPr>
          <w:p>
            <w:pPr>
              <w:spacing w:after="20" w:line="240" w:lineRule="auto"/>
            </w:pPr>
            <w:r>
              <w:rPr>
                <w:sz w:val="18"/>
              </w:rPr>
            </w:r>
            <w:r>
              <w:rPr>
                <w:sz w:val="18"/>
              </w:rPr>
              <w:t>Fast (sub-second)</w:t>
            </w:r>
          </w:p>
        </w:tc>
        <w:tc>
          <w:tcPr>
            <w:tcW w:type="dxa" w:w="3026"/>
            <w:shd w:val="clear" w:color="auto" w:fill="F2F6FA"/>
          </w:tcPr>
          <w:p>
            <w:pPr>
              <w:spacing w:after="20" w:line="240" w:lineRule="auto"/>
            </w:pPr>
            <w:r>
              <w:rPr>
                <w:sz w:val="18"/>
              </w:rPr>
            </w:r>
            <w:r>
              <w:rPr>
                <w:sz w:val="18"/>
              </w:rPr>
              <w:t>Good default on Kubernetes via RuntimeClass; some syscall/performance overhead; limited GPU support.</w:t>
            </w:r>
          </w:p>
        </w:tc>
      </w:tr>
      <w:tr>
        <w:trPr>
          <w:cantSplit w:val="true"/>
        </w:trPr>
        <w:tc>
          <w:tcPr>
            <w:tcW w:type="dxa" w:w="2095"/>
          </w:tcPr>
          <w:p>
            <w:pPr>
              <w:spacing w:after="20" w:line="240" w:lineRule="auto"/>
            </w:pPr>
            <w:r>
              <w:rPr>
                <w:b/>
                <w:sz w:val="18"/>
              </w:rPr>
            </w:r>
            <w:r>
              <w:rPr>
                <w:b/>
                <w:sz w:val="18"/>
              </w:rPr>
              <w:t>Kata Containers</w:t>
            </w:r>
          </w:p>
        </w:tc>
        <w:tc>
          <w:tcPr>
            <w:tcW w:type="dxa" w:w="2677"/>
          </w:tcPr>
          <w:p>
            <w:pPr>
              <w:spacing w:after="20" w:line="240" w:lineRule="auto"/>
            </w:pPr>
            <w:r>
              <w:rPr>
                <w:sz w:val="18"/>
              </w:rPr>
            </w:r>
            <w:r>
              <w:rPr>
                <w:sz w:val="18"/>
              </w:rPr>
              <w:t>Lightweight VM per pod (QEMU, Cloud Hypervisor or Firecracker)</w:t>
            </w:r>
          </w:p>
        </w:tc>
        <w:tc>
          <w:tcPr>
            <w:tcW w:type="dxa" w:w="1513"/>
          </w:tcPr>
          <w:p>
            <w:pPr>
              <w:spacing w:after="20" w:line="240" w:lineRule="auto"/>
            </w:pPr>
            <w:r>
              <w:rPr>
                <w:sz w:val="18"/>
              </w:rPr>
            </w:r>
            <w:r>
              <w:rPr>
                <w:sz w:val="18"/>
              </w:rPr>
              <w:t>~1 s</w:t>
            </w:r>
          </w:p>
        </w:tc>
        <w:tc>
          <w:tcPr>
            <w:tcW w:type="dxa" w:w="3026"/>
          </w:tcPr>
          <w:p>
            <w:pPr>
              <w:spacing w:after="20" w:line="240" w:lineRule="auto"/>
            </w:pPr>
            <w:r>
              <w:rPr>
                <w:sz w:val="18"/>
              </w:rPr>
            </w:r>
            <w:r>
              <w:rPr>
                <w:b/>
                <w:sz w:val="18"/>
              </w:rPr>
              <w:t>Recommended</w:t>
            </w:r>
            <w:r>
              <w:rPr>
                <w:sz w:val="18"/>
              </w:rPr>
              <w:t xml:space="preserve"> for VM-grade isolation with Kubernetes ergonomics; needs nested virtualisation or bare metal.</w:t>
            </w:r>
          </w:p>
        </w:tc>
      </w:tr>
      <w:tr>
        <w:trPr>
          <w:cantSplit w:val="true"/>
        </w:trPr>
        <w:tc>
          <w:tcPr>
            <w:tcW w:type="dxa" w:w="2095"/>
            <w:shd w:val="clear" w:color="auto" w:fill="F2F6FA"/>
          </w:tcPr>
          <w:p>
            <w:pPr>
              <w:spacing w:after="20" w:line="240" w:lineRule="auto"/>
            </w:pPr>
            <w:r>
              <w:rPr>
                <w:b/>
                <w:sz w:val="18"/>
              </w:rPr>
            </w:r>
            <w:r>
              <w:rPr>
                <w:b/>
                <w:sz w:val="18"/>
              </w:rPr>
              <w:t>Firecracker microVMs (direct)</w:t>
            </w:r>
          </w:p>
        </w:tc>
        <w:tc>
          <w:tcPr>
            <w:tcW w:type="dxa" w:w="2677"/>
            <w:shd w:val="clear" w:color="auto" w:fill="F2F6FA"/>
          </w:tcPr>
          <w:p>
            <w:pPr>
              <w:spacing w:after="20" w:line="240" w:lineRule="auto"/>
            </w:pPr>
            <w:r>
              <w:rPr>
                <w:sz w:val="18"/>
              </w:rPr>
            </w:r>
            <w:r>
              <w:rPr>
                <w:sz w:val="18"/>
              </w:rPr>
              <w:t>Minimal VMM, strong isolation, snapshot/restore</w:t>
            </w:r>
          </w:p>
        </w:tc>
        <w:tc>
          <w:tcPr>
            <w:tcW w:type="dxa" w:w="1513"/>
            <w:shd w:val="clear" w:color="auto" w:fill="F2F6FA"/>
          </w:tcPr>
          <w:p>
            <w:pPr>
              <w:spacing w:after="20" w:line="240" w:lineRule="auto"/>
            </w:pPr>
            <w:r>
              <w:rPr>
                <w:sz w:val="18"/>
              </w:rPr>
            </w:r>
            <w:r>
              <w:rPr>
                <w:sz w:val="18"/>
              </w:rPr>
              <w:t>~100 to 300 ms with snapshots</w:t>
            </w:r>
          </w:p>
        </w:tc>
        <w:tc>
          <w:tcPr>
            <w:tcW w:type="dxa" w:w="3026"/>
            <w:shd w:val="clear" w:color="auto" w:fill="F2F6FA"/>
          </w:tcPr>
          <w:p>
            <w:pPr>
              <w:spacing w:after="20" w:line="240" w:lineRule="auto"/>
            </w:pPr>
            <w:r>
              <w:rPr>
                <w:sz w:val="18"/>
              </w:rPr>
            </w:r>
            <w:r>
              <w:rPr>
                <w:sz w:val="18"/>
              </w:rPr>
              <w:t>Highest density and fastest warm starts; requires building your own orchestration (or use an open-source sandbox platform built on it).</w:t>
            </w:r>
          </w:p>
        </w:tc>
      </w:tr>
    </w:tbl>
    <w:p>
      <w:pPr>
        <w:spacing w:after="80"/>
      </w:pPr>
    </w:p>
    <w:p>
      <w:pPr>
        <w:pStyle w:val="Heading3"/>
      </w:pPr>
      <w:r>
        <w:t>Sandbox design</w:t>
      </w:r>
    </w:p>
    <w:p>
      <w:pPr>
        <w:pStyle w:val="ListBullet"/>
      </w:pPr>
      <w:r>
        <w:rPr>
          <w:b/>
        </w:rPr>
        <w:t>Sandbox manager</w:t>
      </w:r>
      <w:r>
        <w:t xml:space="preserve"> service allocates sandboxes from a </w:t>
      </w:r>
      <w:r>
        <w:rPr>
          <w:b/>
        </w:rPr>
        <w:t>warm pool</w:t>
      </w:r>
      <w:r>
        <w:t>, binds them to a session, enforces quotas and reaps idle ones (e.g. suspend after 15 minutes idle, delete after a retention period).</w:t>
      </w:r>
    </w:p>
    <w:p>
      <w:pPr>
        <w:pStyle w:val="ListBullet"/>
      </w:pPr>
      <w:r>
        <w:rPr>
          <w:b/>
        </w:rPr>
        <w:t>Image</w:t>
      </w:r>
      <w:r>
        <w:t>: minimal OS, Python with data libraries (pandas, numpy, matplotlib, openpyxl, python-docx, python-pptx, reportlab), Node, LibreOffice for document conversion, Playwright with headless Chromium, common CLI tools; built and signed in CI, scanned for CVEs; internal package mirrors (PyPI/npm via Nexus or Artifactory) instead of internet.</w:t>
      </w:r>
    </w:p>
    <w:p>
      <w:pPr>
        <w:pStyle w:val="ListBullet"/>
      </w:pPr>
      <w:r>
        <w:rPr>
          <w:b/>
        </w:rPr>
        <w:t>Persistent workspace</w:t>
      </w:r>
      <w:r>
        <w:t>: a per-session or per-agent volume (PVC or object-store-backed filesystem) mounted at a fixed path; artefacts copied to the object store with signed download URLs; snapshot on suspend so sessions can resume.</w:t>
      </w:r>
    </w:p>
    <w:p>
      <w:pPr>
        <w:pStyle w:val="ListBullet"/>
      </w:pPr>
      <w:r>
        <w:rPr>
          <w:b/>
        </w:rPr>
        <w:t>Headless browser</w:t>
      </w:r>
      <w:r>
        <w:t>: Playwright/Chromium inside the sandbox, controlled by browser tools (navigate, click, type, read DOM/accessibility tree, screenshot). Screenshots can feed a vision model. Submitting forms or logging into systems is a write action subject to approval.</w:t>
      </w:r>
    </w:p>
    <w:p>
      <w:pPr>
        <w:pStyle w:val="ListBullet"/>
      </w:pPr>
      <w:r>
        <w:rPr>
          <w:b/>
        </w:rPr>
        <w:t>Interface</w:t>
      </w:r>
      <w:r>
        <w:t>: an in-sandbox agent daemon exposes run_code, file operations and browser control over an authenticated channel (gRPC or MCP); no SSH.</w:t>
      </w:r>
    </w:p>
    <w:p>
      <w:pPr>
        <w:pStyle w:val="Heading3"/>
      </w:pPr>
      <w:r>
        <w:t>Controls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862"/>
        <w:gridCol w:w="7450"/>
      </w:tblGrid>
      <w:tr>
        <w:trPr>
          <w:tblHeader w:val="true"/>
        </w:trPr>
        <w:tc>
          <w:tcPr>
            <w:tcW w:type="dxa" w:w="1862"/>
            <w:shd w:val="clear" w:color="auto" w:fill="1F4E79"/>
          </w:tcPr>
          <w:p>
            <w:r/>
            <w:r>
              <w:rPr>
                <w:b/>
                <w:color w:val="FFFFFF"/>
                <w:sz w:val="18"/>
              </w:rPr>
              <w:t>Control</w:t>
            </w:r>
          </w:p>
        </w:tc>
        <w:tc>
          <w:tcPr>
            <w:tcW w:type="dxa" w:w="7450"/>
            <w:shd w:val="clear" w:color="auto" w:fill="1F4E79"/>
          </w:tcPr>
          <w:p>
            <w:r/>
            <w:r>
              <w:rPr>
                <w:b/>
                <w:color w:val="FFFFFF"/>
                <w:sz w:val="18"/>
              </w:rPr>
              <w:t>Setting (initial)</w:t>
            </w:r>
          </w:p>
        </w:tc>
      </w:tr>
      <w:tr>
        <w:trPr>
          <w:cantSplit w:val="true"/>
        </w:trPr>
        <w:tc>
          <w:tcPr>
            <w:tcW w:type="dxa" w:w="1862"/>
          </w:tcPr>
          <w:p>
            <w:pPr>
              <w:spacing w:after="20" w:line="240" w:lineRule="auto"/>
            </w:pPr>
            <w:r>
              <w:rPr>
                <w:b/>
                <w:sz w:val="18"/>
              </w:rPr>
            </w:r>
            <w:r>
              <w:rPr>
                <w:b/>
                <w:sz w:val="18"/>
              </w:rPr>
              <w:t>Network egress</w:t>
            </w:r>
          </w:p>
        </w:tc>
        <w:tc>
          <w:tcPr>
            <w:tcW w:type="dxa" w:w="7450"/>
          </w:tcPr>
          <w:p>
            <w:pPr>
              <w:spacing w:after="20" w:line="240" w:lineRule="auto"/>
            </w:pPr>
            <w:r>
              <w:rPr>
                <w:sz w:val="18"/>
              </w:rPr>
            </w:r>
            <w:r>
              <w:rPr>
                <w:sz w:val="18"/>
              </w:rPr>
              <w:t>Default-deny NetworkPolicy; all HTTP(S) via an egress proxy with domain allowlists per agent/tenant (internal package mirror, approved intranet and internet sites); no access to cluster, metadata or control-plane addresses; DNS restricted.</w:t>
            </w:r>
          </w:p>
        </w:tc>
      </w:tr>
      <w:tr>
        <w:trPr>
          <w:cantSplit w:val="true"/>
        </w:trPr>
        <w:tc>
          <w:tcPr>
            <w:tcW w:type="dxa" w:w="1862"/>
            <w:shd w:val="clear" w:color="auto" w:fill="F2F6FA"/>
          </w:tcPr>
          <w:p>
            <w:pPr>
              <w:spacing w:after="20" w:line="240" w:lineRule="auto"/>
            </w:pPr>
            <w:r>
              <w:rPr>
                <w:b/>
                <w:sz w:val="18"/>
              </w:rPr>
            </w:r>
            <w:r>
              <w:rPr>
                <w:b/>
                <w:sz w:val="18"/>
              </w:rPr>
              <w:t>Credentials</w:t>
            </w:r>
          </w:p>
        </w:tc>
        <w:tc>
          <w:tcPr>
            <w:tcW w:type="dxa" w:w="7450"/>
            <w:shd w:val="clear" w:color="auto" w:fill="F2F6FA"/>
          </w:tcPr>
          <w:p>
            <w:pPr>
              <w:spacing w:after="20" w:line="240" w:lineRule="auto"/>
            </w:pPr>
            <w:r>
              <w:rPr>
                <w:sz w:val="18"/>
              </w:rPr>
            </w:r>
            <w:r>
              <w:rPr>
                <w:sz w:val="18"/>
              </w:rPr>
              <w:t>No long-lived secrets inside sandboxes. When code must call an internal API, use short-lived scoped tokens injected per call or a credential-injecting proxy, never visible to the model.</w:t>
            </w:r>
          </w:p>
        </w:tc>
      </w:tr>
      <w:tr>
        <w:trPr>
          <w:cantSplit w:val="true"/>
        </w:trPr>
        <w:tc>
          <w:tcPr>
            <w:tcW w:type="dxa" w:w="1862"/>
          </w:tcPr>
          <w:p>
            <w:pPr>
              <w:spacing w:after="20" w:line="240" w:lineRule="auto"/>
            </w:pPr>
            <w:r>
              <w:rPr>
                <w:b/>
                <w:sz w:val="18"/>
              </w:rPr>
            </w:r>
            <w:r>
              <w:rPr>
                <w:b/>
                <w:sz w:val="18"/>
              </w:rPr>
              <w:t>Resource limits</w:t>
            </w:r>
          </w:p>
        </w:tc>
        <w:tc>
          <w:tcPr>
            <w:tcW w:type="dxa" w:w="7450"/>
          </w:tcPr>
          <w:p>
            <w:pPr>
              <w:spacing w:after="20" w:line="240" w:lineRule="auto"/>
            </w:pPr>
            <w:r>
              <w:rPr>
                <w:sz w:val="18"/>
              </w:rPr>
            </w:r>
            <w:r>
              <w:rPr>
                <w:sz w:val="18"/>
              </w:rPr>
              <w:t>e.g. 2 vCPU / 4 GB default, 8 vCPU / 32 GB on request; disk quota 10 to 20 GB; process and file-descriptor limits; execution timeout per call (e.g. 120 s) and per session.</w:t>
            </w:r>
          </w:p>
        </w:tc>
      </w:tr>
      <w:tr>
        <w:trPr>
          <w:cantSplit w:val="true"/>
        </w:trPr>
        <w:tc>
          <w:tcPr>
            <w:tcW w:type="dxa" w:w="1862"/>
            <w:shd w:val="clear" w:color="auto" w:fill="F2F6FA"/>
          </w:tcPr>
          <w:p>
            <w:pPr>
              <w:spacing w:after="20" w:line="240" w:lineRule="auto"/>
            </w:pPr>
            <w:r>
              <w:rPr>
                <w:b/>
                <w:sz w:val="18"/>
              </w:rPr>
            </w:r>
            <w:r>
              <w:rPr>
                <w:b/>
                <w:sz w:val="18"/>
              </w:rPr>
              <w:t>Kernel hardening</w:t>
            </w:r>
          </w:p>
        </w:tc>
        <w:tc>
          <w:tcPr>
            <w:tcW w:type="dxa" w:w="7450"/>
            <w:shd w:val="clear" w:color="auto" w:fill="F2F6FA"/>
          </w:tcPr>
          <w:p>
            <w:pPr>
              <w:spacing w:after="20" w:line="240" w:lineRule="auto"/>
            </w:pPr>
            <w:r>
              <w:rPr>
                <w:sz w:val="18"/>
              </w:rPr>
            </w:r>
            <w:r>
              <w:rPr>
                <w:sz w:val="18"/>
              </w:rPr>
              <w:t>Seccomp and AppArmor/SELinux profiles, non-root user, read-only root filesystem except workspace, no privileged mode, no host mounts.</w:t>
            </w:r>
          </w:p>
        </w:tc>
      </w:tr>
      <w:tr>
        <w:trPr>
          <w:cantSplit w:val="true"/>
        </w:trPr>
        <w:tc>
          <w:tcPr>
            <w:tcW w:type="dxa" w:w="1862"/>
          </w:tcPr>
          <w:p>
            <w:pPr>
              <w:spacing w:after="20" w:line="240" w:lineRule="auto"/>
            </w:pPr>
            <w:r>
              <w:rPr>
                <w:b/>
                <w:sz w:val="18"/>
              </w:rPr>
            </w:r>
            <w:r>
              <w:rPr>
                <w:b/>
                <w:sz w:val="18"/>
              </w:rPr>
              <w:t>Node isolation</w:t>
            </w:r>
          </w:p>
        </w:tc>
        <w:tc>
          <w:tcPr>
            <w:tcW w:type="dxa" w:w="7450"/>
          </w:tcPr>
          <w:p>
            <w:pPr>
              <w:spacing w:after="20" w:line="240" w:lineRule="auto"/>
            </w:pPr>
            <w:r>
              <w:rPr>
                <w:sz w:val="18"/>
              </w:rPr>
            </w:r>
            <w:r>
              <w:rPr>
                <w:sz w:val="18"/>
              </w:rPr>
              <w:t>Dedicated tainted node pool for sandboxes; no co-location with control-plane or data services.</w:t>
            </w:r>
          </w:p>
        </w:tc>
      </w:tr>
      <w:tr>
        <w:trPr>
          <w:cantSplit w:val="true"/>
        </w:trPr>
        <w:tc>
          <w:tcPr>
            <w:tcW w:type="dxa" w:w="1862"/>
            <w:shd w:val="clear" w:color="auto" w:fill="F2F6FA"/>
          </w:tcPr>
          <w:p>
            <w:pPr>
              <w:spacing w:after="20" w:line="240" w:lineRule="auto"/>
            </w:pPr>
            <w:r>
              <w:rPr>
                <w:b/>
                <w:sz w:val="18"/>
              </w:rPr>
            </w:r>
            <w:r>
              <w:rPr>
                <w:b/>
                <w:sz w:val="18"/>
              </w:rPr>
              <w:t>Data handling</w:t>
            </w:r>
          </w:p>
        </w:tc>
        <w:tc>
          <w:tcPr>
            <w:tcW w:type="dxa" w:w="7450"/>
            <w:shd w:val="clear" w:color="auto" w:fill="F2F6FA"/>
          </w:tcPr>
          <w:p>
            <w:pPr>
              <w:spacing w:after="20" w:line="240" w:lineRule="auto"/>
            </w:pPr>
            <w:r>
              <w:rPr>
                <w:sz w:val="18"/>
              </w:rPr>
            </w:r>
            <w:r>
              <w:rPr>
                <w:sz w:val="18"/>
              </w:rPr>
              <w:t>Classification-aware: sandboxes processing restricted data get no internet egress at all; workspaces encrypted; retention and wiping per policy.</w:t>
            </w:r>
          </w:p>
        </w:tc>
      </w:tr>
      <w:tr>
        <w:trPr>
          <w:cantSplit w:val="true"/>
        </w:trPr>
        <w:tc>
          <w:tcPr>
            <w:tcW w:type="dxa" w:w="1862"/>
          </w:tcPr>
          <w:p>
            <w:pPr>
              <w:spacing w:after="20" w:line="240" w:lineRule="auto"/>
            </w:pPr>
            <w:r>
              <w:rPr>
                <w:b/>
                <w:sz w:val="18"/>
              </w:rPr>
            </w:r>
            <w:r>
              <w:rPr>
                <w:b/>
                <w:sz w:val="18"/>
              </w:rPr>
              <w:t>Monitoring</w:t>
            </w:r>
          </w:p>
        </w:tc>
        <w:tc>
          <w:tcPr>
            <w:tcW w:type="dxa" w:w="7450"/>
          </w:tcPr>
          <w:p>
            <w:pPr>
              <w:spacing w:after="20" w:line="240" w:lineRule="auto"/>
            </w:pPr>
            <w:r>
              <w:rPr>
                <w:sz w:val="18"/>
              </w:rPr>
            </w:r>
            <w:r>
              <w:rPr>
                <w:sz w:val="18"/>
              </w:rPr>
              <w:t>Falco/Tetragon runtime detection, egress logs, resource anomaly alerts, crypto-mining detection.</w:t>
            </w:r>
          </w:p>
        </w:tc>
      </w:tr>
    </w:tbl>
    <w:p>
      <w:pPr>
        <w:spacing w:after="80"/>
      </w:pPr>
    </w:p>
    <w:p>
      <w:pPr>
        <w:pStyle w:val="Heading2"/>
      </w:pPr>
      <w:r>
        <w:t>4.7 Memory</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862"/>
        <w:gridCol w:w="3026"/>
        <w:gridCol w:w="2561"/>
        <w:gridCol w:w="1862"/>
      </w:tblGrid>
      <w:tr>
        <w:trPr>
          <w:tblHeader w:val="true"/>
        </w:trPr>
        <w:tc>
          <w:tcPr>
            <w:tcW w:type="dxa" w:w="1862"/>
            <w:shd w:val="clear" w:color="auto" w:fill="1F4E79"/>
          </w:tcPr>
          <w:p>
            <w:r/>
            <w:r>
              <w:rPr>
                <w:b/>
                <w:color w:val="FFFFFF"/>
                <w:sz w:val="18"/>
              </w:rPr>
              <w:t>Memory type</w:t>
            </w:r>
          </w:p>
        </w:tc>
        <w:tc>
          <w:tcPr>
            <w:tcW w:type="dxa" w:w="3026"/>
            <w:shd w:val="clear" w:color="auto" w:fill="1F4E79"/>
          </w:tcPr>
          <w:p>
            <w:r/>
            <w:r>
              <w:rPr>
                <w:b/>
                <w:color w:val="FFFFFF"/>
                <w:sz w:val="18"/>
              </w:rPr>
              <w:t>Scope and content</w:t>
            </w:r>
          </w:p>
        </w:tc>
        <w:tc>
          <w:tcPr>
            <w:tcW w:type="dxa" w:w="2561"/>
            <w:shd w:val="clear" w:color="auto" w:fill="1F4E79"/>
          </w:tcPr>
          <w:p>
            <w:r/>
            <w:r>
              <w:rPr>
                <w:b/>
                <w:color w:val="FFFFFF"/>
                <w:sz w:val="18"/>
              </w:rPr>
              <w:t>Storage</w:t>
            </w:r>
          </w:p>
        </w:tc>
        <w:tc>
          <w:tcPr>
            <w:tcW w:type="dxa" w:w="1862"/>
            <w:shd w:val="clear" w:color="auto" w:fill="1F4E79"/>
          </w:tcPr>
          <w:p>
            <w:r/>
            <w:r>
              <w:rPr>
                <w:b/>
                <w:color w:val="FFFFFF"/>
                <w:sz w:val="18"/>
              </w:rPr>
              <w:t>Retrieval</w:t>
            </w:r>
          </w:p>
        </w:tc>
      </w:tr>
      <w:tr>
        <w:trPr>
          <w:cantSplit w:val="true"/>
        </w:trPr>
        <w:tc>
          <w:tcPr>
            <w:tcW w:type="dxa" w:w="1862"/>
          </w:tcPr>
          <w:p>
            <w:pPr>
              <w:spacing w:after="20" w:line="240" w:lineRule="auto"/>
            </w:pPr>
            <w:r>
              <w:rPr>
                <w:b/>
                <w:sz w:val="18"/>
              </w:rPr>
            </w:r>
            <w:r>
              <w:rPr>
                <w:b/>
                <w:sz w:val="18"/>
              </w:rPr>
              <w:t>Working / session state</w:t>
            </w:r>
          </w:p>
        </w:tc>
        <w:tc>
          <w:tcPr>
            <w:tcW w:type="dxa" w:w="3026"/>
          </w:tcPr>
          <w:p>
            <w:pPr>
              <w:spacing w:after="20" w:line="240" w:lineRule="auto"/>
            </w:pPr>
            <w:r>
              <w:rPr>
                <w:sz w:val="18"/>
              </w:rPr>
            </w:r>
            <w:r>
              <w:rPr>
                <w:sz w:val="18"/>
              </w:rPr>
              <w:t>Current turn context, plan, scratch notes, tool results, rolling summary</w:t>
            </w:r>
          </w:p>
        </w:tc>
        <w:tc>
          <w:tcPr>
            <w:tcW w:type="dxa" w:w="2561"/>
          </w:tcPr>
          <w:p>
            <w:pPr>
              <w:spacing w:after="20" w:line="240" w:lineRule="auto"/>
            </w:pPr>
            <w:r>
              <w:rPr>
                <w:sz w:val="18"/>
              </w:rPr>
            </w:r>
            <w:r>
              <w:rPr>
                <w:sz w:val="18"/>
              </w:rPr>
              <w:t>Temporal workflow state, Postgres (conversation), sandbox workspace</w:t>
            </w:r>
          </w:p>
        </w:tc>
        <w:tc>
          <w:tcPr>
            <w:tcW w:type="dxa" w:w="1862"/>
          </w:tcPr>
          <w:p>
            <w:pPr>
              <w:spacing w:after="20" w:line="240" w:lineRule="auto"/>
            </w:pPr>
            <w:r>
              <w:rPr>
                <w:sz w:val="18"/>
              </w:rPr>
            </w:r>
            <w:r>
              <w:rPr>
                <w:sz w:val="18"/>
              </w:rPr>
              <w:t>Always loaded (budgeted).</w:t>
            </w:r>
          </w:p>
        </w:tc>
      </w:tr>
      <w:tr>
        <w:trPr>
          <w:cantSplit w:val="true"/>
        </w:trPr>
        <w:tc>
          <w:tcPr>
            <w:tcW w:type="dxa" w:w="1862"/>
            <w:shd w:val="clear" w:color="auto" w:fill="F2F6FA"/>
          </w:tcPr>
          <w:p>
            <w:pPr>
              <w:spacing w:after="20" w:line="240" w:lineRule="auto"/>
            </w:pPr>
            <w:r>
              <w:rPr>
                <w:b/>
                <w:sz w:val="18"/>
              </w:rPr>
            </w:r>
            <w:r>
              <w:rPr>
                <w:b/>
                <w:sz w:val="18"/>
              </w:rPr>
              <w:t>Conversation history</w:t>
            </w:r>
          </w:p>
        </w:tc>
        <w:tc>
          <w:tcPr>
            <w:tcW w:type="dxa" w:w="3026"/>
            <w:shd w:val="clear" w:color="auto" w:fill="F2F6FA"/>
          </w:tcPr>
          <w:p>
            <w:pPr>
              <w:spacing w:after="20" w:line="240" w:lineRule="auto"/>
            </w:pPr>
            <w:r>
              <w:rPr>
                <w:sz w:val="18"/>
              </w:rPr>
            </w:r>
            <w:r>
              <w:rPr>
                <w:sz w:val="18"/>
              </w:rPr>
              <w:t>Full message and tool-call log</w:t>
            </w:r>
          </w:p>
        </w:tc>
        <w:tc>
          <w:tcPr>
            <w:tcW w:type="dxa" w:w="2561"/>
            <w:shd w:val="clear" w:color="auto" w:fill="F2F6FA"/>
          </w:tcPr>
          <w:p>
            <w:pPr>
              <w:spacing w:after="20" w:line="240" w:lineRule="auto"/>
            </w:pPr>
            <w:r>
              <w:rPr>
                <w:sz w:val="18"/>
              </w:rPr>
            </w:r>
            <w:r>
              <w:rPr>
                <w:sz w:val="18"/>
              </w:rPr>
              <w:t>Postgres (partitioned by month), object store for large payloads</w:t>
            </w:r>
          </w:p>
        </w:tc>
        <w:tc>
          <w:tcPr>
            <w:tcW w:type="dxa" w:w="1862"/>
            <w:shd w:val="clear" w:color="auto" w:fill="F2F6FA"/>
          </w:tcPr>
          <w:p>
            <w:pPr>
              <w:spacing w:after="20" w:line="240" w:lineRule="auto"/>
            </w:pPr>
            <w:r>
              <w:rPr>
                <w:sz w:val="18"/>
              </w:rPr>
            </w:r>
            <w:r>
              <w:rPr>
                <w:sz w:val="18"/>
              </w:rPr>
              <w:t>Search and 'recall past conversation' tool.</w:t>
            </w:r>
          </w:p>
        </w:tc>
      </w:tr>
      <w:tr>
        <w:trPr>
          <w:cantSplit w:val="true"/>
        </w:trPr>
        <w:tc>
          <w:tcPr>
            <w:tcW w:type="dxa" w:w="1862"/>
          </w:tcPr>
          <w:p>
            <w:pPr>
              <w:spacing w:after="20" w:line="240" w:lineRule="auto"/>
            </w:pPr>
            <w:r>
              <w:rPr>
                <w:b/>
                <w:sz w:val="18"/>
              </w:rPr>
            </w:r>
            <w:r>
              <w:rPr>
                <w:b/>
                <w:sz w:val="18"/>
              </w:rPr>
              <w:t>Long-term user memory</w:t>
            </w:r>
          </w:p>
        </w:tc>
        <w:tc>
          <w:tcPr>
            <w:tcW w:type="dxa" w:w="3026"/>
          </w:tcPr>
          <w:p>
            <w:pPr>
              <w:spacing w:after="20" w:line="240" w:lineRule="auto"/>
            </w:pPr>
            <w:r>
              <w:rPr>
                <w:sz w:val="18"/>
              </w:rPr>
            </w:r>
            <w:r>
              <w:rPr>
                <w:sz w:val="18"/>
              </w:rPr>
              <w:t>Preferences ('prefers tables', 'works in IST'), role, projects, recurring facts</w:t>
            </w:r>
          </w:p>
        </w:tc>
        <w:tc>
          <w:tcPr>
            <w:tcW w:type="dxa" w:w="2561"/>
          </w:tcPr>
          <w:p>
            <w:pPr>
              <w:spacing w:after="20" w:line="240" w:lineRule="auto"/>
            </w:pPr>
            <w:r>
              <w:rPr>
                <w:sz w:val="18"/>
              </w:rPr>
            </w:r>
            <w:r>
              <w:rPr>
                <w:sz w:val="18"/>
              </w:rPr>
              <w:t>Postgres + pgvector table of memory facts with scope, provenance, confidence and expiry</w:t>
            </w:r>
          </w:p>
        </w:tc>
        <w:tc>
          <w:tcPr>
            <w:tcW w:type="dxa" w:w="1862"/>
          </w:tcPr>
          <w:p>
            <w:pPr>
              <w:spacing w:after="20" w:line="240" w:lineRule="auto"/>
            </w:pPr>
            <w:r>
              <w:rPr>
                <w:sz w:val="18"/>
              </w:rPr>
            </w:r>
            <w:r>
              <w:rPr>
                <w:sz w:val="18"/>
              </w:rPr>
              <w:t>Top-k semantic + recency at turn start; explicit memory.search tool.</w:t>
            </w:r>
          </w:p>
        </w:tc>
      </w:tr>
      <w:tr>
        <w:trPr>
          <w:cantSplit w:val="true"/>
        </w:trPr>
        <w:tc>
          <w:tcPr>
            <w:tcW w:type="dxa" w:w="1862"/>
            <w:shd w:val="clear" w:color="auto" w:fill="F2F6FA"/>
          </w:tcPr>
          <w:p>
            <w:pPr>
              <w:spacing w:after="20" w:line="240" w:lineRule="auto"/>
            </w:pPr>
            <w:r>
              <w:rPr>
                <w:b/>
                <w:sz w:val="18"/>
              </w:rPr>
            </w:r>
            <w:r>
              <w:rPr>
                <w:b/>
                <w:sz w:val="18"/>
              </w:rPr>
              <w:t>Agent memory</w:t>
            </w:r>
          </w:p>
        </w:tc>
        <w:tc>
          <w:tcPr>
            <w:tcW w:type="dxa" w:w="3026"/>
            <w:shd w:val="clear" w:color="auto" w:fill="F2F6FA"/>
          </w:tcPr>
          <w:p>
            <w:pPr>
              <w:spacing w:after="20" w:line="240" w:lineRule="auto"/>
            </w:pPr>
            <w:r>
              <w:rPr>
                <w:sz w:val="18"/>
              </w:rPr>
            </w:r>
            <w:r>
              <w:rPr>
                <w:sz w:val="18"/>
              </w:rPr>
              <w:t>Lessons learned for an agent ('the finance DB uses fiscal year starting April')</w:t>
            </w:r>
          </w:p>
        </w:tc>
        <w:tc>
          <w:tcPr>
            <w:tcW w:type="dxa" w:w="2561"/>
            <w:shd w:val="clear" w:color="auto" w:fill="F2F6FA"/>
          </w:tcPr>
          <w:p>
            <w:pPr>
              <w:spacing w:after="20" w:line="240" w:lineRule="auto"/>
            </w:pPr>
            <w:r>
              <w:rPr>
                <w:sz w:val="18"/>
              </w:rPr>
            </w:r>
            <w:r>
              <w:rPr>
                <w:sz w:val="18"/>
              </w:rPr>
              <w:t>Same store, scope = agent, curated</w:t>
            </w:r>
          </w:p>
        </w:tc>
        <w:tc>
          <w:tcPr>
            <w:tcW w:type="dxa" w:w="1862"/>
            <w:shd w:val="clear" w:color="auto" w:fill="F2F6FA"/>
          </w:tcPr>
          <w:p>
            <w:pPr>
              <w:spacing w:after="20" w:line="240" w:lineRule="auto"/>
            </w:pPr>
            <w:r>
              <w:rPr>
                <w:sz w:val="18"/>
              </w:rPr>
            </w:r>
            <w:r>
              <w:rPr>
                <w:sz w:val="18"/>
              </w:rPr>
              <w:t>Loaded for that agent; changes reviewed by agent owners.</w:t>
            </w:r>
          </w:p>
        </w:tc>
      </w:tr>
      <w:tr>
        <w:trPr>
          <w:cantSplit w:val="true"/>
        </w:trPr>
        <w:tc>
          <w:tcPr>
            <w:tcW w:type="dxa" w:w="1862"/>
          </w:tcPr>
          <w:p>
            <w:pPr>
              <w:spacing w:after="20" w:line="240" w:lineRule="auto"/>
            </w:pPr>
            <w:r>
              <w:rPr>
                <w:b/>
                <w:sz w:val="18"/>
              </w:rPr>
            </w:r>
            <w:r>
              <w:rPr>
                <w:b/>
                <w:sz w:val="18"/>
              </w:rPr>
              <w:t>Shared / team memory</w:t>
            </w:r>
          </w:p>
        </w:tc>
        <w:tc>
          <w:tcPr>
            <w:tcW w:type="dxa" w:w="3026"/>
          </w:tcPr>
          <w:p>
            <w:pPr>
              <w:spacing w:after="20" w:line="240" w:lineRule="auto"/>
            </w:pPr>
            <w:r>
              <w:rPr>
                <w:sz w:val="18"/>
              </w:rPr>
            </w:r>
            <w:r>
              <w:rPr>
                <w:sz w:val="18"/>
              </w:rPr>
              <w:t>Team conventions, glossary, contacts</w:t>
            </w:r>
          </w:p>
        </w:tc>
        <w:tc>
          <w:tcPr>
            <w:tcW w:type="dxa" w:w="2561"/>
          </w:tcPr>
          <w:p>
            <w:pPr>
              <w:spacing w:after="20" w:line="240" w:lineRule="auto"/>
            </w:pPr>
            <w:r>
              <w:rPr>
                <w:sz w:val="18"/>
              </w:rPr>
            </w:r>
            <w:r>
              <w:rPr>
                <w:sz w:val="18"/>
              </w:rPr>
              <w:t>Same store, scope = team; or a knowledge collection</w:t>
            </w:r>
          </w:p>
        </w:tc>
        <w:tc>
          <w:tcPr>
            <w:tcW w:type="dxa" w:w="1862"/>
          </w:tcPr>
          <w:p>
            <w:pPr>
              <w:spacing w:after="20" w:line="240" w:lineRule="auto"/>
            </w:pPr>
            <w:r>
              <w:rPr>
                <w:sz w:val="18"/>
              </w:rPr>
            </w:r>
            <w:r>
              <w:rPr>
                <w:sz w:val="18"/>
              </w:rPr>
              <w:t>ACL-filtered like documents.</w:t>
            </w:r>
          </w:p>
        </w:tc>
      </w:tr>
    </w:tbl>
    <w:p>
      <w:pPr>
        <w:spacing w:after="80"/>
      </w:pPr>
    </w:p>
    <w:p>
      <w:pPr>
        <w:pStyle w:val="ListBullet"/>
      </w:pPr>
      <w:r>
        <w:rPr>
          <w:b/>
        </w:rPr>
        <w:t>Write path</w:t>
      </w:r>
      <w:r>
        <w:t>: after a conversation (asynchronously) the fast model proposes candidate facts; a policy filter drops secrets, credentials and sensitive personal data; duplicates are merged and contradictions supersede older facts (with history). Users can also say 'remember that...' explicitly.</w:t>
      </w:r>
    </w:p>
    <w:p>
      <w:pPr>
        <w:pStyle w:val="ListBullet"/>
      </w:pPr>
      <w:r>
        <w:rPr>
          <w:b/>
        </w:rPr>
        <w:t>User control</w:t>
      </w:r>
      <w:r>
        <w:t>: a memory panel to view, edit and delete facts; per-user opt-out; deletion propagates to backups within the retention SLA (supports erasure requests).</w:t>
      </w:r>
    </w:p>
    <w:p>
      <w:pPr>
        <w:pStyle w:val="ListBullet"/>
      </w:pPr>
      <w:r>
        <w:rPr>
          <w:b/>
        </w:rPr>
        <w:t>Safety</w:t>
      </w:r>
      <w:r>
        <w:t>: memories are data, not instructions. Facts derived from tool output (e.g. a web page) are marked lower-trust and are never promoted to agent-level memory without review, to prevent persistent prompt injection ('memory poisoning').</w:t>
      </w:r>
    </w:p>
    <w:p>
      <w:pPr>
        <w:pStyle w:val="ListBullet"/>
      </w:pPr>
      <w:r>
        <w:rPr>
          <w:b/>
        </w:rPr>
        <w:t>Alternatives</w:t>
      </w:r>
      <w:r>
        <w:t>: open-source memory layers (e.g. Mem0, Letta, Zep/Graphiti for temporal knowledge graphs) can be evaluated; a Postgres-based implementation is recommended initially for simplicity, governance and ACL control.</w:t>
      </w:r>
    </w:p>
    <w:p>
      <w:pPr>
        <w:pStyle w:val="Heading2"/>
      </w:pPr>
      <w:r>
        <w:t>4.8 Routines and scheduler</w:t>
      </w:r>
    </w:p>
    <w:p>
      <w:r>
        <w:t xml:space="preserve">A </w:t>
      </w:r>
      <w:r>
        <w:rPr>
          <w:b/>
        </w:rPr>
        <w:t>routine</w:t>
      </w:r>
      <w:r>
        <w:t xml:space="preserve"> is a saved agent task with a trigger, instructions, an agent configuration, a budget, a delivery target and an owner. Routines run with the </w:t>
      </w:r>
      <w:r>
        <w:rPr>
          <w:b/>
        </w:rPr>
        <w:t>owner's delegated permissions</w:t>
      </w:r>
      <w:r>
        <w:t xml:space="preserve"> (or those of a designated service identity approved by governance) and are subject to the same policies as interactive turns.</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629"/>
        <w:gridCol w:w="3841"/>
        <w:gridCol w:w="3841"/>
      </w:tblGrid>
      <w:tr>
        <w:trPr>
          <w:tblHeader w:val="true"/>
        </w:trPr>
        <w:tc>
          <w:tcPr>
            <w:tcW w:type="dxa" w:w="1629"/>
            <w:shd w:val="clear" w:color="auto" w:fill="1F4E79"/>
          </w:tcPr>
          <w:p>
            <w:r/>
            <w:r>
              <w:rPr>
                <w:b/>
                <w:color w:val="FFFFFF"/>
                <w:sz w:val="18"/>
              </w:rPr>
              <w:t>Trigger</w:t>
            </w:r>
          </w:p>
        </w:tc>
        <w:tc>
          <w:tcPr>
            <w:tcW w:type="dxa" w:w="3841"/>
            <w:shd w:val="clear" w:color="auto" w:fill="1F4E79"/>
          </w:tcPr>
          <w:p>
            <w:r/>
            <w:r>
              <w:rPr>
                <w:b/>
                <w:color w:val="FFFFFF"/>
                <w:sz w:val="18"/>
              </w:rPr>
              <w:t>Mechanism</w:t>
            </w:r>
          </w:p>
        </w:tc>
        <w:tc>
          <w:tcPr>
            <w:tcW w:type="dxa" w:w="3841"/>
            <w:shd w:val="clear" w:color="auto" w:fill="1F4E79"/>
          </w:tcPr>
          <w:p>
            <w:r/>
            <w:r>
              <w:rPr>
                <w:b/>
                <w:color w:val="FFFFFF"/>
                <w:sz w:val="18"/>
              </w:rPr>
              <w:t>Examples</w:t>
            </w:r>
          </w:p>
        </w:tc>
      </w:tr>
      <w:tr>
        <w:trPr>
          <w:cantSplit w:val="true"/>
        </w:trPr>
        <w:tc>
          <w:tcPr>
            <w:tcW w:type="dxa" w:w="1629"/>
          </w:tcPr>
          <w:p>
            <w:pPr>
              <w:spacing w:after="20" w:line="240" w:lineRule="auto"/>
            </w:pPr>
            <w:r>
              <w:rPr>
                <w:b/>
                <w:sz w:val="18"/>
              </w:rPr>
            </w:r>
            <w:r>
              <w:rPr>
                <w:b/>
                <w:sz w:val="18"/>
              </w:rPr>
              <w:t>Cron / schedule</w:t>
            </w:r>
          </w:p>
        </w:tc>
        <w:tc>
          <w:tcPr>
            <w:tcW w:type="dxa" w:w="3841"/>
          </w:tcPr>
          <w:p>
            <w:pPr>
              <w:spacing w:after="20" w:line="240" w:lineRule="auto"/>
            </w:pPr>
            <w:r>
              <w:rPr>
                <w:sz w:val="18"/>
              </w:rPr>
            </w:r>
            <w:r>
              <w:rPr>
                <w:sz w:val="18"/>
              </w:rPr>
              <w:t>Temporal Schedules (time-zone aware, e.g. Asia/Kolkata), with jitter, catch-up and overlap policies</w:t>
            </w:r>
          </w:p>
        </w:tc>
        <w:tc>
          <w:tcPr>
            <w:tcW w:type="dxa" w:w="3841"/>
          </w:tcPr>
          <w:p>
            <w:pPr>
              <w:spacing w:after="20" w:line="240" w:lineRule="auto"/>
            </w:pPr>
            <w:r>
              <w:rPr>
                <w:sz w:val="18"/>
              </w:rPr>
            </w:r>
            <w:r>
              <w:rPr>
                <w:sz w:val="18"/>
              </w:rPr>
              <w:t>Weekly sales digest Monday 09:00 IST; nightly data-quality check.</w:t>
            </w:r>
          </w:p>
        </w:tc>
      </w:tr>
      <w:tr>
        <w:trPr>
          <w:cantSplit w:val="true"/>
        </w:trPr>
        <w:tc>
          <w:tcPr>
            <w:tcW w:type="dxa" w:w="1629"/>
            <w:shd w:val="clear" w:color="auto" w:fill="F2F6FA"/>
          </w:tcPr>
          <w:p>
            <w:pPr>
              <w:spacing w:after="20" w:line="240" w:lineRule="auto"/>
            </w:pPr>
            <w:r>
              <w:rPr>
                <w:b/>
                <w:sz w:val="18"/>
              </w:rPr>
            </w:r>
            <w:r>
              <w:rPr>
                <w:b/>
                <w:sz w:val="18"/>
              </w:rPr>
              <w:t>Webhook</w:t>
            </w:r>
          </w:p>
        </w:tc>
        <w:tc>
          <w:tcPr>
            <w:tcW w:type="dxa" w:w="3841"/>
            <w:shd w:val="clear" w:color="auto" w:fill="F2F6FA"/>
          </w:tcPr>
          <w:p>
            <w:pPr>
              <w:spacing w:after="20" w:line="240" w:lineRule="auto"/>
            </w:pPr>
            <w:r>
              <w:rPr>
                <w:sz w:val="18"/>
              </w:rPr>
            </w:r>
            <w:r>
              <w:rPr>
                <w:sz w:val="18"/>
              </w:rPr>
              <w:t>Authenticated endpoint (HMAC or mTLS) on the event router</w:t>
            </w:r>
          </w:p>
        </w:tc>
        <w:tc>
          <w:tcPr>
            <w:tcW w:type="dxa" w:w="3841"/>
            <w:shd w:val="clear" w:color="auto" w:fill="F2F6FA"/>
          </w:tcPr>
          <w:p>
            <w:pPr>
              <w:spacing w:after="20" w:line="240" w:lineRule="auto"/>
            </w:pPr>
            <w:r>
              <w:rPr>
                <w:sz w:val="18"/>
              </w:rPr>
            </w:r>
            <w:r>
              <w:rPr>
                <w:sz w:val="18"/>
              </w:rPr>
              <w:t>CI failure, monitoring alert, form submission.</w:t>
            </w:r>
          </w:p>
        </w:tc>
      </w:tr>
      <w:tr>
        <w:trPr>
          <w:cantSplit w:val="true"/>
        </w:trPr>
        <w:tc>
          <w:tcPr>
            <w:tcW w:type="dxa" w:w="1629"/>
          </w:tcPr>
          <w:p>
            <w:pPr>
              <w:spacing w:after="20" w:line="240" w:lineRule="auto"/>
            </w:pPr>
            <w:r>
              <w:rPr>
                <w:b/>
                <w:sz w:val="18"/>
              </w:rPr>
            </w:r>
            <w:r>
              <w:rPr>
                <w:b/>
                <w:sz w:val="18"/>
              </w:rPr>
              <w:t>Slack / Teams</w:t>
            </w:r>
          </w:p>
        </w:tc>
        <w:tc>
          <w:tcPr>
            <w:tcW w:type="dxa" w:w="3841"/>
          </w:tcPr>
          <w:p>
            <w:pPr>
              <w:spacing w:after="20" w:line="240" w:lineRule="auto"/>
            </w:pPr>
            <w:r>
              <w:rPr>
                <w:sz w:val="18"/>
              </w:rPr>
            </w:r>
            <w:r>
              <w:rPr>
                <w:sz w:val="18"/>
              </w:rPr>
              <w:t>Bot events: message in channel, mention, reaction, slash command</w:t>
            </w:r>
          </w:p>
        </w:tc>
        <w:tc>
          <w:tcPr>
            <w:tcW w:type="dxa" w:w="3841"/>
          </w:tcPr>
          <w:p>
            <w:pPr>
              <w:spacing w:after="20" w:line="240" w:lineRule="auto"/>
            </w:pPr>
            <w:r>
              <w:rPr>
                <w:sz w:val="18"/>
              </w:rPr>
            </w:r>
            <w:r>
              <w:rPr>
                <w:sz w:val="18"/>
              </w:rPr>
              <w:t>Triage new messages in #support; summarise thread on reaction.</w:t>
            </w:r>
          </w:p>
        </w:tc>
      </w:tr>
      <w:tr>
        <w:trPr>
          <w:cantSplit w:val="true"/>
        </w:trPr>
        <w:tc>
          <w:tcPr>
            <w:tcW w:type="dxa" w:w="1629"/>
            <w:shd w:val="clear" w:color="auto" w:fill="F2F6FA"/>
          </w:tcPr>
          <w:p>
            <w:pPr>
              <w:spacing w:after="20" w:line="240" w:lineRule="auto"/>
            </w:pPr>
            <w:r>
              <w:rPr>
                <w:b/>
                <w:sz w:val="18"/>
              </w:rPr>
            </w:r>
            <w:r>
              <w:rPr>
                <w:b/>
                <w:sz w:val="18"/>
              </w:rPr>
              <w:t>Email</w:t>
            </w:r>
          </w:p>
        </w:tc>
        <w:tc>
          <w:tcPr>
            <w:tcW w:type="dxa" w:w="3841"/>
            <w:shd w:val="clear" w:color="auto" w:fill="F2F6FA"/>
          </w:tcPr>
          <w:p>
            <w:pPr>
              <w:spacing w:after="20" w:line="240" w:lineRule="auto"/>
            </w:pPr>
            <w:r>
              <w:rPr>
                <w:sz w:val="18"/>
              </w:rPr>
            </w:r>
            <w:r>
              <w:rPr>
                <w:sz w:val="18"/>
              </w:rPr>
              <w:t>Inbound mailbox monitored via Graph/IMAP</w:t>
            </w:r>
          </w:p>
        </w:tc>
        <w:tc>
          <w:tcPr>
            <w:tcW w:type="dxa" w:w="3841"/>
            <w:shd w:val="clear" w:color="auto" w:fill="F2F6FA"/>
          </w:tcPr>
          <w:p>
            <w:pPr>
              <w:spacing w:after="20" w:line="240" w:lineRule="auto"/>
            </w:pPr>
            <w:r>
              <w:rPr>
                <w:sz w:val="18"/>
              </w:rPr>
            </w:r>
            <w:r>
              <w:rPr>
                <w:sz w:val="18"/>
              </w:rPr>
              <w:t>Classify and draft replies to vendor invoices.</w:t>
            </w:r>
          </w:p>
        </w:tc>
      </w:tr>
      <w:tr>
        <w:trPr>
          <w:cantSplit w:val="true"/>
        </w:trPr>
        <w:tc>
          <w:tcPr>
            <w:tcW w:type="dxa" w:w="1629"/>
          </w:tcPr>
          <w:p>
            <w:pPr>
              <w:spacing w:after="20" w:line="240" w:lineRule="auto"/>
            </w:pPr>
            <w:r>
              <w:rPr>
                <w:b/>
                <w:sz w:val="18"/>
              </w:rPr>
            </w:r>
            <w:r>
              <w:rPr>
                <w:b/>
                <w:sz w:val="18"/>
              </w:rPr>
              <w:t>Database change</w:t>
            </w:r>
          </w:p>
        </w:tc>
        <w:tc>
          <w:tcPr>
            <w:tcW w:type="dxa" w:w="3841"/>
          </w:tcPr>
          <w:p>
            <w:pPr>
              <w:spacing w:after="20" w:line="240" w:lineRule="auto"/>
            </w:pPr>
            <w:r>
              <w:rPr>
                <w:sz w:val="18"/>
              </w:rPr>
            </w:r>
            <w:r>
              <w:rPr>
                <w:sz w:val="18"/>
              </w:rPr>
              <w:t>CDC with Debezium into Kafka, or Postgres LISTEN/NOTIFY, filtered by predicate</w:t>
            </w:r>
          </w:p>
        </w:tc>
        <w:tc>
          <w:tcPr>
            <w:tcW w:type="dxa" w:w="3841"/>
          </w:tcPr>
          <w:p>
            <w:pPr>
              <w:spacing w:after="20" w:line="240" w:lineRule="auto"/>
            </w:pPr>
            <w:r>
              <w:rPr>
                <w:sz w:val="18"/>
              </w:rPr>
            </w:r>
            <w:r>
              <w:rPr>
                <w:sz w:val="18"/>
              </w:rPr>
              <w:t>New high-value order; status changed to 'escalated'.</w:t>
            </w:r>
          </w:p>
        </w:tc>
      </w:tr>
      <w:tr>
        <w:trPr>
          <w:cantSplit w:val="true"/>
        </w:trPr>
        <w:tc>
          <w:tcPr>
            <w:tcW w:type="dxa" w:w="1629"/>
            <w:shd w:val="clear" w:color="auto" w:fill="F2F6FA"/>
          </w:tcPr>
          <w:p>
            <w:pPr>
              <w:spacing w:after="20" w:line="240" w:lineRule="auto"/>
            </w:pPr>
            <w:r>
              <w:rPr>
                <w:b/>
                <w:sz w:val="18"/>
              </w:rPr>
            </w:r>
            <w:r>
              <w:rPr>
                <w:b/>
                <w:sz w:val="18"/>
              </w:rPr>
              <w:t>File arrival</w:t>
            </w:r>
          </w:p>
        </w:tc>
        <w:tc>
          <w:tcPr>
            <w:tcW w:type="dxa" w:w="3841"/>
            <w:shd w:val="clear" w:color="auto" w:fill="F2F6FA"/>
          </w:tcPr>
          <w:p>
            <w:pPr>
              <w:spacing w:after="20" w:line="240" w:lineRule="auto"/>
            </w:pPr>
            <w:r>
              <w:rPr>
                <w:sz w:val="18"/>
              </w:rPr>
            </w:r>
            <w:r>
              <w:rPr>
                <w:sz w:val="18"/>
              </w:rPr>
              <w:t>Object store bucket notifications, SharePoint folder delta</w:t>
            </w:r>
          </w:p>
        </w:tc>
        <w:tc>
          <w:tcPr>
            <w:tcW w:type="dxa" w:w="3841"/>
            <w:shd w:val="clear" w:color="auto" w:fill="F2F6FA"/>
          </w:tcPr>
          <w:p>
            <w:pPr>
              <w:spacing w:after="20" w:line="240" w:lineRule="auto"/>
            </w:pPr>
            <w:r>
              <w:rPr>
                <w:sz w:val="18"/>
              </w:rPr>
            </w:r>
            <w:r>
              <w:rPr>
                <w:sz w:val="18"/>
              </w:rPr>
              <w:t>New contract PDF uploaded: extract key terms.</w:t>
            </w:r>
          </w:p>
        </w:tc>
      </w:tr>
    </w:tbl>
    <w:p>
      <w:pPr>
        <w:spacing w:after="80"/>
      </w:pPr>
    </w:p>
    <w:p>
      <w:pPr>
        <w:pStyle w:val="ListBullet"/>
      </w:pPr>
      <w:r>
        <w:rPr>
          <w:b/>
        </w:rPr>
        <w:t>Event router</w:t>
      </w:r>
      <w:r>
        <w:t xml:space="preserve"> normalises events into a common envelope on the event bus, deduplicates by idempotency key, applies per-routine filters and rate limits, and starts a workflow.</w:t>
      </w:r>
    </w:p>
    <w:p>
      <w:pPr>
        <w:pStyle w:val="ListBullet"/>
      </w:pPr>
      <w:r>
        <w:rPr>
          <w:b/>
        </w:rPr>
        <w:t>Safety</w:t>
      </w:r>
      <w:r>
        <w:t>: routines are reviewed when created or changed if they use W2/W3 tools; pre-approved delivery (e.g. 'post to #sales-digest') can be granted per routine; any other side effect requests approval from the owner. Routines are automatically paused when the owner leaves the company or loses entitlements.</w:t>
      </w:r>
    </w:p>
    <w:p>
      <w:pPr>
        <w:pStyle w:val="ListBullet"/>
      </w:pPr>
      <w:r>
        <w:rPr>
          <w:b/>
        </w:rPr>
        <w:t>Budget and loop protection</w:t>
      </w:r>
      <w:r>
        <w:t>: per-run step/token/time limits; per-routine daily caps; circuit breaker if a routine fails or triggers itself repeatedly.</w:t>
      </w:r>
    </w:p>
    <w:p>
      <w:pPr>
        <w:pStyle w:val="ListBullet"/>
      </w:pPr>
      <w:r>
        <w:rPr>
          <w:b/>
        </w:rPr>
        <w:t>Observability</w:t>
      </w:r>
      <w:r>
        <w:t>: run history with status, outputs, cost and trace link; failure notifications to the owner.</w:t>
      </w:r>
    </w:p>
    <w:p>
      <w:pPr>
        <w:pStyle w:val="Heading2"/>
      </w:pPr>
      <w:r>
        <w:t>4.9 Front ends and channels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513"/>
        <w:gridCol w:w="3958"/>
        <w:gridCol w:w="3841"/>
      </w:tblGrid>
      <w:tr>
        <w:trPr>
          <w:tblHeader w:val="true"/>
        </w:trPr>
        <w:tc>
          <w:tcPr>
            <w:tcW w:type="dxa" w:w="1513"/>
            <w:shd w:val="clear" w:color="auto" w:fill="1F4E79"/>
          </w:tcPr>
          <w:p>
            <w:r/>
            <w:r>
              <w:rPr>
                <w:b/>
                <w:color w:val="FFFFFF"/>
                <w:sz w:val="18"/>
              </w:rPr>
              <w:t>Channel</w:t>
            </w:r>
          </w:p>
        </w:tc>
        <w:tc>
          <w:tcPr>
            <w:tcW w:type="dxa" w:w="3958"/>
            <w:shd w:val="clear" w:color="auto" w:fill="1F4E79"/>
          </w:tcPr>
          <w:p>
            <w:r/>
            <w:r>
              <w:rPr>
                <w:b/>
                <w:color w:val="FFFFFF"/>
                <w:sz w:val="18"/>
              </w:rPr>
              <w:t>Approach</w:t>
            </w:r>
          </w:p>
        </w:tc>
        <w:tc>
          <w:tcPr>
            <w:tcW w:type="dxa" w:w="3841"/>
            <w:shd w:val="clear" w:color="auto" w:fill="1F4E79"/>
          </w:tcPr>
          <w:p>
            <w:r/>
            <w:r>
              <w:rPr>
                <w:b/>
                <w:color w:val="FFFFFF"/>
                <w:sz w:val="18"/>
              </w:rPr>
              <w:t>Notes</w:t>
            </w:r>
          </w:p>
        </w:tc>
      </w:tr>
      <w:tr>
        <w:trPr>
          <w:cantSplit w:val="true"/>
        </w:trPr>
        <w:tc>
          <w:tcPr>
            <w:tcW w:type="dxa" w:w="1513"/>
          </w:tcPr>
          <w:p>
            <w:pPr>
              <w:spacing w:after="20" w:line="240" w:lineRule="auto"/>
            </w:pPr>
            <w:r>
              <w:rPr>
                <w:b/>
                <w:sz w:val="18"/>
              </w:rPr>
            </w:r>
            <w:r>
              <w:rPr>
                <w:b/>
                <w:sz w:val="18"/>
              </w:rPr>
              <w:t>Web UI</w:t>
            </w:r>
          </w:p>
        </w:tc>
        <w:tc>
          <w:tcPr>
            <w:tcW w:type="dxa" w:w="3958"/>
          </w:tcPr>
          <w:p>
            <w:pPr>
              <w:spacing w:after="20" w:line="240" w:lineRule="auto"/>
            </w:pPr>
            <w:r>
              <w:rPr>
                <w:sz w:val="18"/>
              </w:rPr>
            </w:r>
            <w:r>
              <w:rPr>
                <w:sz w:val="18"/>
              </w:rPr>
              <w:t xml:space="preserve">Fork an open-source chat UI such as </w:t>
            </w:r>
            <w:r>
              <w:rPr>
                <w:b/>
                <w:sz w:val="18"/>
              </w:rPr>
              <w:t>Open WebUI</w:t>
            </w:r>
            <w:r>
              <w:rPr>
                <w:sz w:val="18"/>
              </w:rPr>
              <w:t xml:space="preserve"> or </w:t>
            </w:r>
            <w:r>
              <w:rPr>
                <w:b/>
                <w:sz w:val="18"/>
              </w:rPr>
              <w:t>LibreChat</w:t>
            </w:r>
            <w:r>
              <w:rPr>
                <w:sz w:val="18"/>
              </w:rPr>
              <w:t xml:space="preserve"> (both support OpenAI-compatible backends, SSO, file upload, artefacts), or build a React/Next.js UI on the platform API. Check each project's licence terms (e.g. branding clauses) before forking.</w:t>
            </w:r>
          </w:p>
        </w:tc>
        <w:tc>
          <w:tcPr>
            <w:tcW w:type="dxa" w:w="3841"/>
          </w:tcPr>
          <w:p>
            <w:pPr>
              <w:spacing w:after="20" w:line="240" w:lineRule="auto"/>
            </w:pPr>
            <w:r>
              <w:rPr>
                <w:sz w:val="18"/>
              </w:rPr>
            </w:r>
            <w:r>
              <w:rPr>
                <w:sz w:val="18"/>
              </w:rPr>
              <w:t>Forking accelerates Phase 0/1. For Phase 2, keep the UI thin and move agent logic, tools and policy into the platform so the UI is replaceable. Required features: streaming, step/tool timeline, citations, artefact viewer, approval cards, memory panel, agent and routine management.</w:t>
            </w:r>
          </w:p>
        </w:tc>
      </w:tr>
      <w:tr>
        <w:trPr>
          <w:cantSplit w:val="true"/>
        </w:trPr>
        <w:tc>
          <w:tcPr>
            <w:tcW w:type="dxa" w:w="1513"/>
            <w:shd w:val="clear" w:color="auto" w:fill="F2F6FA"/>
          </w:tcPr>
          <w:p>
            <w:pPr>
              <w:spacing w:after="20" w:line="240" w:lineRule="auto"/>
            </w:pPr>
            <w:r>
              <w:rPr>
                <w:b/>
                <w:sz w:val="18"/>
              </w:rPr>
            </w:r>
            <w:r>
              <w:rPr>
                <w:b/>
                <w:sz w:val="18"/>
              </w:rPr>
              <w:t>Slack bot</w:t>
            </w:r>
          </w:p>
        </w:tc>
        <w:tc>
          <w:tcPr>
            <w:tcW w:type="dxa" w:w="3958"/>
            <w:shd w:val="clear" w:color="auto" w:fill="F2F6FA"/>
          </w:tcPr>
          <w:p>
            <w:pPr>
              <w:spacing w:after="20" w:line="240" w:lineRule="auto"/>
            </w:pPr>
            <w:r>
              <w:rPr>
                <w:sz w:val="18"/>
              </w:rPr>
            </w:r>
            <w:r>
              <w:rPr>
                <w:sz w:val="18"/>
              </w:rPr>
              <w:t>Slack Bolt app (Socket Mode avoids inbound internet exposure)</w:t>
            </w:r>
          </w:p>
        </w:tc>
        <w:tc>
          <w:tcPr>
            <w:tcW w:type="dxa" w:w="3841"/>
            <w:shd w:val="clear" w:color="auto" w:fill="F2F6FA"/>
          </w:tcPr>
          <w:p>
            <w:pPr>
              <w:spacing w:after="20" w:line="240" w:lineRule="auto"/>
            </w:pPr>
            <w:r>
              <w:rPr>
                <w:sz w:val="18"/>
              </w:rPr>
            </w:r>
            <w:r>
              <w:rPr>
                <w:sz w:val="18"/>
              </w:rPr>
              <w:t>DMs, mentions, thread context, interactive approval buttons, file uploads; map Slack user to corporate identity via SCIM/email; respect channel membership when reading.</w:t>
            </w:r>
          </w:p>
        </w:tc>
      </w:tr>
      <w:tr>
        <w:trPr>
          <w:cantSplit w:val="true"/>
        </w:trPr>
        <w:tc>
          <w:tcPr>
            <w:tcW w:type="dxa" w:w="1513"/>
          </w:tcPr>
          <w:p>
            <w:pPr>
              <w:spacing w:after="20" w:line="240" w:lineRule="auto"/>
            </w:pPr>
            <w:r>
              <w:rPr>
                <w:b/>
                <w:sz w:val="18"/>
              </w:rPr>
            </w:r>
            <w:r>
              <w:rPr>
                <w:b/>
                <w:sz w:val="18"/>
              </w:rPr>
              <w:t>Microsoft Teams bot</w:t>
            </w:r>
          </w:p>
        </w:tc>
        <w:tc>
          <w:tcPr>
            <w:tcW w:type="dxa" w:w="3958"/>
          </w:tcPr>
          <w:p>
            <w:pPr>
              <w:spacing w:after="20" w:line="240" w:lineRule="auto"/>
            </w:pPr>
            <w:r>
              <w:rPr>
                <w:sz w:val="18"/>
              </w:rPr>
            </w:r>
            <w:r>
              <w:rPr>
                <w:sz w:val="18"/>
              </w:rPr>
              <w:t>Bot Framework / Teams AI library, Adaptive Cards for approvals</w:t>
            </w:r>
          </w:p>
        </w:tc>
        <w:tc>
          <w:tcPr>
            <w:tcW w:type="dxa" w:w="3841"/>
          </w:tcPr>
          <w:p>
            <w:pPr>
              <w:spacing w:after="20" w:line="240" w:lineRule="auto"/>
            </w:pPr>
            <w:r>
              <w:rPr>
                <w:sz w:val="18"/>
              </w:rPr>
            </w:r>
            <w:r>
              <w:rPr>
                <w:sz w:val="18"/>
              </w:rPr>
              <w:t>Requires Azure Bot registration for Teams connectivity; message content still processed on company infrastructure. Validate this meets residency policy.</w:t>
            </w:r>
          </w:p>
        </w:tc>
      </w:tr>
      <w:tr>
        <w:trPr>
          <w:cantSplit w:val="true"/>
        </w:trPr>
        <w:tc>
          <w:tcPr>
            <w:tcW w:type="dxa" w:w="1513"/>
            <w:shd w:val="clear" w:color="auto" w:fill="F2F6FA"/>
          </w:tcPr>
          <w:p>
            <w:pPr>
              <w:spacing w:after="20" w:line="240" w:lineRule="auto"/>
            </w:pPr>
            <w:r>
              <w:rPr>
                <w:b/>
                <w:sz w:val="18"/>
              </w:rPr>
            </w:r>
            <w:r>
              <w:rPr>
                <w:b/>
                <w:sz w:val="18"/>
              </w:rPr>
              <w:t>Email</w:t>
            </w:r>
          </w:p>
        </w:tc>
        <w:tc>
          <w:tcPr>
            <w:tcW w:type="dxa" w:w="3958"/>
            <w:shd w:val="clear" w:color="auto" w:fill="F2F6FA"/>
          </w:tcPr>
          <w:p>
            <w:pPr>
              <w:spacing w:after="20" w:line="240" w:lineRule="auto"/>
            </w:pPr>
            <w:r>
              <w:rPr>
                <w:sz w:val="18"/>
              </w:rPr>
            </w:r>
            <w:r>
              <w:rPr>
                <w:sz w:val="18"/>
              </w:rPr>
              <w:t>Dedicated mailbox via Graph/IMAP; outbound via SMTP relay</w:t>
            </w:r>
          </w:p>
        </w:tc>
        <w:tc>
          <w:tcPr>
            <w:tcW w:type="dxa" w:w="3841"/>
            <w:shd w:val="clear" w:color="auto" w:fill="F2F6FA"/>
          </w:tcPr>
          <w:p>
            <w:pPr>
              <w:spacing w:after="20" w:line="240" w:lineRule="auto"/>
            </w:pPr>
            <w:r>
              <w:rPr>
                <w:sz w:val="18"/>
              </w:rPr>
            </w:r>
            <w:r>
              <w:rPr>
                <w:sz w:val="18"/>
              </w:rPr>
              <w:t>Assistant replies in thread; sending to external recipients is approval-gated.</w:t>
            </w:r>
          </w:p>
        </w:tc>
      </w:tr>
      <w:tr>
        <w:trPr>
          <w:cantSplit w:val="true"/>
        </w:trPr>
        <w:tc>
          <w:tcPr>
            <w:tcW w:type="dxa" w:w="1513"/>
          </w:tcPr>
          <w:p>
            <w:pPr>
              <w:spacing w:after="20" w:line="240" w:lineRule="auto"/>
            </w:pPr>
            <w:r>
              <w:rPr>
                <w:b/>
                <w:sz w:val="18"/>
              </w:rPr>
            </w:r>
            <w:r>
              <w:rPr>
                <w:b/>
                <w:sz w:val="18"/>
              </w:rPr>
              <w:t>Public API and SDK</w:t>
            </w:r>
          </w:p>
        </w:tc>
        <w:tc>
          <w:tcPr>
            <w:tcW w:type="dxa" w:w="3958"/>
          </w:tcPr>
          <w:p>
            <w:pPr>
              <w:spacing w:after="20" w:line="240" w:lineRule="auto"/>
            </w:pPr>
            <w:r>
              <w:rPr>
                <w:sz w:val="18"/>
              </w:rPr>
            </w:r>
            <w:r>
              <w:rPr>
                <w:sz w:val="18"/>
              </w:rPr>
              <w:t>REST + Server-Sent Events, OpenAPI spec; OpenAI-compatible 'responses/chat' facade for agents; Python/TypeScript SDK</w:t>
            </w:r>
          </w:p>
        </w:tc>
        <w:tc>
          <w:tcPr>
            <w:tcW w:type="dxa" w:w="3841"/>
          </w:tcPr>
          <w:p>
            <w:pPr>
              <w:spacing w:after="20" w:line="240" w:lineRule="auto"/>
            </w:pPr>
            <w:r>
              <w:rPr>
                <w:sz w:val="18"/>
              </w:rPr>
            </w:r>
            <w:r>
              <w:rPr>
                <w:sz w:val="18"/>
              </w:rPr>
              <w:t>For internal applications embedding agents; service identities with scoped permissions; webhooks for run completion.</w:t>
            </w:r>
          </w:p>
        </w:tc>
      </w:tr>
    </w:tbl>
    <w:p>
      <w:pPr>
        <w:spacing w:after="80"/>
      </w:pPr>
    </w:p>
    <w:p>
      <w:pPr>
        <w:pStyle w:val="Heading2"/>
      </w:pPr>
      <w:r>
        <w:t>4.10 Identity, authorisation and governance</w:t>
      </w:r>
    </w:p>
    <w:p>
      <w:pPr>
        <w:pStyle w:val="Heading3"/>
      </w:pPr>
      <w:r>
        <w:t>Authentication and identity propagation</w:t>
      </w:r>
    </w:p>
    <w:p>
      <w:pPr>
        <w:pStyle w:val="ListBullet"/>
      </w:pPr>
      <w:r>
        <w:rPr>
          <w:b/>
        </w:rPr>
        <w:t>SSO</w:t>
      </w:r>
      <w:r>
        <w:t xml:space="preserve"> via the corporate IdP (Entra ID, Okta, Ping, AD FS) using OIDC (preferred) or SAML, brokered by </w:t>
      </w:r>
      <w:r>
        <w:rPr>
          <w:b/>
        </w:rPr>
        <w:t>Keycloak</w:t>
      </w:r>
      <w:r>
        <w:t xml:space="preserve"> (or the IdP directly). MFA and conditional access enforced by the IdP; SCIM for user and group provisioning and deprovisioning.</w:t>
      </w:r>
    </w:p>
    <w:p>
      <w:pPr>
        <w:pStyle w:val="ListBullet"/>
      </w:pPr>
      <w:r>
        <w:rPr>
          <w:b/>
        </w:rPr>
        <w:t>Token exchange</w:t>
      </w:r>
      <w:r>
        <w:t xml:space="preserve"> (OAuth 2.0 Token Exchange, RFC 8693, or IdP on-behalf-of flows) converts the user's session token into </w:t>
      </w:r>
      <w:r>
        <w:rPr>
          <w:b/>
        </w:rPr>
        <w:t>downstream, audience-restricted, short-lived tokens</w:t>
      </w:r>
      <w:r>
        <w:t xml:space="preserve"> for each tool, so source systems see the real user and enforce their own permissions.</w:t>
      </w:r>
    </w:p>
    <w:p>
      <w:pPr>
        <w:pStyle w:val="ListBullet"/>
      </w:pPr>
      <w:r>
        <w:rPr>
          <w:b/>
        </w:rPr>
        <w:t>Per-user delegated credentials</w:t>
      </w:r>
      <w:r>
        <w:t xml:space="preserve">: where a system needs user consent (e.g. mailbox access), users connect it once via OAuth; refresh tokens are stored encrypted in </w:t>
      </w:r>
      <w:r>
        <w:rPr>
          <w:b/>
        </w:rPr>
        <w:t>HashiCorp Vault</w:t>
      </w:r>
      <w:r>
        <w:t xml:space="preserve"> (or OpenBao) under a per-user path and never exposed to the model or sandbox. Vault dynamic secrets issue short-lived database credentials where pass-through is unavailable.</w:t>
      </w:r>
    </w:p>
    <w:p>
      <w:pPr>
        <w:pStyle w:val="ListBullet"/>
      </w:pPr>
      <w:r>
        <w:rPr>
          <w:b/>
        </w:rPr>
        <w:t>Workload identity</w:t>
      </w:r>
      <w:r>
        <w:t>: services authenticate with SPIFFE/SPIRE or Kubernetes service-account tokens and mTLS (service mesh such as Istio or Linkerd).</w:t>
      </w:r>
    </w:p>
    <w:p>
      <w:pPr>
        <w:pStyle w:val="Heading3"/>
      </w:pPr>
      <w:r>
        <w:t>Authorisation model</w:t>
      </w:r>
    </w:p>
    <w:p>
      <w:pPr>
        <w:pStyle w:val="ListBullet"/>
      </w:pPr>
      <w:r>
        <w:rPr>
          <w:b/>
        </w:rPr>
        <w:t>RBAC</w:t>
      </w:r>
      <w:r>
        <w:t xml:space="preserve"> for platform roles: user, agent builder, tool owner, tenant admin, platform admin, auditor, approver.</w:t>
      </w:r>
    </w:p>
    <w:p>
      <w:pPr>
        <w:pStyle w:val="ListBullet"/>
      </w:pPr>
      <w:r>
        <w:rPr>
          <w:b/>
        </w:rPr>
        <w:t>ABAC</w:t>
      </w:r>
      <w:r>
        <w:t xml:space="preserve"> for runtime decisions combining user attributes (department, location, clearance), agent attributes (risk tier), tool risk class, data classification and context (channel, time, routine vs interactive). Policies as code in </w:t>
      </w:r>
      <w:r>
        <w:rPr>
          <w:b/>
        </w:rPr>
        <w:t>OPA (Rego)</w:t>
      </w:r>
      <w:r>
        <w:t xml:space="preserve"> or </w:t>
      </w:r>
      <w:r>
        <w:rPr>
          <w:b/>
        </w:rPr>
        <w:t>Cedar</w:t>
      </w:r>
      <w:r>
        <w:t>, versioned in Git, unit-tested, evaluated by the orchestrator and MCP gateway on every call.</w:t>
      </w:r>
    </w:p>
    <w:p>
      <w:pPr>
        <w:pStyle w:val="ListBullet"/>
      </w:pPr>
      <w:r>
        <w:rPr>
          <w:b/>
        </w:rPr>
        <w:t>Effective permission = user entitlements AND agent allowlist AND policy.</w:t>
      </w:r>
      <w:r>
        <w:t xml:space="preserve"> An agent can never exceed the user's own rights; agent configurations can only narrow them.</w:t>
      </w:r>
    </w:p>
    <w:p>
      <w:pPr>
        <w:pStyle w:val="Heading3"/>
      </w:pPr>
      <w:r>
        <w:t>Human-in-the-loop approvals</w:t>
      </w:r>
    </w:p>
    <w:p>
      <w:pPr>
        <w:pStyle w:val="ListBullet"/>
      </w:pPr>
      <w:r>
        <w:t>Triggered by policy for W2/W3 tools, high-cost operations, unusual volumes (e.g. email to more than N recipients, updates touching more than N rows) or low-confidence classifications.</w:t>
      </w:r>
    </w:p>
    <w:p>
      <w:pPr>
        <w:pStyle w:val="ListBullet"/>
      </w:pPr>
      <w:r>
        <w:t xml:space="preserve">The approval card shows the </w:t>
      </w:r>
      <w:r>
        <w:rPr>
          <w:b/>
        </w:rPr>
        <w:t>exact arguments</w:t>
      </w:r>
      <w:r>
        <w:t xml:space="preserve">, a human-readable preview (rendered email, SQL diff, list of affected records) and the agent's justification. Approval binds to a </w:t>
      </w:r>
      <w:r>
        <w:rPr>
          <w:b/>
        </w:rPr>
        <w:t>hash of the arguments</w:t>
      </w:r>
      <w:r>
        <w:t>; any change requires a new approval.</w:t>
      </w:r>
    </w:p>
    <w:p>
      <w:pPr>
        <w:pStyle w:val="ListBullet"/>
      </w:pPr>
      <w:r>
        <w:t>Approvers: the requesting user by default; a designated owner or second person (four-eyes) for W3; step-up MFA for destructive actions. Timeouts default to deny.</w:t>
      </w:r>
    </w:p>
    <w:p>
      <w:pPr>
        <w:pStyle w:val="ListBullet"/>
      </w:pPr>
      <w:r>
        <w:t xml:space="preserve">Users can grant </w:t>
      </w:r>
      <w:r>
        <w:rPr>
          <w:b/>
        </w:rPr>
        <w:t>scoped standing approvals</w:t>
      </w:r>
      <w:r>
        <w:t xml:space="preserve"> (e.g. 'this routine may post to #team-digest') which are visible, revocable and expire.</w:t>
      </w:r>
    </w:p>
    <w:p>
      <w:pPr>
        <w:pStyle w:val="Heading3"/>
      </w:pPr>
      <w:r>
        <w:t>Prompt-injection defences</w:t>
      </w:r>
    </w:p>
    <w:p>
      <w:r>
        <w:t>Any content an agent reads (documents, emails, web pages, tickets, database rows, tool output) may contain instructions written by an attacker. Defences are layered because no single technique is complete:</w:t>
      </w:r>
    </w:p>
    <w:p>
      <w:pPr>
        <w:spacing w:after="60"/>
        <w:ind w:left="432" w:hanging="360"/>
      </w:pPr>
      <w:r>
        <w:t xml:space="preserve">1.  </w:t>
      </w:r>
      <w:r>
        <w:rPr>
          <w:b/>
        </w:rPr>
        <w:t>Treat tool output as untrusted data</w:t>
      </w:r>
      <w:r>
        <w:t>: wrap results in clearly delimited, labelled blocks; the system prompt states that content inside them is data, never instructions; strip or neutralise control sequences and hidden text (zero-width characters, HTML comments, white-on-white text).</w:t>
      </w:r>
    </w:p>
    <w:p>
      <w:pPr>
        <w:spacing w:after="60"/>
        <w:ind w:left="432" w:hanging="360"/>
      </w:pPr>
      <w:r>
        <w:t xml:space="preserve">2.  </w:t>
      </w:r>
      <w:r>
        <w:rPr>
          <w:b/>
        </w:rPr>
        <w:t>Authority comes only from the user and policy</w:t>
      </w:r>
      <w:r>
        <w:t>: tool output can never grant permissions, change recipients, add tools or approve actions. Approval cards make injected actions visible to humans.</w:t>
      </w:r>
    </w:p>
    <w:p>
      <w:pPr>
        <w:spacing w:after="60"/>
        <w:ind w:left="432" w:hanging="360"/>
      </w:pPr>
      <w:r>
        <w:t xml:space="preserve">3.  </w:t>
      </w:r>
      <w:r>
        <w:rPr>
          <w:b/>
        </w:rPr>
        <w:t>Capability containment</w:t>
      </w:r>
      <w:r>
        <w:t>: least-privilege tool sets per agent; separate 'reader' subagents with no write tools to process untrusted content (dual-agent / quarantine pattern); no write tools in agents that browse the open web.</w:t>
      </w:r>
    </w:p>
    <w:p>
      <w:pPr>
        <w:spacing w:after="60"/>
        <w:ind w:left="432" w:hanging="360"/>
      </w:pPr>
      <w:r>
        <w:t xml:space="preserve">4.  </w:t>
      </w:r>
      <w:r>
        <w:rPr>
          <w:b/>
        </w:rPr>
        <w:t>Exfiltration controls</w:t>
      </w:r>
      <w:r>
        <w:t>: egress allowlists; block rendering of model-generated external image/URL links that could leak data; outbound messages to new external recipients always approval-gated.</w:t>
      </w:r>
    </w:p>
    <w:p>
      <w:pPr>
        <w:spacing w:after="60"/>
        <w:ind w:left="432" w:hanging="360"/>
      </w:pPr>
      <w:r>
        <w:t xml:space="preserve">5.  </w:t>
      </w:r>
      <w:r>
        <w:rPr>
          <w:b/>
        </w:rPr>
        <w:t>Detection</w:t>
      </w:r>
      <w:r>
        <w:t>: injection classifiers on retrieved content and tool output (flag, do not silently drop), anomaly detection on tool-call sequences, canary tokens in sensitive collections.</w:t>
      </w:r>
    </w:p>
    <w:p>
      <w:pPr>
        <w:spacing w:after="60"/>
        <w:ind w:left="432" w:hanging="360"/>
      </w:pPr>
      <w:r>
        <w:t xml:space="preserve">6.  </w:t>
      </w:r>
      <w:r>
        <w:rPr>
          <w:b/>
        </w:rPr>
        <w:t>Continuous red-teaming</w:t>
      </w:r>
      <w:r>
        <w:t xml:space="preserve"> with an injection test corpus in the evaluation suite (4.11).</w:t>
      </w:r>
    </w:p>
    <w:p>
      <w:pPr>
        <w:pStyle w:val="Heading3"/>
      </w:pPr>
      <w:r>
        <w:t>PII, data protection and audit</w:t>
      </w:r>
    </w:p>
    <w:p>
      <w:pPr>
        <w:pStyle w:val="ListBullet"/>
      </w:pPr>
      <w:r>
        <w:rPr>
          <w:b/>
        </w:rPr>
        <w:t>PII detection and redaction</w:t>
      </w:r>
      <w:r>
        <w:t xml:space="preserve"> (e.g. Microsoft Presidio with custom recognisers for Aadhaar, PAN, bank account and phone formats) applied to logs, traces, memory writes and evaluation datasets; optional masking of PII before prompts for specific agents.</w:t>
      </w:r>
    </w:p>
    <w:p>
      <w:pPr>
        <w:pStyle w:val="ListBullet"/>
      </w:pPr>
      <w:r>
        <w:rPr>
          <w:b/>
        </w:rPr>
        <w:t>Data classification</w:t>
      </w:r>
      <w:r>
        <w:t xml:space="preserve"> labels flow from sources into chunks, messages and artefacts and drive ABAC, sandbox egress and retention.</w:t>
      </w:r>
    </w:p>
    <w:p>
      <w:pPr>
        <w:pStyle w:val="ListBullet"/>
      </w:pPr>
      <w:r>
        <w:rPr>
          <w:b/>
        </w:rPr>
        <w:t>Audit log</w:t>
      </w:r>
      <w:r>
        <w:t>: append-only, hash-chained events (actor, on-behalf-of user, agent, tool, arguments hash, decision, approver, result summary, data classification), written to a write-once store (object lock) and streamed to the SIEM. Separate access for auditors; administrators cannot alter it.</w:t>
      </w:r>
    </w:p>
    <w:p>
      <w:pPr>
        <w:pStyle w:val="ListBullet"/>
      </w:pPr>
      <w:r>
        <w:rPr>
          <w:b/>
        </w:rPr>
        <w:t>Governance processes</w:t>
      </w:r>
      <w:r>
        <w:t>: agent and tool review board for W2/W3 capabilities; model onboarding checklist (licence, evaluation, safety); periodic access reviews; incident response runbooks for agent misbehaviour (kill switch, revoke tokens, notify).</w:t>
      </w:r>
    </w:p>
    <w:p>
      <w:pPr>
        <w:pStyle w:val="Heading2"/>
      </w:pPr>
      <w:r>
        <w:t>4.11 Observability and evaluation</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629"/>
        <w:gridCol w:w="3492"/>
        <w:gridCol w:w="4191"/>
      </w:tblGrid>
      <w:tr>
        <w:trPr>
          <w:tblHeader w:val="true"/>
        </w:trPr>
        <w:tc>
          <w:tcPr>
            <w:tcW w:type="dxa" w:w="1629"/>
            <w:shd w:val="clear" w:color="auto" w:fill="1F4E79"/>
          </w:tcPr>
          <w:p>
            <w:r/>
            <w:r>
              <w:rPr>
                <w:b/>
                <w:color w:val="FFFFFF"/>
                <w:sz w:val="18"/>
              </w:rPr>
              <w:t>Concern</w:t>
            </w:r>
          </w:p>
        </w:tc>
        <w:tc>
          <w:tcPr>
            <w:tcW w:type="dxa" w:w="3492"/>
            <w:shd w:val="clear" w:color="auto" w:fill="1F4E79"/>
          </w:tcPr>
          <w:p>
            <w:r/>
            <w:r>
              <w:rPr>
                <w:b/>
                <w:color w:val="FFFFFF"/>
                <w:sz w:val="18"/>
              </w:rPr>
              <w:t>Recommended tooling</w:t>
            </w:r>
          </w:p>
        </w:tc>
        <w:tc>
          <w:tcPr>
            <w:tcW w:type="dxa" w:w="4191"/>
            <w:shd w:val="clear" w:color="auto" w:fill="1F4E79"/>
          </w:tcPr>
          <w:p>
            <w:r/>
            <w:r>
              <w:rPr>
                <w:b/>
                <w:color w:val="FFFFFF"/>
                <w:sz w:val="18"/>
              </w:rPr>
              <w:t>What to capture</w:t>
            </w:r>
          </w:p>
        </w:tc>
      </w:tr>
      <w:tr>
        <w:trPr>
          <w:cantSplit w:val="true"/>
        </w:trPr>
        <w:tc>
          <w:tcPr>
            <w:tcW w:type="dxa" w:w="1629"/>
          </w:tcPr>
          <w:p>
            <w:pPr>
              <w:spacing w:after="20" w:line="240" w:lineRule="auto"/>
            </w:pPr>
            <w:r>
              <w:rPr>
                <w:b/>
                <w:sz w:val="18"/>
              </w:rPr>
            </w:r>
            <w:r>
              <w:rPr>
                <w:b/>
                <w:sz w:val="18"/>
              </w:rPr>
              <w:t>Tracing</w:t>
            </w:r>
          </w:p>
        </w:tc>
        <w:tc>
          <w:tcPr>
            <w:tcW w:type="dxa" w:w="3492"/>
          </w:tcPr>
          <w:p>
            <w:pPr>
              <w:spacing w:after="20" w:line="240" w:lineRule="auto"/>
            </w:pPr>
            <w:r>
              <w:rPr>
                <w:sz w:val="18"/>
              </w:rPr>
            </w:r>
            <w:r>
              <w:rPr>
                <w:b/>
                <w:sz w:val="18"/>
              </w:rPr>
              <w:t>OpenTelemetry</w:t>
            </w:r>
            <w:r>
              <w:rPr>
                <w:sz w:val="18"/>
              </w:rPr>
              <w:t xml:space="preserve"> SDKs and Collector (GenAI semantic conventions); backend Grafana Tempo or Jaeger</w:t>
            </w:r>
          </w:p>
        </w:tc>
        <w:tc>
          <w:tcPr>
            <w:tcW w:type="dxa" w:w="4191"/>
          </w:tcPr>
          <w:p>
            <w:pPr>
              <w:spacing w:after="20" w:line="240" w:lineRule="auto"/>
            </w:pPr>
            <w:r>
              <w:rPr>
                <w:sz w:val="18"/>
              </w:rPr>
            </w:r>
            <w:r>
              <w:rPr>
                <w:sz w:val="18"/>
              </w:rPr>
              <w:t>Span per turn, model call, tool call, retrieval, sandbox execution, approval wait; propagate trace IDs through MCP calls.</w:t>
            </w:r>
          </w:p>
        </w:tc>
      </w:tr>
      <w:tr>
        <w:trPr>
          <w:cantSplit w:val="true"/>
        </w:trPr>
        <w:tc>
          <w:tcPr>
            <w:tcW w:type="dxa" w:w="1629"/>
            <w:shd w:val="clear" w:color="auto" w:fill="F2F6FA"/>
          </w:tcPr>
          <w:p>
            <w:pPr>
              <w:spacing w:after="20" w:line="240" w:lineRule="auto"/>
            </w:pPr>
            <w:r>
              <w:rPr>
                <w:b/>
                <w:sz w:val="18"/>
              </w:rPr>
            </w:r>
            <w:r>
              <w:rPr>
                <w:b/>
                <w:sz w:val="18"/>
              </w:rPr>
              <w:t>LLM observability</w:t>
            </w:r>
          </w:p>
        </w:tc>
        <w:tc>
          <w:tcPr>
            <w:tcW w:type="dxa" w:w="3492"/>
            <w:shd w:val="clear" w:color="auto" w:fill="F2F6FA"/>
          </w:tcPr>
          <w:p>
            <w:pPr>
              <w:spacing w:after="20" w:line="240" w:lineRule="auto"/>
            </w:pPr>
            <w:r>
              <w:rPr>
                <w:sz w:val="18"/>
              </w:rPr>
            </w:r>
            <w:r>
              <w:rPr>
                <w:b/>
                <w:sz w:val="18"/>
              </w:rPr>
              <w:t>Langfuse</w:t>
            </w:r>
            <w:r>
              <w:rPr>
                <w:sz w:val="18"/>
              </w:rPr>
              <w:t xml:space="preserve"> (self-hosted; MIT core) or Arize Phoenix</w:t>
            </w:r>
          </w:p>
        </w:tc>
        <w:tc>
          <w:tcPr>
            <w:tcW w:type="dxa" w:w="4191"/>
            <w:shd w:val="clear" w:color="auto" w:fill="F2F6FA"/>
          </w:tcPr>
          <w:p>
            <w:pPr>
              <w:spacing w:after="20" w:line="240" w:lineRule="auto"/>
            </w:pPr>
            <w:r>
              <w:rPr>
                <w:sz w:val="18"/>
              </w:rPr>
            </w:r>
            <w:r>
              <w:rPr>
                <w:sz w:val="18"/>
              </w:rPr>
              <w:t>Prompts, completions, tool I/O (redacted), token counts, latency, cost, user feedback, prompt versions, dataset runs.</w:t>
            </w:r>
          </w:p>
        </w:tc>
      </w:tr>
      <w:tr>
        <w:trPr>
          <w:cantSplit w:val="true"/>
        </w:trPr>
        <w:tc>
          <w:tcPr>
            <w:tcW w:type="dxa" w:w="1629"/>
          </w:tcPr>
          <w:p>
            <w:pPr>
              <w:spacing w:after="20" w:line="240" w:lineRule="auto"/>
            </w:pPr>
            <w:r>
              <w:rPr>
                <w:b/>
                <w:sz w:val="18"/>
              </w:rPr>
            </w:r>
            <w:r>
              <w:rPr>
                <w:b/>
                <w:sz w:val="18"/>
              </w:rPr>
              <w:t>Metrics</w:t>
            </w:r>
          </w:p>
        </w:tc>
        <w:tc>
          <w:tcPr>
            <w:tcW w:type="dxa" w:w="3492"/>
          </w:tcPr>
          <w:p>
            <w:pPr>
              <w:spacing w:after="20" w:line="240" w:lineRule="auto"/>
            </w:pPr>
            <w:r>
              <w:rPr>
                <w:sz w:val="18"/>
              </w:rPr>
            </w:r>
            <w:r>
              <w:rPr>
                <w:sz w:val="18"/>
              </w:rPr>
              <w:t>Prometheus + Grafana; vLLM and DCGM exporters</w:t>
            </w:r>
          </w:p>
        </w:tc>
        <w:tc>
          <w:tcPr>
            <w:tcW w:type="dxa" w:w="4191"/>
          </w:tcPr>
          <w:p>
            <w:pPr>
              <w:spacing w:after="20" w:line="240" w:lineRule="auto"/>
            </w:pPr>
            <w:r>
              <w:rPr>
                <w:sz w:val="18"/>
              </w:rPr>
            </w:r>
            <w:r>
              <w:rPr>
                <w:sz w:val="18"/>
              </w:rPr>
              <w:t>TTFT, tokens/s, queue depth, KV-cache usage, GPU utilisation and memory, batch sizes, error rates, tool latency, approval latency.</w:t>
            </w:r>
          </w:p>
        </w:tc>
      </w:tr>
      <w:tr>
        <w:trPr>
          <w:cantSplit w:val="true"/>
        </w:trPr>
        <w:tc>
          <w:tcPr>
            <w:tcW w:type="dxa" w:w="1629"/>
            <w:shd w:val="clear" w:color="auto" w:fill="F2F6FA"/>
          </w:tcPr>
          <w:p>
            <w:pPr>
              <w:spacing w:after="20" w:line="240" w:lineRule="auto"/>
            </w:pPr>
            <w:r>
              <w:rPr>
                <w:b/>
                <w:sz w:val="18"/>
              </w:rPr>
            </w:r>
            <w:r>
              <w:rPr>
                <w:b/>
                <w:sz w:val="18"/>
              </w:rPr>
              <w:t>Logs</w:t>
            </w:r>
          </w:p>
        </w:tc>
        <w:tc>
          <w:tcPr>
            <w:tcW w:type="dxa" w:w="3492"/>
            <w:shd w:val="clear" w:color="auto" w:fill="F2F6FA"/>
          </w:tcPr>
          <w:p>
            <w:pPr>
              <w:spacing w:after="20" w:line="240" w:lineRule="auto"/>
            </w:pPr>
            <w:r>
              <w:rPr>
                <w:sz w:val="18"/>
              </w:rPr>
            </w:r>
            <w:r>
              <w:rPr>
                <w:sz w:val="18"/>
              </w:rPr>
              <w:t>Loki or OpenSearch; structured JSON with trace IDs</w:t>
            </w:r>
          </w:p>
        </w:tc>
        <w:tc>
          <w:tcPr>
            <w:tcW w:type="dxa" w:w="4191"/>
            <w:shd w:val="clear" w:color="auto" w:fill="F2F6FA"/>
          </w:tcPr>
          <w:p>
            <w:pPr>
              <w:spacing w:after="20" w:line="240" w:lineRule="auto"/>
            </w:pPr>
            <w:r>
              <w:rPr>
                <w:sz w:val="18"/>
              </w:rPr>
            </w:r>
            <w:r>
              <w:rPr>
                <w:sz w:val="18"/>
              </w:rPr>
              <w:t>Service logs with PII redaction.</w:t>
            </w:r>
          </w:p>
        </w:tc>
      </w:tr>
      <w:tr>
        <w:trPr>
          <w:cantSplit w:val="true"/>
        </w:trPr>
        <w:tc>
          <w:tcPr>
            <w:tcW w:type="dxa" w:w="1629"/>
          </w:tcPr>
          <w:p>
            <w:pPr>
              <w:spacing w:after="20" w:line="240" w:lineRule="auto"/>
            </w:pPr>
            <w:r>
              <w:rPr>
                <w:b/>
                <w:sz w:val="18"/>
              </w:rPr>
            </w:r>
            <w:r>
              <w:rPr>
                <w:b/>
                <w:sz w:val="18"/>
              </w:rPr>
              <w:t>Cost metering</w:t>
            </w:r>
          </w:p>
        </w:tc>
        <w:tc>
          <w:tcPr>
            <w:tcW w:type="dxa" w:w="3492"/>
          </w:tcPr>
          <w:p>
            <w:pPr>
              <w:spacing w:after="20" w:line="240" w:lineRule="auto"/>
            </w:pPr>
            <w:r>
              <w:rPr>
                <w:sz w:val="18"/>
              </w:rPr>
            </w:r>
            <w:r>
              <w:rPr>
                <w:sz w:val="18"/>
              </w:rPr>
              <w:t>Gateway metering + GPU-seconds per namespace (e.g. OpenCost)</w:t>
            </w:r>
          </w:p>
        </w:tc>
        <w:tc>
          <w:tcPr>
            <w:tcW w:type="dxa" w:w="4191"/>
          </w:tcPr>
          <w:p>
            <w:pPr>
              <w:spacing w:after="20" w:line="240" w:lineRule="auto"/>
            </w:pPr>
            <w:r>
              <w:rPr>
                <w:sz w:val="18"/>
              </w:rPr>
            </w:r>
            <w:r>
              <w:rPr>
                <w:sz w:val="18"/>
              </w:rPr>
              <w:t>Tokens and GPU-time per tenant, team, agent, routine and user; showback/chargeback dashboards and budget alerts.</w:t>
            </w:r>
          </w:p>
        </w:tc>
      </w:tr>
      <w:tr>
        <w:trPr>
          <w:cantSplit w:val="true"/>
        </w:trPr>
        <w:tc>
          <w:tcPr>
            <w:tcW w:type="dxa" w:w="1629"/>
            <w:shd w:val="clear" w:color="auto" w:fill="F2F6FA"/>
          </w:tcPr>
          <w:p>
            <w:pPr>
              <w:spacing w:after="20" w:line="240" w:lineRule="auto"/>
            </w:pPr>
            <w:r>
              <w:rPr>
                <w:b/>
                <w:sz w:val="18"/>
              </w:rPr>
            </w:r>
            <w:r>
              <w:rPr>
                <w:b/>
                <w:sz w:val="18"/>
              </w:rPr>
              <w:t>Evaluation harness</w:t>
            </w:r>
          </w:p>
        </w:tc>
        <w:tc>
          <w:tcPr>
            <w:tcW w:type="dxa" w:w="3492"/>
            <w:shd w:val="clear" w:color="auto" w:fill="F2F6FA"/>
          </w:tcPr>
          <w:p>
            <w:pPr>
              <w:spacing w:after="20" w:line="240" w:lineRule="auto"/>
            </w:pPr>
            <w:r>
              <w:rPr>
                <w:sz w:val="18"/>
              </w:rPr>
            </w:r>
            <w:r>
              <w:rPr>
                <w:sz w:val="18"/>
              </w:rPr>
              <w:t>Langfuse datasets, promptfoo, Inspect, DeepEval, RAGAS; tool-calling suites (e.g. BFCL-style, tau-bench-style, MCP-based benchmarks) adapted to internal tools</w:t>
            </w:r>
          </w:p>
        </w:tc>
        <w:tc>
          <w:tcPr>
            <w:tcW w:type="dxa" w:w="4191"/>
            <w:shd w:val="clear" w:color="auto" w:fill="F2F6FA"/>
          </w:tcPr>
          <w:p>
            <w:pPr>
              <w:spacing w:after="20" w:line="240" w:lineRule="auto"/>
            </w:pPr>
            <w:r>
              <w:rPr>
                <w:sz w:val="18"/>
              </w:rPr>
            </w:r>
            <w:r>
              <w:rPr>
                <w:sz w:val="18"/>
              </w:rPr>
              <w:t>Task success, tool-selection accuracy, argument validity, groundedness and citation accuracy, SQL execution accuracy, refusal correctness, latency and cost per task.</w:t>
            </w:r>
          </w:p>
        </w:tc>
      </w:tr>
      <w:tr>
        <w:trPr>
          <w:cantSplit w:val="true"/>
        </w:trPr>
        <w:tc>
          <w:tcPr>
            <w:tcW w:type="dxa" w:w="1629"/>
          </w:tcPr>
          <w:p>
            <w:pPr>
              <w:spacing w:after="20" w:line="240" w:lineRule="auto"/>
            </w:pPr>
            <w:r>
              <w:rPr>
                <w:b/>
                <w:sz w:val="18"/>
              </w:rPr>
            </w:r>
            <w:r>
              <w:rPr>
                <w:b/>
                <w:sz w:val="18"/>
              </w:rPr>
              <w:t>Red-teaming</w:t>
            </w:r>
          </w:p>
        </w:tc>
        <w:tc>
          <w:tcPr>
            <w:tcW w:type="dxa" w:w="3492"/>
          </w:tcPr>
          <w:p>
            <w:pPr>
              <w:spacing w:after="20" w:line="240" w:lineRule="auto"/>
            </w:pPr>
            <w:r>
              <w:rPr>
                <w:sz w:val="18"/>
              </w:rPr>
            </w:r>
            <w:r>
              <w:rPr>
                <w:sz w:val="18"/>
              </w:rPr>
              <w:t>garak, PyRIT, promptfoo red-team plugins; internal adversarial corpus</w:t>
            </w:r>
          </w:p>
        </w:tc>
        <w:tc>
          <w:tcPr>
            <w:tcW w:type="dxa" w:w="4191"/>
          </w:tcPr>
          <w:p>
            <w:pPr>
              <w:spacing w:after="20" w:line="240" w:lineRule="auto"/>
            </w:pPr>
            <w:r>
              <w:rPr>
                <w:sz w:val="18"/>
              </w:rPr>
            </w:r>
            <w:r>
              <w:rPr>
                <w:sz w:val="18"/>
              </w:rPr>
              <w:t>Prompt injection via documents/web/email, data exfiltration attempts, privilege escalation, jailbreaks, harmful content.</w:t>
            </w:r>
          </w:p>
        </w:tc>
      </w:tr>
    </w:tbl>
    <w:p>
      <w:pPr>
        <w:spacing w:after="80"/>
      </w:pPr>
    </w:p>
    <w:p>
      <w:pPr>
        <w:pStyle w:val="ListBullet"/>
      </w:pPr>
      <w:r>
        <w:rPr>
          <w:b/>
        </w:rPr>
        <w:t>Evaluation gates</w:t>
      </w:r>
      <w:r>
        <w:t>: every change to a model, prompt, agent configuration or tool description runs the regression suite in CI; promotion requires no statistically significant regression on key metrics.</w:t>
      </w:r>
    </w:p>
    <w:p>
      <w:pPr>
        <w:pStyle w:val="ListBullet"/>
      </w:pPr>
      <w:r>
        <w:rPr>
          <w:b/>
        </w:rPr>
        <w:t>Golden datasets</w:t>
      </w:r>
      <w:r>
        <w:t xml:space="preserve"> per agent and domain, built from pilot conversations (with consent and redaction) and expert-written cases; refreshed quarterly.</w:t>
      </w:r>
    </w:p>
    <w:p>
      <w:pPr>
        <w:pStyle w:val="ListBullet"/>
      </w:pPr>
      <w:r>
        <w:rPr>
          <w:b/>
        </w:rPr>
        <w:t>Online evaluation</w:t>
      </w:r>
      <w:r>
        <w:t>: user feedback (thumbs, corrections), LLM-as-judge sampling on the fast or reasoning tier with periodic human calibration, and drift monitoring.</w:t>
      </w:r>
    </w:p>
    <w:p>
      <w:pPr>
        <w:sectPr>
          <w:headerReference w:type="default" r:id="rId9"/>
          <w:footerReference w:type="default" r:id="rId10"/>
          <w:pgSz w:w="11906" w:h="16838"/>
          <w:pgMar w:top="1296" w:right="1296" w:bottom="1152" w:left="1296" w:header="720" w:footer="720" w:gutter="0"/>
          <w:cols w:space="720"/>
          <w:titlePg/>
          <w:docGrid w:linePitch="360"/>
        </w:sectPr>
      </w:pPr>
    </w:p>
    <w:p>
      <w:pPr>
        <w:pStyle w:val="Heading1"/>
      </w:pPr>
      <w:r>
        <w:t>5. Key Sequence Flows</w:t>
      </w:r>
    </w:p>
    <w:p>
      <w:pPr>
        <w:pStyle w:val="Heading2"/>
      </w:pPr>
      <w:r>
        <w:t>5.1 User chat turn with tool calls</w:t>
      </w:r>
    </w:p>
    <w:p>
      <w:r>
        <w:t>A user asks for a summary of last week's P1 incidents with an MTTR chart. The orchestrator recalls memory, calls the reasoning model, executes a ticketing tool with the user's delegated token, runs Python in the session sandbox to chart the data, and streams the answer with the chart attached.</w:t>
      </w:r>
    </w:p>
    <w:p>
      <w:pPr>
        <w:keepNext/>
        <w:spacing w:after="40"/>
        <w:jc w:val="center"/>
      </w:pPr>
      <w:r>
        <w:drawing>
          <wp:inline xmlns:a="http://schemas.openxmlformats.org/drawingml/2006/main" xmlns:pic="http://schemas.openxmlformats.org/drawingml/2006/picture">
            <wp:extent cx="7071516" cy="4206240"/>
            <wp:docPr id="3" name="Picture 3"/>
            <wp:cNvGraphicFramePr>
              <a:graphicFrameLocks noChangeAspect="1"/>
            </wp:cNvGraphicFramePr>
            <a:graphic>
              <a:graphicData uri="http://schemas.openxmlformats.org/drawingml/2006/picture">
                <pic:pic>
                  <pic:nvPicPr>
                    <pic:cNvPr id="0" name="d2_chat_turn.png"/>
                    <pic:cNvPicPr/>
                  </pic:nvPicPr>
                  <pic:blipFill>
                    <a:blip r:embed="rId14"/>
                    <a:stretch>
                      <a:fillRect/>
                    </a:stretch>
                  </pic:blipFill>
                  <pic:spPr>
                    <a:xfrm>
                      <a:off x="0" y="0"/>
                      <a:ext cx="7071516" cy="4206240"/>
                    </a:xfrm>
                    <a:prstGeom prst="rect"/>
                  </pic:spPr>
                </pic:pic>
              </a:graphicData>
            </a:graphic>
          </wp:inline>
        </w:drawing>
      </w:r>
    </w:p>
    <w:p>
      <w:pPr>
        <w:spacing w:after="160"/>
        <w:jc w:val="center"/>
      </w:pPr>
      <w:r>
        <w:rPr>
          <w:i/>
          <w:color w:val="595959"/>
          <w:sz w:val="18"/>
        </w:rPr>
        <w:t>Figure 3: Chat turn with policy-checked tool calls and sandbox execution</w:t>
      </w:r>
    </w:p>
    <w:p>
      <w:pPr>
        <w:pStyle w:val="Heading2"/>
        <w:pageBreakBefore/>
      </w:pPr>
      <w:r>
        <w:t>5.2 RAG query with ACL filtering</w:t>
      </w:r>
    </w:p>
    <w:p>
      <w:r>
        <w:t>The knowledge service resolves the caller's principals from the verified identity, applies them as a mandatory filter inside the hybrid search, reranks the candidates and, for sensitive collections, re-verifies permissions at the source before returning cited chunks.</w:t>
      </w:r>
    </w:p>
    <w:p>
      <w:pPr>
        <w:keepNext/>
        <w:spacing w:after="40"/>
        <w:jc w:val="center"/>
      </w:pPr>
      <w:r>
        <w:drawing>
          <wp:inline xmlns:a="http://schemas.openxmlformats.org/drawingml/2006/main" xmlns:pic="http://schemas.openxmlformats.org/drawingml/2006/picture">
            <wp:extent cx="6179348" cy="4206239"/>
            <wp:docPr id="4" name="Picture 4"/>
            <wp:cNvGraphicFramePr>
              <a:graphicFrameLocks noChangeAspect="1"/>
            </wp:cNvGraphicFramePr>
            <a:graphic>
              <a:graphicData uri="http://schemas.openxmlformats.org/drawingml/2006/picture">
                <pic:pic>
                  <pic:nvPicPr>
                    <pic:cNvPr id="0" name="d3_rag_acl.png"/>
                    <pic:cNvPicPr/>
                  </pic:nvPicPr>
                  <pic:blipFill>
                    <a:blip r:embed="rId15"/>
                    <a:stretch>
                      <a:fillRect/>
                    </a:stretch>
                  </pic:blipFill>
                  <pic:spPr>
                    <a:xfrm>
                      <a:off x="0" y="0"/>
                      <a:ext cx="6179348" cy="4206239"/>
                    </a:xfrm>
                    <a:prstGeom prst="rect"/>
                  </pic:spPr>
                </pic:pic>
              </a:graphicData>
            </a:graphic>
          </wp:inline>
        </w:drawing>
      </w:r>
    </w:p>
    <w:p>
      <w:pPr>
        <w:spacing w:after="160"/>
        <w:jc w:val="center"/>
      </w:pPr>
      <w:r>
        <w:rPr>
          <w:i/>
          <w:color w:val="595959"/>
          <w:sz w:val="18"/>
        </w:rPr>
        <w:t>Figure 4: Retrieval with document-level ACL enforcement</w:t>
      </w:r>
    </w:p>
    <w:p>
      <w:pPr>
        <w:pStyle w:val="Heading2"/>
        <w:pageBreakBefore/>
      </w:pPr>
      <w:r>
        <w:t>5.3 Scheduled routine run</w:t>
      </w:r>
    </w:p>
    <w:p>
      <w:r>
        <w:t>A Temporal Schedule (or an event) starts a routine workflow. The workflow obtains short-lived delegated credentials for the routine owner, runs the agent with a budget, and delivers results, either directly (pre-approved delivery) or after an approval.</w:t>
      </w:r>
    </w:p>
    <w:p>
      <w:pPr>
        <w:keepNext/>
        <w:spacing w:after="40"/>
        <w:jc w:val="center"/>
      </w:pPr>
      <w:r>
        <w:drawing>
          <wp:inline xmlns:a="http://schemas.openxmlformats.org/drawingml/2006/main" xmlns:pic="http://schemas.openxmlformats.org/drawingml/2006/picture">
            <wp:extent cx="6527919" cy="4206240"/>
            <wp:docPr id="5" name="Picture 5"/>
            <wp:cNvGraphicFramePr>
              <a:graphicFrameLocks noChangeAspect="1"/>
            </wp:cNvGraphicFramePr>
            <a:graphic>
              <a:graphicData uri="http://schemas.openxmlformats.org/drawingml/2006/picture">
                <pic:pic>
                  <pic:nvPicPr>
                    <pic:cNvPr id="0" name="d4_routine.png"/>
                    <pic:cNvPicPr/>
                  </pic:nvPicPr>
                  <pic:blipFill>
                    <a:blip r:embed="rId16"/>
                    <a:stretch>
                      <a:fillRect/>
                    </a:stretch>
                  </pic:blipFill>
                  <pic:spPr>
                    <a:xfrm>
                      <a:off x="0" y="0"/>
                      <a:ext cx="6527919" cy="4206240"/>
                    </a:xfrm>
                    <a:prstGeom prst="rect"/>
                  </pic:spPr>
                </pic:pic>
              </a:graphicData>
            </a:graphic>
          </wp:inline>
        </w:drawing>
      </w:r>
    </w:p>
    <w:p>
      <w:pPr>
        <w:spacing w:after="160"/>
        <w:jc w:val="center"/>
      </w:pPr>
      <w:r>
        <w:rPr>
          <w:i/>
          <w:color w:val="595959"/>
          <w:sz w:val="18"/>
        </w:rPr>
        <w:t>Figure 5: Scheduled or event-driven routine execution</w:t>
      </w:r>
    </w:p>
    <w:p>
      <w:pPr>
        <w:pStyle w:val="Heading2"/>
        <w:pageBreakBefore/>
      </w:pPr>
      <w:r>
        <w:t>5.4 Approval-gated write action</w:t>
      </w:r>
    </w:p>
    <w:p>
      <w:r>
        <w:t>A policy decision returns require_approval for a production write. The workflow durably waits for a signal; the approver sees the exact arguments and preview; the execution verifies the argument hash before calling the tool, and both decision and outcome are audited.</w:t>
      </w:r>
    </w:p>
    <w:p>
      <w:pPr>
        <w:keepNext/>
        <w:spacing w:after="40"/>
        <w:jc w:val="center"/>
      </w:pPr>
      <w:r>
        <w:drawing>
          <wp:inline xmlns:a="http://schemas.openxmlformats.org/drawingml/2006/main" xmlns:pic="http://schemas.openxmlformats.org/drawingml/2006/picture">
            <wp:extent cx="7184926" cy="4206240"/>
            <wp:docPr id="6" name="Picture 6"/>
            <wp:cNvGraphicFramePr>
              <a:graphicFrameLocks noChangeAspect="1"/>
            </wp:cNvGraphicFramePr>
            <a:graphic>
              <a:graphicData uri="http://schemas.openxmlformats.org/drawingml/2006/picture">
                <pic:pic>
                  <pic:nvPicPr>
                    <pic:cNvPr id="0" name="d5_approval.png"/>
                    <pic:cNvPicPr/>
                  </pic:nvPicPr>
                  <pic:blipFill>
                    <a:blip r:embed="rId17"/>
                    <a:stretch>
                      <a:fillRect/>
                    </a:stretch>
                  </pic:blipFill>
                  <pic:spPr>
                    <a:xfrm>
                      <a:off x="0" y="0"/>
                      <a:ext cx="7184926" cy="4206240"/>
                    </a:xfrm>
                    <a:prstGeom prst="rect"/>
                  </pic:spPr>
                </pic:pic>
              </a:graphicData>
            </a:graphic>
          </wp:inline>
        </w:drawing>
      </w:r>
    </w:p>
    <w:p>
      <w:pPr>
        <w:spacing w:after="160"/>
        <w:jc w:val="center"/>
      </w:pPr>
      <w:r>
        <w:rPr>
          <w:i/>
          <w:color w:val="595959"/>
          <w:sz w:val="18"/>
        </w:rPr>
        <w:t>Figure 6: Human-in-the-loop approval for a risky write</w:t>
      </w:r>
    </w:p>
    <w:p>
      <w:pPr>
        <w:sectPr>
          <w:footerReference w:type="default" r:id="rId13"/>
          <w:pgSz w:w="16838" w:h="11906" w:orient="landscape"/>
          <w:pgMar w:top="1296" w:right="1296" w:bottom="1152" w:left="1296" w:header="720" w:footer="720" w:gutter="0"/>
          <w:cols w:space="720"/>
          <w:docGrid w:linePitch="360"/>
        </w:sectPr>
      </w:pPr>
    </w:p>
    <w:p>
      <w:pPr>
        <w:pStyle w:val="Heading1"/>
      </w:pPr>
      <w:r>
        <w:t>6. Data Model Overview</w:t>
      </w:r>
    </w:p>
    <w:p>
      <w:r>
        <w:t>The core relational model lives in PostgreSQL (one logical database per environment, tenant ID on every row with row-level security as defence in depth). Large payloads (tool results, files, screenshots) are stored in the object store and referenced by URI. Vector embeddings for memory live in pgvector; document chunks live in the RAG index.</w:t>
      </w:r>
    </w:p>
    <w:p>
      <w:pPr>
        <w:keepNext/>
        <w:spacing w:after="40"/>
        <w:jc w:val="center"/>
      </w:pPr>
      <w:r>
        <w:drawing>
          <wp:inline xmlns:a="http://schemas.openxmlformats.org/drawingml/2006/main" xmlns:pic="http://schemas.openxmlformats.org/drawingml/2006/picture">
            <wp:extent cx="4825777" cy="7589519"/>
            <wp:docPr id="7" name="Picture 7"/>
            <wp:cNvGraphicFramePr>
              <a:graphicFrameLocks noChangeAspect="1"/>
            </wp:cNvGraphicFramePr>
            <a:graphic>
              <a:graphicData uri="http://schemas.openxmlformats.org/drawingml/2006/picture">
                <pic:pic>
                  <pic:nvPicPr>
                    <pic:cNvPr id="0" name="d6_datamodel.png"/>
                    <pic:cNvPicPr/>
                  </pic:nvPicPr>
                  <pic:blipFill>
                    <a:blip r:embed="rId19"/>
                    <a:stretch>
                      <a:fillRect/>
                    </a:stretch>
                  </pic:blipFill>
                  <pic:spPr>
                    <a:xfrm>
                      <a:off x="0" y="0"/>
                      <a:ext cx="4825777" cy="7589519"/>
                    </a:xfrm>
                    <a:prstGeom prst="rect"/>
                  </pic:spPr>
                </pic:pic>
              </a:graphicData>
            </a:graphic>
          </wp:inline>
        </w:drawing>
      </w:r>
    </w:p>
    <w:p>
      <w:pPr>
        <w:spacing w:after="160"/>
        <w:jc w:val="center"/>
      </w:pPr>
      <w:r>
        <w:rPr>
          <w:i/>
          <w:color w:val="595959"/>
          <w:sz w:val="18"/>
        </w:rPr>
        <w:t>Figure 7: Core entities and relationships (simplified)</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746"/>
        <w:gridCol w:w="2677"/>
        <w:gridCol w:w="4889"/>
      </w:tblGrid>
      <w:tr>
        <w:trPr>
          <w:tblHeader w:val="true"/>
        </w:trPr>
        <w:tc>
          <w:tcPr>
            <w:tcW w:type="dxa" w:w="1746"/>
            <w:shd w:val="clear" w:color="auto" w:fill="1F4E79"/>
          </w:tcPr>
          <w:p>
            <w:r/>
            <w:r>
              <w:rPr>
                <w:b/>
                <w:color w:val="FFFFFF"/>
                <w:sz w:val="18"/>
              </w:rPr>
              <w:t>Entity</w:t>
            </w:r>
          </w:p>
        </w:tc>
        <w:tc>
          <w:tcPr>
            <w:tcW w:type="dxa" w:w="2677"/>
            <w:shd w:val="clear" w:color="auto" w:fill="1F4E79"/>
          </w:tcPr>
          <w:p>
            <w:r/>
            <w:r>
              <w:rPr>
                <w:b/>
                <w:color w:val="FFFFFF"/>
                <w:sz w:val="18"/>
              </w:rPr>
              <w:t>Purpose</w:t>
            </w:r>
          </w:p>
        </w:tc>
        <w:tc>
          <w:tcPr>
            <w:tcW w:type="dxa" w:w="4889"/>
            <w:shd w:val="clear" w:color="auto" w:fill="1F4E79"/>
          </w:tcPr>
          <w:p>
            <w:r/>
            <w:r>
              <w:rPr>
                <w:b/>
                <w:color w:val="FFFFFF"/>
                <w:sz w:val="18"/>
              </w:rPr>
              <w:t>Key attributes / notes</w:t>
            </w:r>
          </w:p>
        </w:tc>
      </w:tr>
      <w:tr>
        <w:trPr>
          <w:cantSplit w:val="true"/>
        </w:trPr>
        <w:tc>
          <w:tcPr>
            <w:tcW w:type="dxa" w:w="1746"/>
          </w:tcPr>
          <w:p>
            <w:pPr>
              <w:spacing w:after="20" w:line="240" w:lineRule="auto"/>
            </w:pPr>
            <w:r>
              <w:rPr>
                <w:b/>
                <w:sz w:val="18"/>
              </w:rPr>
            </w:r>
            <w:r>
              <w:rPr>
                <w:b/>
                <w:sz w:val="18"/>
              </w:rPr>
              <w:t>Tenant</w:t>
            </w:r>
          </w:p>
        </w:tc>
        <w:tc>
          <w:tcPr>
            <w:tcW w:type="dxa" w:w="2677"/>
          </w:tcPr>
          <w:p>
            <w:pPr>
              <w:spacing w:after="20" w:line="240" w:lineRule="auto"/>
            </w:pPr>
            <w:r>
              <w:rPr>
                <w:sz w:val="18"/>
              </w:rPr>
            </w:r>
            <w:r>
              <w:rPr>
                <w:sz w:val="18"/>
              </w:rPr>
              <w:t>Business unit or subsidiary boundary</w:t>
            </w:r>
          </w:p>
        </w:tc>
        <w:tc>
          <w:tcPr>
            <w:tcW w:type="dxa" w:w="4889"/>
          </w:tcPr>
          <w:p>
            <w:pPr>
              <w:spacing w:after="20" w:line="240" w:lineRule="auto"/>
            </w:pPr>
            <w:r>
              <w:rPr>
                <w:sz w:val="18"/>
              </w:rPr>
            </w:r>
            <w:r>
              <w:rPr>
                <w:sz w:val="18"/>
              </w:rPr>
              <w:t>Policies, quotas, encryption key reference, data residency tag.</w:t>
            </w:r>
          </w:p>
        </w:tc>
      </w:tr>
      <w:tr>
        <w:trPr>
          <w:cantSplit w:val="true"/>
        </w:trPr>
        <w:tc>
          <w:tcPr>
            <w:tcW w:type="dxa" w:w="1746"/>
            <w:shd w:val="clear" w:color="auto" w:fill="F2F6FA"/>
          </w:tcPr>
          <w:p>
            <w:pPr>
              <w:spacing w:after="20" w:line="240" w:lineRule="auto"/>
            </w:pPr>
            <w:r>
              <w:rPr>
                <w:b/>
                <w:sz w:val="18"/>
              </w:rPr>
            </w:r>
            <w:r>
              <w:rPr>
                <w:b/>
                <w:sz w:val="18"/>
              </w:rPr>
              <w:t>User</w:t>
            </w:r>
          </w:p>
        </w:tc>
        <w:tc>
          <w:tcPr>
            <w:tcW w:type="dxa" w:w="2677"/>
            <w:shd w:val="clear" w:color="auto" w:fill="F2F6FA"/>
          </w:tcPr>
          <w:p>
            <w:pPr>
              <w:spacing w:after="20" w:line="240" w:lineRule="auto"/>
            </w:pPr>
            <w:r>
              <w:rPr>
                <w:sz w:val="18"/>
              </w:rPr>
            </w:r>
            <w:r>
              <w:rPr>
                <w:sz w:val="18"/>
              </w:rPr>
              <w:t>Human principal (from IdP via SCIM)</w:t>
            </w:r>
          </w:p>
        </w:tc>
        <w:tc>
          <w:tcPr>
            <w:tcW w:type="dxa" w:w="4889"/>
            <w:shd w:val="clear" w:color="auto" w:fill="F2F6FA"/>
          </w:tcPr>
          <w:p>
            <w:pPr>
              <w:spacing w:after="20" w:line="240" w:lineRule="auto"/>
            </w:pPr>
            <w:r>
              <w:rPr>
                <w:sz w:val="18"/>
              </w:rPr>
            </w:r>
            <w:r>
              <w:rPr>
                <w:sz w:val="18"/>
              </w:rPr>
              <w:t>IdP subject, email, groups (cached), attributes for ABAC, status.</w:t>
            </w:r>
          </w:p>
        </w:tc>
      </w:tr>
      <w:tr>
        <w:trPr>
          <w:cantSplit w:val="true"/>
        </w:trPr>
        <w:tc>
          <w:tcPr>
            <w:tcW w:type="dxa" w:w="1746"/>
          </w:tcPr>
          <w:p>
            <w:pPr>
              <w:spacing w:after="20" w:line="240" w:lineRule="auto"/>
            </w:pPr>
            <w:r>
              <w:rPr>
                <w:b/>
                <w:sz w:val="18"/>
              </w:rPr>
            </w:r>
            <w:r>
              <w:rPr>
                <w:b/>
                <w:sz w:val="18"/>
              </w:rPr>
              <w:t>Agent</w:t>
            </w:r>
          </w:p>
        </w:tc>
        <w:tc>
          <w:tcPr>
            <w:tcW w:type="dxa" w:w="2677"/>
          </w:tcPr>
          <w:p>
            <w:pPr>
              <w:spacing w:after="20" w:line="240" w:lineRule="auto"/>
            </w:pPr>
            <w:r>
              <w:rPr>
                <w:sz w:val="18"/>
              </w:rPr>
            </w:r>
            <w:r>
              <w:rPr>
                <w:sz w:val="18"/>
              </w:rPr>
              <w:t>Configured assistant</w:t>
            </w:r>
          </w:p>
        </w:tc>
        <w:tc>
          <w:tcPr>
            <w:tcW w:type="dxa" w:w="4889"/>
          </w:tcPr>
          <w:p>
            <w:pPr>
              <w:spacing w:after="20" w:line="240" w:lineRule="auto"/>
            </w:pPr>
            <w:r>
              <w:rPr>
                <w:sz w:val="18"/>
              </w:rPr>
            </w:r>
            <w:r>
              <w:rPr>
                <w:sz w:val="18"/>
              </w:rPr>
              <w:t>Versioned instructions, default model alias, tool grants (pinned versions), knowledge collections, policy, owner, risk tier.</w:t>
            </w:r>
          </w:p>
        </w:tc>
      </w:tr>
      <w:tr>
        <w:trPr>
          <w:cantSplit w:val="true"/>
        </w:trPr>
        <w:tc>
          <w:tcPr>
            <w:tcW w:type="dxa" w:w="1746"/>
            <w:shd w:val="clear" w:color="auto" w:fill="F2F6FA"/>
          </w:tcPr>
          <w:p>
            <w:pPr>
              <w:spacing w:after="20" w:line="240" w:lineRule="auto"/>
            </w:pPr>
            <w:r>
              <w:rPr>
                <w:b/>
                <w:sz w:val="18"/>
              </w:rPr>
            </w:r>
            <w:r>
              <w:rPr>
                <w:b/>
                <w:sz w:val="18"/>
              </w:rPr>
              <w:t>Conversation</w:t>
            </w:r>
          </w:p>
        </w:tc>
        <w:tc>
          <w:tcPr>
            <w:tcW w:type="dxa" w:w="2677"/>
            <w:shd w:val="clear" w:color="auto" w:fill="F2F6FA"/>
          </w:tcPr>
          <w:p>
            <w:pPr>
              <w:spacing w:after="20" w:line="240" w:lineRule="auto"/>
            </w:pPr>
            <w:r>
              <w:rPr>
                <w:sz w:val="18"/>
              </w:rPr>
            </w:r>
            <w:r>
              <w:rPr>
                <w:sz w:val="18"/>
              </w:rPr>
              <w:t>Thread between a user and an agent</w:t>
            </w:r>
          </w:p>
        </w:tc>
        <w:tc>
          <w:tcPr>
            <w:tcW w:type="dxa" w:w="4889"/>
            <w:shd w:val="clear" w:color="auto" w:fill="F2F6FA"/>
          </w:tcPr>
          <w:p>
            <w:pPr>
              <w:spacing w:after="20" w:line="240" w:lineRule="auto"/>
            </w:pPr>
            <w:r>
              <w:rPr>
                <w:sz w:val="18"/>
              </w:rPr>
            </w:r>
            <w:r>
              <w:rPr>
                <w:sz w:val="18"/>
              </w:rPr>
              <w:t>Channel, rolling summary, status, retention class, sharing ACL.</w:t>
            </w:r>
          </w:p>
        </w:tc>
      </w:tr>
      <w:tr>
        <w:trPr>
          <w:cantSplit w:val="true"/>
        </w:trPr>
        <w:tc>
          <w:tcPr>
            <w:tcW w:type="dxa" w:w="1746"/>
          </w:tcPr>
          <w:p>
            <w:pPr>
              <w:spacing w:after="20" w:line="240" w:lineRule="auto"/>
            </w:pPr>
            <w:r>
              <w:rPr>
                <w:b/>
                <w:sz w:val="18"/>
              </w:rPr>
            </w:r>
            <w:r>
              <w:rPr>
                <w:b/>
                <w:sz w:val="18"/>
              </w:rPr>
              <w:t>Message</w:t>
            </w:r>
          </w:p>
        </w:tc>
        <w:tc>
          <w:tcPr>
            <w:tcW w:type="dxa" w:w="2677"/>
          </w:tcPr>
          <w:p>
            <w:pPr>
              <w:spacing w:after="20" w:line="240" w:lineRule="auto"/>
            </w:pPr>
            <w:r>
              <w:rPr>
                <w:sz w:val="18"/>
              </w:rPr>
            </w:r>
            <w:r>
              <w:rPr>
                <w:sz w:val="18"/>
              </w:rPr>
              <w:t>Turn content</w:t>
            </w:r>
          </w:p>
        </w:tc>
        <w:tc>
          <w:tcPr>
            <w:tcW w:type="dxa" w:w="4889"/>
          </w:tcPr>
          <w:p>
            <w:pPr>
              <w:spacing w:after="20" w:line="240" w:lineRule="auto"/>
            </w:pPr>
            <w:r>
              <w:rPr>
                <w:sz w:val="18"/>
              </w:rPr>
            </w:r>
            <w:r>
              <w:rPr>
                <w:sz w:val="18"/>
              </w:rPr>
              <w:t>Role, content parts (text, images, file refs), token usage, model, trace ID.</w:t>
            </w:r>
          </w:p>
        </w:tc>
      </w:tr>
      <w:tr>
        <w:trPr>
          <w:cantSplit w:val="true"/>
        </w:trPr>
        <w:tc>
          <w:tcPr>
            <w:tcW w:type="dxa" w:w="1746"/>
            <w:shd w:val="clear" w:color="auto" w:fill="F2F6FA"/>
          </w:tcPr>
          <w:p>
            <w:pPr>
              <w:spacing w:after="20" w:line="240" w:lineRule="auto"/>
            </w:pPr>
            <w:r>
              <w:rPr>
                <w:b/>
                <w:sz w:val="18"/>
              </w:rPr>
            </w:r>
            <w:r>
              <w:rPr>
                <w:b/>
                <w:sz w:val="18"/>
              </w:rPr>
              <w:t>Tool / ToolVersion</w:t>
            </w:r>
          </w:p>
        </w:tc>
        <w:tc>
          <w:tcPr>
            <w:tcW w:type="dxa" w:w="2677"/>
            <w:shd w:val="clear" w:color="auto" w:fill="F2F6FA"/>
          </w:tcPr>
          <w:p>
            <w:pPr>
              <w:spacing w:after="20" w:line="240" w:lineRule="auto"/>
            </w:pPr>
            <w:r>
              <w:rPr>
                <w:sz w:val="18"/>
              </w:rPr>
            </w:r>
            <w:r>
              <w:rPr>
                <w:sz w:val="18"/>
              </w:rPr>
              <w:t>Registered capability</w:t>
            </w:r>
          </w:p>
        </w:tc>
        <w:tc>
          <w:tcPr>
            <w:tcW w:type="dxa" w:w="4889"/>
            <w:shd w:val="clear" w:color="auto" w:fill="F2F6FA"/>
          </w:tcPr>
          <w:p>
            <w:pPr>
              <w:spacing w:after="20" w:line="240" w:lineRule="auto"/>
            </w:pPr>
            <w:r>
              <w:rPr>
                <w:sz w:val="18"/>
              </w:rPr>
            </w:r>
            <w:r>
              <w:rPr>
                <w:sz w:val="18"/>
              </w:rPr>
              <w:t>MCP server, schema, description hash, risk class, scopes, owner, status.</w:t>
            </w:r>
          </w:p>
        </w:tc>
      </w:tr>
      <w:tr>
        <w:trPr>
          <w:cantSplit w:val="true"/>
        </w:trPr>
        <w:tc>
          <w:tcPr>
            <w:tcW w:type="dxa" w:w="1746"/>
          </w:tcPr>
          <w:p>
            <w:pPr>
              <w:spacing w:after="20" w:line="240" w:lineRule="auto"/>
            </w:pPr>
            <w:r>
              <w:rPr>
                <w:b/>
                <w:sz w:val="18"/>
              </w:rPr>
            </w:r>
            <w:r>
              <w:rPr>
                <w:b/>
                <w:sz w:val="18"/>
              </w:rPr>
              <w:t>ToolCall</w:t>
            </w:r>
          </w:p>
        </w:tc>
        <w:tc>
          <w:tcPr>
            <w:tcW w:type="dxa" w:w="2677"/>
          </w:tcPr>
          <w:p>
            <w:pPr>
              <w:spacing w:after="20" w:line="240" w:lineRule="auto"/>
            </w:pPr>
            <w:r>
              <w:rPr>
                <w:sz w:val="18"/>
              </w:rPr>
            </w:r>
            <w:r>
              <w:rPr>
                <w:sz w:val="18"/>
              </w:rPr>
              <w:t>One invocation</w:t>
            </w:r>
          </w:p>
        </w:tc>
        <w:tc>
          <w:tcPr>
            <w:tcW w:type="dxa" w:w="4889"/>
          </w:tcPr>
          <w:p>
            <w:pPr>
              <w:spacing w:after="20" w:line="240" w:lineRule="auto"/>
            </w:pPr>
            <w:r>
              <w:rPr>
                <w:sz w:val="18"/>
              </w:rPr>
            </w:r>
            <w:r>
              <w:rPr>
                <w:sz w:val="18"/>
              </w:rPr>
              <w:t>Arguments (redacted copy), args hash, policy decision, status, latency, result reference.</w:t>
            </w:r>
          </w:p>
        </w:tc>
      </w:tr>
      <w:tr>
        <w:trPr>
          <w:cantSplit w:val="true"/>
        </w:trPr>
        <w:tc>
          <w:tcPr>
            <w:tcW w:type="dxa" w:w="1746"/>
            <w:shd w:val="clear" w:color="auto" w:fill="F2F6FA"/>
          </w:tcPr>
          <w:p>
            <w:pPr>
              <w:spacing w:after="20" w:line="240" w:lineRule="auto"/>
            </w:pPr>
            <w:r>
              <w:rPr>
                <w:b/>
                <w:sz w:val="18"/>
              </w:rPr>
            </w:r>
            <w:r>
              <w:rPr>
                <w:b/>
                <w:sz w:val="18"/>
              </w:rPr>
              <w:t>Approval</w:t>
            </w:r>
          </w:p>
        </w:tc>
        <w:tc>
          <w:tcPr>
            <w:tcW w:type="dxa" w:w="2677"/>
            <w:shd w:val="clear" w:color="auto" w:fill="F2F6FA"/>
          </w:tcPr>
          <w:p>
            <w:pPr>
              <w:spacing w:after="20" w:line="240" w:lineRule="auto"/>
            </w:pPr>
            <w:r>
              <w:rPr>
                <w:sz w:val="18"/>
              </w:rPr>
            </w:r>
            <w:r>
              <w:rPr>
                <w:sz w:val="18"/>
              </w:rPr>
              <w:t>Human decision for a ToolCall</w:t>
            </w:r>
          </w:p>
        </w:tc>
        <w:tc>
          <w:tcPr>
            <w:tcW w:type="dxa" w:w="4889"/>
            <w:shd w:val="clear" w:color="auto" w:fill="F2F6FA"/>
          </w:tcPr>
          <w:p>
            <w:pPr>
              <w:spacing w:after="20" w:line="240" w:lineRule="auto"/>
            </w:pPr>
            <w:r>
              <w:rPr>
                <w:sz w:val="18"/>
              </w:rPr>
            </w:r>
            <w:r>
              <w:rPr>
                <w:sz w:val="18"/>
              </w:rPr>
              <w:t>Approver, decision, timestamps, args hash, step-up flag, comment.</w:t>
            </w:r>
          </w:p>
        </w:tc>
      </w:tr>
      <w:tr>
        <w:trPr>
          <w:cantSplit w:val="true"/>
        </w:trPr>
        <w:tc>
          <w:tcPr>
            <w:tcW w:type="dxa" w:w="1746"/>
          </w:tcPr>
          <w:p>
            <w:pPr>
              <w:spacing w:after="20" w:line="240" w:lineRule="auto"/>
            </w:pPr>
            <w:r>
              <w:rPr>
                <w:b/>
                <w:sz w:val="18"/>
              </w:rPr>
            </w:r>
            <w:r>
              <w:rPr>
                <w:b/>
                <w:sz w:val="18"/>
              </w:rPr>
              <w:t>MemoryFact</w:t>
            </w:r>
          </w:p>
        </w:tc>
        <w:tc>
          <w:tcPr>
            <w:tcW w:type="dxa" w:w="2677"/>
          </w:tcPr>
          <w:p>
            <w:pPr>
              <w:spacing w:after="20" w:line="240" w:lineRule="auto"/>
            </w:pPr>
            <w:r>
              <w:rPr>
                <w:sz w:val="18"/>
              </w:rPr>
            </w:r>
            <w:r>
              <w:rPr>
                <w:sz w:val="18"/>
              </w:rPr>
              <w:t>Long-term memory item</w:t>
            </w:r>
          </w:p>
        </w:tc>
        <w:tc>
          <w:tcPr>
            <w:tcW w:type="dxa" w:w="4889"/>
          </w:tcPr>
          <w:p>
            <w:pPr>
              <w:spacing w:after="20" w:line="240" w:lineRule="auto"/>
            </w:pPr>
            <w:r>
              <w:rPr>
                <w:sz w:val="18"/>
              </w:rPr>
            </w:r>
            <w:r>
              <w:rPr>
                <w:sz w:val="18"/>
              </w:rPr>
              <w:t>Scope (user, agent, team), content, embedding, provenance (conversation, tool), trust level, confidence, expiry, superseded_by.</w:t>
            </w:r>
          </w:p>
        </w:tc>
      </w:tr>
      <w:tr>
        <w:trPr>
          <w:cantSplit w:val="true"/>
        </w:trPr>
        <w:tc>
          <w:tcPr>
            <w:tcW w:type="dxa" w:w="1746"/>
            <w:shd w:val="clear" w:color="auto" w:fill="F2F6FA"/>
          </w:tcPr>
          <w:p>
            <w:pPr>
              <w:spacing w:after="20" w:line="240" w:lineRule="auto"/>
            </w:pPr>
            <w:r>
              <w:rPr>
                <w:b/>
                <w:sz w:val="18"/>
              </w:rPr>
            </w:r>
            <w:r>
              <w:rPr>
                <w:b/>
                <w:sz w:val="18"/>
              </w:rPr>
              <w:t>Routine</w:t>
            </w:r>
          </w:p>
        </w:tc>
        <w:tc>
          <w:tcPr>
            <w:tcW w:type="dxa" w:w="2677"/>
            <w:shd w:val="clear" w:color="auto" w:fill="F2F6FA"/>
          </w:tcPr>
          <w:p>
            <w:pPr>
              <w:spacing w:after="20" w:line="240" w:lineRule="auto"/>
            </w:pPr>
            <w:r>
              <w:rPr>
                <w:sz w:val="18"/>
              </w:rPr>
            </w:r>
            <w:r>
              <w:rPr>
                <w:sz w:val="18"/>
              </w:rPr>
              <w:t>Saved triggered task</w:t>
            </w:r>
          </w:p>
        </w:tc>
        <w:tc>
          <w:tcPr>
            <w:tcW w:type="dxa" w:w="4889"/>
            <w:shd w:val="clear" w:color="auto" w:fill="F2F6FA"/>
          </w:tcPr>
          <w:p>
            <w:pPr>
              <w:spacing w:after="20" w:line="240" w:lineRule="auto"/>
            </w:pPr>
            <w:r>
              <w:rPr>
                <w:sz w:val="18"/>
              </w:rPr>
            </w:r>
            <w:r>
              <w:rPr>
                <w:sz w:val="18"/>
              </w:rPr>
              <w:t>Trigger type and spec, instructions, agent, owner, delivery target, budget, standing approvals, enabled.</w:t>
            </w:r>
          </w:p>
        </w:tc>
      </w:tr>
      <w:tr>
        <w:trPr>
          <w:cantSplit w:val="true"/>
        </w:trPr>
        <w:tc>
          <w:tcPr>
            <w:tcW w:type="dxa" w:w="1746"/>
          </w:tcPr>
          <w:p>
            <w:pPr>
              <w:spacing w:after="20" w:line="240" w:lineRule="auto"/>
            </w:pPr>
            <w:r>
              <w:rPr>
                <w:b/>
                <w:sz w:val="18"/>
              </w:rPr>
            </w:r>
            <w:r>
              <w:rPr>
                <w:b/>
                <w:sz w:val="18"/>
              </w:rPr>
              <w:t>Run</w:t>
            </w:r>
          </w:p>
        </w:tc>
        <w:tc>
          <w:tcPr>
            <w:tcW w:type="dxa" w:w="2677"/>
          </w:tcPr>
          <w:p>
            <w:pPr>
              <w:spacing w:after="20" w:line="240" w:lineRule="auto"/>
            </w:pPr>
            <w:r>
              <w:rPr>
                <w:sz w:val="18"/>
              </w:rPr>
            </w:r>
            <w:r>
              <w:rPr>
                <w:sz w:val="18"/>
              </w:rPr>
              <w:t>One execution of a turn or routine</w:t>
            </w:r>
          </w:p>
        </w:tc>
        <w:tc>
          <w:tcPr>
            <w:tcW w:type="dxa" w:w="4889"/>
          </w:tcPr>
          <w:p>
            <w:pPr>
              <w:spacing w:after="20" w:line="240" w:lineRule="auto"/>
            </w:pPr>
            <w:r>
              <w:rPr>
                <w:sz w:val="18"/>
              </w:rPr>
            </w:r>
            <w:r>
              <w:rPr>
                <w:sz w:val="18"/>
              </w:rPr>
              <w:t>Status, Temporal workflow ID, cost, steps, artefacts, error.</w:t>
            </w:r>
          </w:p>
        </w:tc>
      </w:tr>
      <w:tr>
        <w:trPr>
          <w:cantSplit w:val="true"/>
        </w:trPr>
        <w:tc>
          <w:tcPr>
            <w:tcW w:type="dxa" w:w="1746"/>
            <w:shd w:val="clear" w:color="auto" w:fill="F2F6FA"/>
          </w:tcPr>
          <w:p>
            <w:pPr>
              <w:spacing w:after="20" w:line="240" w:lineRule="auto"/>
            </w:pPr>
            <w:r>
              <w:rPr>
                <w:b/>
                <w:sz w:val="18"/>
              </w:rPr>
            </w:r>
            <w:r>
              <w:rPr>
                <w:b/>
                <w:sz w:val="18"/>
              </w:rPr>
              <w:t>Artifact</w:t>
            </w:r>
          </w:p>
        </w:tc>
        <w:tc>
          <w:tcPr>
            <w:tcW w:type="dxa" w:w="2677"/>
            <w:shd w:val="clear" w:color="auto" w:fill="F2F6FA"/>
          </w:tcPr>
          <w:p>
            <w:pPr>
              <w:spacing w:after="20" w:line="240" w:lineRule="auto"/>
            </w:pPr>
            <w:r>
              <w:rPr>
                <w:sz w:val="18"/>
              </w:rPr>
            </w:r>
            <w:r>
              <w:rPr>
                <w:sz w:val="18"/>
              </w:rPr>
              <w:t>Generated file</w:t>
            </w:r>
          </w:p>
        </w:tc>
        <w:tc>
          <w:tcPr>
            <w:tcW w:type="dxa" w:w="4889"/>
            <w:shd w:val="clear" w:color="auto" w:fill="F2F6FA"/>
          </w:tcPr>
          <w:p>
            <w:pPr>
              <w:spacing w:after="20" w:line="240" w:lineRule="auto"/>
            </w:pPr>
            <w:r>
              <w:rPr>
                <w:sz w:val="18"/>
              </w:rPr>
            </w:r>
            <w:r>
              <w:rPr>
                <w:sz w:val="18"/>
              </w:rPr>
              <w:t>Object URI, type, size, checksum, classification, retention.</w:t>
            </w:r>
          </w:p>
        </w:tc>
      </w:tr>
      <w:tr>
        <w:trPr>
          <w:cantSplit w:val="true"/>
        </w:trPr>
        <w:tc>
          <w:tcPr>
            <w:tcW w:type="dxa" w:w="1746"/>
          </w:tcPr>
          <w:p>
            <w:pPr>
              <w:spacing w:after="20" w:line="240" w:lineRule="auto"/>
            </w:pPr>
            <w:r>
              <w:rPr>
                <w:b/>
                <w:sz w:val="18"/>
              </w:rPr>
            </w:r>
            <w:r>
              <w:rPr>
                <w:b/>
                <w:sz w:val="18"/>
              </w:rPr>
              <w:t>CredentialGrant</w:t>
            </w:r>
          </w:p>
        </w:tc>
        <w:tc>
          <w:tcPr>
            <w:tcW w:type="dxa" w:w="2677"/>
          </w:tcPr>
          <w:p>
            <w:pPr>
              <w:spacing w:after="20" w:line="240" w:lineRule="auto"/>
            </w:pPr>
            <w:r>
              <w:rPr>
                <w:sz w:val="18"/>
              </w:rPr>
            </w:r>
            <w:r>
              <w:rPr>
                <w:sz w:val="18"/>
              </w:rPr>
              <w:t>User-connected integration</w:t>
            </w:r>
          </w:p>
        </w:tc>
        <w:tc>
          <w:tcPr>
            <w:tcW w:type="dxa" w:w="4889"/>
          </w:tcPr>
          <w:p>
            <w:pPr>
              <w:spacing w:after="20" w:line="240" w:lineRule="auto"/>
            </w:pPr>
            <w:r>
              <w:rPr>
                <w:sz w:val="18"/>
              </w:rPr>
            </w:r>
            <w:r>
              <w:rPr>
                <w:sz w:val="18"/>
              </w:rPr>
              <w:t>Provider, scopes, Vault path (no secret in DB), expiry, last used.</w:t>
            </w:r>
          </w:p>
        </w:tc>
      </w:tr>
      <w:tr>
        <w:trPr>
          <w:cantSplit w:val="true"/>
        </w:trPr>
        <w:tc>
          <w:tcPr>
            <w:tcW w:type="dxa" w:w="1746"/>
            <w:shd w:val="clear" w:color="auto" w:fill="F2F6FA"/>
          </w:tcPr>
          <w:p>
            <w:pPr>
              <w:spacing w:after="20" w:line="240" w:lineRule="auto"/>
            </w:pPr>
            <w:r>
              <w:rPr>
                <w:b/>
                <w:sz w:val="18"/>
              </w:rPr>
            </w:r>
            <w:r>
              <w:rPr>
                <w:b/>
                <w:sz w:val="18"/>
              </w:rPr>
              <w:t>AuditEvent</w:t>
            </w:r>
          </w:p>
        </w:tc>
        <w:tc>
          <w:tcPr>
            <w:tcW w:type="dxa" w:w="2677"/>
            <w:shd w:val="clear" w:color="auto" w:fill="F2F6FA"/>
          </w:tcPr>
          <w:p>
            <w:pPr>
              <w:spacing w:after="20" w:line="240" w:lineRule="auto"/>
            </w:pPr>
            <w:r>
              <w:rPr>
                <w:sz w:val="18"/>
              </w:rPr>
            </w:r>
            <w:r>
              <w:rPr>
                <w:sz w:val="18"/>
              </w:rPr>
              <w:t>Tamper-evident record</w:t>
            </w:r>
          </w:p>
        </w:tc>
        <w:tc>
          <w:tcPr>
            <w:tcW w:type="dxa" w:w="4889"/>
            <w:shd w:val="clear" w:color="auto" w:fill="F2F6FA"/>
          </w:tcPr>
          <w:p>
            <w:pPr>
              <w:spacing w:after="20" w:line="240" w:lineRule="auto"/>
            </w:pPr>
            <w:r>
              <w:rPr>
                <w:sz w:val="18"/>
              </w:rPr>
            </w:r>
            <w:r>
              <w:rPr>
                <w:sz w:val="18"/>
              </w:rPr>
              <w:t>Actor, on-behalf-of, action, target, decision, detail, previous hash (chain).</w:t>
            </w:r>
          </w:p>
        </w:tc>
      </w:tr>
    </w:tbl>
    <w:p>
      <w:pPr>
        <w:spacing w:after="80"/>
      </w:pPr>
    </w:p>
    <w:p>
      <w:pPr>
        <w:spacing w:after="0"/>
      </w:pPr>
      <w:r>
        <w:br w:type="page"/>
      </w:r>
    </w:p>
    <w:p>
      <w:pPr>
        <w:pStyle w:val="Heading1"/>
      </w:pPr>
      <w:r>
        <w:t>7. Deployment Topology</w:t>
      </w:r>
    </w:p>
    <w:p>
      <w:r>
        <w:t>The platform runs on Kubernetes on company hardware (bare metal or a private cloud such as OpenStack or VMware) or in a company-controlled private-cloud tenancy in an approved region. A distribution such as upstream Kubernetes with kubeadm/Cluster API, RKE2, OpenShift or a vendor-supported equivalent is acceptable; the design relies only on standard APIs.</w:t>
      </w:r>
    </w:p>
    <w:p>
      <w:pPr>
        <w:keepNext/>
        <w:spacing w:after="40"/>
        <w:jc w:val="center"/>
      </w:pPr>
      <w:r>
        <w:drawing>
          <wp:inline xmlns:a="http://schemas.openxmlformats.org/drawingml/2006/main" xmlns:pic="http://schemas.openxmlformats.org/drawingml/2006/picture">
            <wp:extent cx="5541175" cy="7315199"/>
            <wp:docPr id="8" name="Picture 8"/>
            <wp:cNvGraphicFramePr>
              <a:graphicFrameLocks noChangeAspect="1"/>
            </wp:cNvGraphicFramePr>
            <a:graphic>
              <a:graphicData uri="http://schemas.openxmlformats.org/drawingml/2006/picture">
                <pic:pic>
                  <pic:nvPicPr>
                    <pic:cNvPr id="0" name="d7_deployment.png"/>
                    <pic:cNvPicPr/>
                  </pic:nvPicPr>
                  <pic:blipFill>
                    <a:blip r:embed="rId20"/>
                    <a:stretch>
                      <a:fillRect/>
                    </a:stretch>
                  </pic:blipFill>
                  <pic:spPr>
                    <a:xfrm>
                      <a:off x="0" y="0"/>
                      <a:ext cx="5541175" cy="7315199"/>
                    </a:xfrm>
                    <a:prstGeom prst="rect"/>
                  </pic:spPr>
                </pic:pic>
              </a:graphicData>
            </a:graphic>
          </wp:inline>
        </w:drawing>
      </w:r>
    </w:p>
    <w:p>
      <w:pPr>
        <w:spacing w:after="160"/>
        <w:jc w:val="center"/>
      </w:pPr>
      <w:r>
        <w:rPr>
          <w:i/>
          <w:color w:val="595959"/>
          <w:sz w:val="18"/>
        </w:rPr>
        <w:t>Figure 8: Deployment topology: primary site with warm DR site</w:t>
      </w:r>
    </w:p>
    <w:p>
      <w:pPr>
        <w:pStyle w:val="Heading2"/>
      </w:pPr>
      <w:r>
        <w:t>7.1 Cluster layout and node pools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746"/>
        <w:gridCol w:w="2677"/>
        <w:gridCol w:w="2794"/>
        <w:gridCol w:w="2095"/>
      </w:tblGrid>
      <w:tr>
        <w:trPr>
          <w:tblHeader w:val="true"/>
        </w:trPr>
        <w:tc>
          <w:tcPr>
            <w:tcW w:type="dxa" w:w="1746"/>
            <w:shd w:val="clear" w:color="auto" w:fill="1F4E79"/>
          </w:tcPr>
          <w:p>
            <w:r/>
            <w:r>
              <w:rPr>
                <w:b/>
                <w:color w:val="FFFFFF"/>
                <w:sz w:val="18"/>
              </w:rPr>
              <w:t>Pool</w:t>
            </w:r>
          </w:p>
        </w:tc>
        <w:tc>
          <w:tcPr>
            <w:tcW w:type="dxa" w:w="2677"/>
            <w:shd w:val="clear" w:color="auto" w:fill="1F4E79"/>
          </w:tcPr>
          <w:p>
            <w:r/>
            <w:r>
              <w:rPr>
                <w:b/>
                <w:color w:val="FFFFFF"/>
                <w:sz w:val="18"/>
              </w:rPr>
              <w:t>Hardware (indicative)</w:t>
            </w:r>
          </w:p>
        </w:tc>
        <w:tc>
          <w:tcPr>
            <w:tcW w:type="dxa" w:w="2794"/>
            <w:shd w:val="clear" w:color="auto" w:fill="1F4E79"/>
          </w:tcPr>
          <w:p>
            <w:r/>
            <w:r>
              <w:rPr>
                <w:b/>
                <w:color w:val="FFFFFF"/>
                <w:sz w:val="18"/>
              </w:rPr>
              <w:t>Workloads</w:t>
            </w:r>
          </w:p>
        </w:tc>
        <w:tc>
          <w:tcPr>
            <w:tcW w:type="dxa" w:w="2095"/>
            <w:shd w:val="clear" w:color="auto" w:fill="1F4E79"/>
          </w:tcPr>
          <w:p>
            <w:r/>
            <w:r>
              <w:rPr>
                <w:b/>
                <w:color w:val="FFFFFF"/>
                <w:sz w:val="18"/>
              </w:rPr>
              <w:t>Scaling</w:t>
            </w:r>
          </w:p>
        </w:tc>
      </w:tr>
      <w:tr>
        <w:trPr>
          <w:cantSplit w:val="true"/>
        </w:trPr>
        <w:tc>
          <w:tcPr>
            <w:tcW w:type="dxa" w:w="1746"/>
          </w:tcPr>
          <w:p>
            <w:pPr>
              <w:spacing w:after="20" w:line="240" w:lineRule="auto"/>
            </w:pPr>
            <w:r>
              <w:rPr>
                <w:b/>
                <w:sz w:val="18"/>
              </w:rPr>
            </w:r>
            <w:r>
              <w:rPr>
                <w:b/>
                <w:sz w:val="18"/>
              </w:rPr>
              <w:t>System / control plane</w:t>
            </w:r>
          </w:p>
        </w:tc>
        <w:tc>
          <w:tcPr>
            <w:tcW w:type="dxa" w:w="2677"/>
          </w:tcPr>
          <w:p>
            <w:pPr>
              <w:spacing w:after="20" w:line="240" w:lineRule="auto"/>
            </w:pPr>
            <w:r>
              <w:rPr>
                <w:sz w:val="18"/>
              </w:rPr>
            </w:r>
            <w:r>
              <w:rPr>
                <w:sz w:val="18"/>
              </w:rPr>
              <w:t>3 to 5 CPU nodes</w:t>
            </w:r>
          </w:p>
        </w:tc>
        <w:tc>
          <w:tcPr>
            <w:tcW w:type="dxa" w:w="2794"/>
          </w:tcPr>
          <w:p>
            <w:pPr>
              <w:spacing w:after="20" w:line="240" w:lineRule="auto"/>
            </w:pPr>
            <w:r>
              <w:rPr>
                <w:sz w:val="18"/>
              </w:rPr>
            </w:r>
            <w:r>
              <w:rPr>
                <w:sz w:val="18"/>
              </w:rPr>
              <w:t>Kubernetes control plane, ingress, mesh, monitoring agents</w:t>
            </w:r>
          </w:p>
        </w:tc>
        <w:tc>
          <w:tcPr>
            <w:tcW w:type="dxa" w:w="2095"/>
          </w:tcPr>
          <w:p>
            <w:pPr>
              <w:spacing w:after="20" w:line="240" w:lineRule="auto"/>
            </w:pPr>
            <w:r>
              <w:rPr>
                <w:sz w:val="18"/>
              </w:rPr>
            </w:r>
            <w:r>
              <w:rPr>
                <w:sz w:val="18"/>
              </w:rPr>
              <w:t>Static.</w:t>
            </w:r>
          </w:p>
        </w:tc>
      </w:tr>
      <w:tr>
        <w:trPr>
          <w:cantSplit w:val="true"/>
        </w:trPr>
        <w:tc>
          <w:tcPr>
            <w:tcW w:type="dxa" w:w="1746"/>
            <w:shd w:val="clear" w:color="auto" w:fill="F2F6FA"/>
          </w:tcPr>
          <w:p>
            <w:pPr>
              <w:spacing w:after="20" w:line="240" w:lineRule="auto"/>
            </w:pPr>
            <w:r>
              <w:rPr>
                <w:b/>
                <w:sz w:val="18"/>
              </w:rPr>
            </w:r>
            <w:r>
              <w:rPr>
                <w:b/>
                <w:sz w:val="18"/>
              </w:rPr>
              <w:t>Platform app (CPU)</w:t>
            </w:r>
          </w:p>
        </w:tc>
        <w:tc>
          <w:tcPr>
            <w:tcW w:type="dxa" w:w="2677"/>
            <w:shd w:val="clear" w:color="auto" w:fill="F2F6FA"/>
          </w:tcPr>
          <w:p>
            <w:pPr>
              <w:spacing w:after="20" w:line="240" w:lineRule="auto"/>
            </w:pPr>
            <w:r>
              <w:rPr>
                <w:sz w:val="18"/>
              </w:rPr>
            </w:r>
            <w:r>
              <w:rPr>
                <w:sz w:val="18"/>
              </w:rPr>
              <w:t>16 to 32 vCPU, 64 to 128 GB RAM nodes</w:t>
            </w:r>
          </w:p>
        </w:tc>
        <w:tc>
          <w:tcPr>
            <w:tcW w:type="dxa" w:w="2794"/>
            <w:shd w:val="clear" w:color="auto" w:fill="F2F6FA"/>
          </w:tcPr>
          <w:p>
            <w:pPr>
              <w:spacing w:after="20" w:line="240" w:lineRule="auto"/>
            </w:pPr>
            <w:r>
              <w:rPr>
                <w:sz w:val="18"/>
              </w:rPr>
            </w:r>
            <w:r>
              <w:rPr>
                <w:sz w:val="18"/>
              </w:rPr>
              <w:t>UI, API, session, orchestrator workers, MCP servers, gateway, Temporal, ingestion workers</w:t>
            </w:r>
          </w:p>
        </w:tc>
        <w:tc>
          <w:tcPr>
            <w:tcW w:type="dxa" w:w="2095"/>
            <w:shd w:val="clear" w:color="auto" w:fill="F2F6FA"/>
          </w:tcPr>
          <w:p>
            <w:pPr>
              <w:spacing w:after="20" w:line="240" w:lineRule="auto"/>
            </w:pPr>
            <w:r>
              <w:rPr>
                <w:sz w:val="18"/>
              </w:rPr>
            </w:r>
            <w:r>
              <w:rPr>
                <w:sz w:val="18"/>
              </w:rPr>
              <w:t>HPA on CPU and queue depth (KEDA on Temporal task-queue backlog / Kafka lag); cluster autoscaler where elastic.</w:t>
            </w:r>
          </w:p>
        </w:tc>
      </w:tr>
      <w:tr>
        <w:trPr>
          <w:cantSplit w:val="true"/>
        </w:trPr>
        <w:tc>
          <w:tcPr>
            <w:tcW w:type="dxa" w:w="1746"/>
          </w:tcPr>
          <w:p>
            <w:pPr>
              <w:spacing w:after="20" w:line="240" w:lineRule="auto"/>
            </w:pPr>
            <w:r>
              <w:rPr>
                <w:b/>
                <w:sz w:val="18"/>
              </w:rPr>
            </w:r>
            <w:r>
              <w:rPr>
                <w:b/>
                <w:sz w:val="18"/>
              </w:rPr>
              <w:t>Sandbox (CPU, isolated)</w:t>
            </w:r>
          </w:p>
        </w:tc>
        <w:tc>
          <w:tcPr>
            <w:tcW w:type="dxa" w:w="2677"/>
          </w:tcPr>
          <w:p>
            <w:pPr>
              <w:spacing w:after="20" w:line="240" w:lineRule="auto"/>
            </w:pPr>
            <w:r>
              <w:rPr>
                <w:sz w:val="18"/>
              </w:rPr>
            </w:r>
            <w:r>
              <w:rPr>
                <w:sz w:val="18"/>
              </w:rPr>
              <w:t>Bare-metal or nested-virt capable nodes, 32 to 64 cores</w:t>
            </w:r>
          </w:p>
        </w:tc>
        <w:tc>
          <w:tcPr>
            <w:tcW w:type="dxa" w:w="2794"/>
          </w:tcPr>
          <w:p>
            <w:pPr>
              <w:spacing w:after="20" w:line="240" w:lineRule="auto"/>
            </w:pPr>
            <w:r>
              <w:rPr>
                <w:sz w:val="18"/>
              </w:rPr>
            </w:r>
            <w:r>
              <w:rPr>
                <w:sz w:val="18"/>
              </w:rPr>
              <w:t>Kata/gVisor sandbox pods, browser workloads, egress proxy</w:t>
            </w:r>
          </w:p>
        </w:tc>
        <w:tc>
          <w:tcPr>
            <w:tcW w:type="dxa" w:w="2095"/>
          </w:tcPr>
          <w:p>
            <w:pPr>
              <w:spacing w:after="20" w:line="240" w:lineRule="auto"/>
            </w:pPr>
            <w:r>
              <w:rPr>
                <w:sz w:val="18"/>
              </w:rPr>
            </w:r>
            <w:r>
              <w:rPr>
                <w:sz w:val="18"/>
              </w:rPr>
              <w:t>Warm-pool size by time of day; scale on pending sandbox requests.</w:t>
            </w:r>
          </w:p>
        </w:tc>
      </w:tr>
      <w:tr>
        <w:trPr>
          <w:cantSplit w:val="true"/>
        </w:trPr>
        <w:tc>
          <w:tcPr>
            <w:tcW w:type="dxa" w:w="1746"/>
            <w:shd w:val="clear" w:color="auto" w:fill="F2F6FA"/>
          </w:tcPr>
          <w:p>
            <w:pPr>
              <w:spacing w:after="20" w:line="240" w:lineRule="auto"/>
            </w:pPr>
            <w:r>
              <w:rPr>
                <w:b/>
                <w:sz w:val="18"/>
              </w:rPr>
            </w:r>
            <w:r>
              <w:rPr>
                <w:b/>
                <w:sz w:val="18"/>
              </w:rPr>
              <w:t>GPU inference</w:t>
            </w:r>
          </w:p>
        </w:tc>
        <w:tc>
          <w:tcPr>
            <w:tcW w:type="dxa" w:w="2677"/>
            <w:shd w:val="clear" w:color="auto" w:fill="F2F6FA"/>
          </w:tcPr>
          <w:p>
            <w:pPr>
              <w:spacing w:after="20" w:line="240" w:lineRule="auto"/>
            </w:pPr>
            <w:r>
              <w:rPr>
                <w:sz w:val="18"/>
              </w:rPr>
            </w:r>
            <w:r>
              <w:rPr>
                <w:sz w:val="18"/>
              </w:rPr>
              <w:t>8-GPU servers (80 to 192 GB per GPU class) for large models; 1 to 4 smaller GPUs per node for fast tier and embeddings</w:t>
            </w:r>
          </w:p>
        </w:tc>
        <w:tc>
          <w:tcPr>
            <w:tcW w:type="dxa" w:w="2794"/>
            <w:shd w:val="clear" w:color="auto" w:fill="F2F6FA"/>
          </w:tcPr>
          <w:p>
            <w:pPr>
              <w:spacing w:after="20" w:line="240" w:lineRule="auto"/>
            </w:pPr>
            <w:r>
              <w:rPr>
                <w:sz w:val="18"/>
              </w:rPr>
            </w:r>
            <w:r>
              <w:rPr>
                <w:sz w:val="18"/>
              </w:rPr>
              <w:t>vLLM/SGLang replicas, TEI, guardrail models</w:t>
            </w:r>
          </w:p>
        </w:tc>
        <w:tc>
          <w:tcPr>
            <w:tcW w:type="dxa" w:w="2095"/>
            <w:shd w:val="clear" w:color="auto" w:fill="F2F6FA"/>
          </w:tcPr>
          <w:p>
            <w:pPr>
              <w:spacing w:after="20" w:line="240" w:lineRule="auto"/>
            </w:pPr>
            <w:r>
              <w:rPr>
                <w:sz w:val="18"/>
              </w:rPr>
            </w:r>
            <w:r>
              <w:rPr>
                <w:sz w:val="18"/>
              </w:rPr>
              <w:t>Replica autoscaling on queue depth / KV-cache utilisation; scale-to-min off-hours; model weights pre-cached on local NVMe.</w:t>
            </w:r>
          </w:p>
        </w:tc>
      </w:tr>
      <w:tr>
        <w:trPr>
          <w:cantSplit w:val="true"/>
        </w:trPr>
        <w:tc>
          <w:tcPr>
            <w:tcW w:type="dxa" w:w="1746"/>
          </w:tcPr>
          <w:p>
            <w:pPr>
              <w:spacing w:after="20" w:line="240" w:lineRule="auto"/>
            </w:pPr>
            <w:r>
              <w:rPr>
                <w:b/>
                <w:sz w:val="18"/>
              </w:rPr>
            </w:r>
            <w:r>
              <w:rPr>
                <w:b/>
                <w:sz w:val="18"/>
              </w:rPr>
              <w:t>Data</w:t>
            </w:r>
          </w:p>
        </w:tc>
        <w:tc>
          <w:tcPr>
            <w:tcW w:type="dxa" w:w="2677"/>
          </w:tcPr>
          <w:p>
            <w:pPr>
              <w:spacing w:after="20" w:line="240" w:lineRule="auto"/>
            </w:pPr>
            <w:r>
              <w:rPr>
                <w:sz w:val="18"/>
              </w:rPr>
            </w:r>
            <w:r>
              <w:rPr>
                <w:sz w:val="18"/>
              </w:rPr>
              <w:t>Storage-optimised nodes with NVMe, or existing database platforms</w:t>
            </w:r>
          </w:p>
        </w:tc>
        <w:tc>
          <w:tcPr>
            <w:tcW w:type="dxa" w:w="2794"/>
          </w:tcPr>
          <w:p>
            <w:pPr>
              <w:spacing w:after="20" w:line="240" w:lineRule="auto"/>
            </w:pPr>
            <w:r>
              <w:rPr>
                <w:sz w:val="18"/>
              </w:rPr>
            </w:r>
            <w:r>
              <w:rPr>
                <w:sz w:val="18"/>
              </w:rPr>
              <w:t>Postgres (CloudNativePG), Qdrant/OpenSearch, Kafka/NATS, MinIO</w:t>
            </w:r>
          </w:p>
        </w:tc>
        <w:tc>
          <w:tcPr>
            <w:tcW w:type="dxa" w:w="2095"/>
          </w:tcPr>
          <w:p>
            <w:pPr>
              <w:spacing w:after="20" w:line="240" w:lineRule="auto"/>
            </w:pPr>
            <w:r>
              <w:rPr>
                <w:sz w:val="18"/>
              </w:rPr>
            </w:r>
            <w:r>
              <w:rPr>
                <w:sz w:val="18"/>
              </w:rPr>
              <w:t>Vertical first; sharding for indexes in Phase 3.</w:t>
            </w:r>
          </w:p>
        </w:tc>
      </w:tr>
    </w:tbl>
    <w:p>
      <w:pPr>
        <w:spacing w:after="80"/>
      </w:pPr>
    </w:p>
    <w:p>
      <w:pPr>
        <w:pStyle w:val="ListBullet"/>
      </w:pPr>
      <w:r>
        <w:rPr>
          <w:b/>
        </w:rPr>
        <w:t>GPU operations</w:t>
      </w:r>
      <w:r>
        <w:t>: NVIDIA GPU Operator (or AMD GPU Operator) for drivers, device plugin, DCGM monitoring; MIG or time-slicing for small models; topology-aware scheduling for tensor parallel replicas; optional KServe, LLM-d style or Ray Serve controllers for model lifecycle, or plain Deployments managed by GitOps.</w:t>
      </w:r>
    </w:p>
    <w:p>
      <w:pPr>
        <w:pStyle w:val="ListBullet"/>
      </w:pPr>
      <w:r>
        <w:rPr>
          <w:b/>
        </w:rPr>
        <w:t>Model distribution</w:t>
      </w:r>
      <w:r>
        <w:t>: weights stored in the internal registry (object store), pulled once per node to local NVMe via an init container or a node-level cache daemon; checksums verified.</w:t>
      </w:r>
    </w:p>
    <w:p>
      <w:pPr>
        <w:pStyle w:val="ListBullet"/>
      </w:pPr>
      <w:r>
        <w:rPr>
          <w:b/>
        </w:rPr>
        <w:t>Multi-node models</w:t>
      </w:r>
      <w:r>
        <w:t xml:space="preserve"> (very large MoE) need high-bandwidth interconnect (InfiniBand or RoCE) between GPU nodes; single-node models need only standard data-centre networking.</w:t>
      </w:r>
    </w:p>
    <w:p>
      <w:pPr>
        <w:pStyle w:val="Heading2"/>
      </w:pPr>
      <w:r>
        <w:t>7.2 Networking</w:t>
      </w:r>
    </w:p>
    <w:p>
      <w:pPr>
        <w:pStyle w:val="ListBullet"/>
      </w:pPr>
      <w:r>
        <w:t>Users reach the platform via corporate network/VPN/ZTNA only; Slack and Teams connectivity via Socket Mode or a narrowly scoped inbound relay in the DMZ.</w:t>
      </w:r>
    </w:p>
    <w:p>
      <w:pPr>
        <w:pStyle w:val="ListBullet"/>
      </w:pPr>
      <w:r>
        <w:t xml:space="preserve">Service mesh with </w:t>
      </w:r>
      <w:r>
        <w:rPr>
          <w:b/>
        </w:rPr>
        <w:t>mTLS</w:t>
      </w:r>
      <w:r>
        <w:t xml:space="preserve"> everywhere; Kubernetes NetworkPolicies default-deny per namespace; explicit allow rules (orchestrator to gateway, MCP gateway to MCP servers, MCP servers to their target systems).</w:t>
      </w:r>
    </w:p>
    <w:p>
      <w:pPr>
        <w:pStyle w:val="ListBullet"/>
      </w:pPr>
      <w:r>
        <w:rPr>
          <w:b/>
        </w:rPr>
        <w:t>Egress</w:t>
      </w:r>
      <w:r>
        <w:t xml:space="preserve">: only the sandbox egress proxy and approved connectors may leave the cluster, via the corporate proxy; the inference namespace has </w:t>
      </w:r>
      <w:r>
        <w:rPr>
          <w:b/>
        </w:rPr>
        <w:t>no egress</w:t>
      </w:r>
      <w:r>
        <w:t>, which provably prevents calls to external model APIs.</w:t>
      </w:r>
    </w:p>
    <w:p>
      <w:pPr>
        <w:pStyle w:val="ListBullet"/>
      </w:pPr>
      <w:r>
        <w:t>Private DNS and internal PKI (cert-manager with an internal CA); ingress TLS with corporate certificates; WAF in front of the API.</w:t>
      </w:r>
    </w:p>
    <w:p>
      <w:pPr>
        <w:pStyle w:val="Heading2"/>
      </w:pPr>
      <w:r>
        <w:t>7.3 High availability</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2095"/>
        <w:gridCol w:w="7218"/>
      </w:tblGrid>
      <w:tr>
        <w:trPr>
          <w:tblHeader w:val="true"/>
        </w:trPr>
        <w:tc>
          <w:tcPr>
            <w:tcW w:type="dxa" w:w="2095"/>
            <w:shd w:val="clear" w:color="auto" w:fill="1F4E79"/>
          </w:tcPr>
          <w:p>
            <w:r/>
            <w:r>
              <w:rPr>
                <w:b/>
                <w:color w:val="FFFFFF"/>
                <w:sz w:val="18"/>
              </w:rPr>
              <w:t>Component</w:t>
            </w:r>
          </w:p>
        </w:tc>
        <w:tc>
          <w:tcPr>
            <w:tcW w:type="dxa" w:w="7218"/>
            <w:shd w:val="clear" w:color="auto" w:fill="1F4E79"/>
          </w:tcPr>
          <w:p>
            <w:r/>
            <w:r>
              <w:rPr>
                <w:b/>
                <w:color w:val="FFFFFF"/>
                <w:sz w:val="18"/>
              </w:rPr>
              <w:t>HA approach</w:t>
            </w:r>
          </w:p>
        </w:tc>
      </w:tr>
      <w:tr>
        <w:trPr>
          <w:cantSplit w:val="true"/>
        </w:trPr>
        <w:tc>
          <w:tcPr>
            <w:tcW w:type="dxa" w:w="2095"/>
          </w:tcPr>
          <w:p>
            <w:pPr>
              <w:spacing w:after="20" w:line="240" w:lineRule="auto"/>
            </w:pPr>
            <w:r>
              <w:rPr>
                <w:b/>
                <w:sz w:val="18"/>
              </w:rPr>
            </w:r>
            <w:r>
              <w:rPr>
                <w:b/>
                <w:sz w:val="18"/>
              </w:rPr>
              <w:t>Stateless services</w:t>
            </w:r>
          </w:p>
        </w:tc>
        <w:tc>
          <w:tcPr>
            <w:tcW w:type="dxa" w:w="7218"/>
          </w:tcPr>
          <w:p>
            <w:pPr>
              <w:spacing w:after="20" w:line="240" w:lineRule="auto"/>
            </w:pPr>
            <w:r>
              <w:rPr>
                <w:sz w:val="18"/>
              </w:rPr>
            </w:r>
            <w:r>
              <w:rPr>
                <w:sz w:val="18"/>
              </w:rPr>
              <w:t>3+ replicas across failure domains (racks/AZs), PodDisruptionBudgets, rolling or blue/green deploys.</w:t>
            </w:r>
          </w:p>
        </w:tc>
      </w:tr>
      <w:tr>
        <w:trPr>
          <w:cantSplit w:val="true"/>
        </w:trPr>
        <w:tc>
          <w:tcPr>
            <w:tcW w:type="dxa" w:w="2095"/>
            <w:shd w:val="clear" w:color="auto" w:fill="F2F6FA"/>
          </w:tcPr>
          <w:p>
            <w:pPr>
              <w:spacing w:after="20" w:line="240" w:lineRule="auto"/>
            </w:pPr>
            <w:r>
              <w:rPr>
                <w:b/>
                <w:sz w:val="18"/>
              </w:rPr>
            </w:r>
            <w:r>
              <w:rPr>
                <w:b/>
                <w:sz w:val="18"/>
              </w:rPr>
              <w:t>Model serving</w:t>
            </w:r>
          </w:p>
        </w:tc>
        <w:tc>
          <w:tcPr>
            <w:tcW w:type="dxa" w:w="7218"/>
            <w:shd w:val="clear" w:color="auto" w:fill="F2F6FA"/>
          </w:tcPr>
          <w:p>
            <w:pPr>
              <w:spacing w:after="20" w:line="240" w:lineRule="auto"/>
            </w:pPr>
            <w:r>
              <w:rPr>
                <w:sz w:val="18"/>
              </w:rPr>
            </w:r>
            <w:r>
              <w:rPr>
                <w:sz w:val="18"/>
              </w:rPr>
              <w:t>At least N+1 replicas per model alias in production; gateway health checks and fallback to fast tier; staged model rollouts (canary by percentage of traffic).</w:t>
            </w:r>
          </w:p>
        </w:tc>
      </w:tr>
      <w:tr>
        <w:trPr>
          <w:cantSplit w:val="true"/>
        </w:trPr>
        <w:tc>
          <w:tcPr>
            <w:tcW w:type="dxa" w:w="2095"/>
          </w:tcPr>
          <w:p>
            <w:pPr>
              <w:spacing w:after="20" w:line="240" w:lineRule="auto"/>
            </w:pPr>
            <w:r>
              <w:rPr>
                <w:b/>
                <w:sz w:val="18"/>
              </w:rPr>
            </w:r>
            <w:r>
              <w:rPr>
                <w:b/>
                <w:sz w:val="18"/>
              </w:rPr>
              <w:t>Temporal</w:t>
            </w:r>
          </w:p>
        </w:tc>
        <w:tc>
          <w:tcPr>
            <w:tcW w:type="dxa" w:w="7218"/>
          </w:tcPr>
          <w:p>
            <w:pPr>
              <w:spacing w:after="20" w:line="240" w:lineRule="auto"/>
            </w:pPr>
            <w:r>
              <w:rPr>
                <w:sz w:val="18"/>
              </w:rPr>
            </w:r>
            <w:r>
              <w:rPr>
                <w:sz w:val="18"/>
              </w:rPr>
              <w:t>Multi-replica frontend/history/matching/worker services on HA Postgres (or Cassandra at scale); workflows resume on any worker.</w:t>
            </w:r>
          </w:p>
        </w:tc>
      </w:tr>
      <w:tr>
        <w:trPr>
          <w:cantSplit w:val="true"/>
        </w:trPr>
        <w:tc>
          <w:tcPr>
            <w:tcW w:type="dxa" w:w="2095"/>
            <w:shd w:val="clear" w:color="auto" w:fill="F2F6FA"/>
          </w:tcPr>
          <w:p>
            <w:pPr>
              <w:spacing w:after="20" w:line="240" w:lineRule="auto"/>
            </w:pPr>
            <w:r>
              <w:rPr>
                <w:b/>
                <w:sz w:val="18"/>
              </w:rPr>
            </w:r>
            <w:r>
              <w:rPr>
                <w:b/>
                <w:sz w:val="18"/>
              </w:rPr>
              <w:t>PostgreSQL</w:t>
            </w:r>
          </w:p>
        </w:tc>
        <w:tc>
          <w:tcPr>
            <w:tcW w:type="dxa" w:w="7218"/>
            <w:shd w:val="clear" w:color="auto" w:fill="F2F6FA"/>
          </w:tcPr>
          <w:p>
            <w:pPr>
              <w:spacing w:after="20" w:line="240" w:lineRule="auto"/>
            </w:pPr>
            <w:r>
              <w:rPr>
                <w:sz w:val="18"/>
              </w:rPr>
            </w:r>
            <w:r>
              <w:rPr>
                <w:sz w:val="18"/>
              </w:rPr>
              <w:t>CloudNativePG or Patroni with synchronous replica in-site and asynchronous replica to DR; PgBouncer pooling; PITR backups to object store.</w:t>
            </w:r>
          </w:p>
        </w:tc>
      </w:tr>
      <w:tr>
        <w:trPr>
          <w:cantSplit w:val="true"/>
        </w:trPr>
        <w:tc>
          <w:tcPr>
            <w:tcW w:type="dxa" w:w="2095"/>
          </w:tcPr>
          <w:p>
            <w:pPr>
              <w:spacing w:after="20" w:line="240" w:lineRule="auto"/>
            </w:pPr>
            <w:r>
              <w:rPr>
                <w:b/>
                <w:sz w:val="18"/>
              </w:rPr>
            </w:r>
            <w:r>
              <w:rPr>
                <w:b/>
                <w:sz w:val="18"/>
              </w:rPr>
              <w:t>Vector store</w:t>
            </w:r>
          </w:p>
        </w:tc>
        <w:tc>
          <w:tcPr>
            <w:tcW w:type="dxa" w:w="7218"/>
          </w:tcPr>
          <w:p>
            <w:pPr>
              <w:spacing w:after="20" w:line="240" w:lineRule="auto"/>
            </w:pPr>
            <w:r>
              <w:rPr>
                <w:sz w:val="18"/>
              </w:rPr>
            </w:r>
            <w:r>
              <w:rPr>
                <w:sz w:val="18"/>
              </w:rPr>
              <w:t>Qdrant replication factor 2+ with sharding; OpenSearch 3+ master-eligible nodes and replicas.</w:t>
            </w:r>
          </w:p>
        </w:tc>
      </w:tr>
      <w:tr>
        <w:trPr>
          <w:cantSplit w:val="true"/>
        </w:trPr>
        <w:tc>
          <w:tcPr>
            <w:tcW w:type="dxa" w:w="2095"/>
            <w:shd w:val="clear" w:color="auto" w:fill="F2F6FA"/>
          </w:tcPr>
          <w:p>
            <w:pPr>
              <w:spacing w:after="20" w:line="240" w:lineRule="auto"/>
            </w:pPr>
            <w:r>
              <w:rPr>
                <w:b/>
                <w:sz w:val="18"/>
              </w:rPr>
            </w:r>
            <w:r>
              <w:rPr>
                <w:b/>
                <w:sz w:val="18"/>
              </w:rPr>
              <w:t>Object store</w:t>
            </w:r>
          </w:p>
        </w:tc>
        <w:tc>
          <w:tcPr>
            <w:tcW w:type="dxa" w:w="7218"/>
            <w:shd w:val="clear" w:color="auto" w:fill="F2F6FA"/>
          </w:tcPr>
          <w:p>
            <w:pPr>
              <w:spacing w:after="20" w:line="240" w:lineRule="auto"/>
            </w:pPr>
            <w:r>
              <w:rPr>
                <w:sz w:val="18"/>
              </w:rPr>
            </w:r>
            <w:r>
              <w:rPr>
                <w:sz w:val="18"/>
              </w:rPr>
              <w:t>MinIO/Ceph erasure coding across nodes; versioning and object lock for audit buckets.</w:t>
            </w:r>
          </w:p>
        </w:tc>
      </w:tr>
      <w:tr>
        <w:trPr>
          <w:cantSplit w:val="true"/>
        </w:trPr>
        <w:tc>
          <w:tcPr>
            <w:tcW w:type="dxa" w:w="2095"/>
          </w:tcPr>
          <w:p>
            <w:pPr>
              <w:spacing w:after="20" w:line="240" w:lineRule="auto"/>
            </w:pPr>
            <w:r>
              <w:rPr>
                <w:b/>
                <w:sz w:val="18"/>
              </w:rPr>
            </w:r>
            <w:r>
              <w:rPr>
                <w:b/>
                <w:sz w:val="18"/>
              </w:rPr>
              <w:t>Vault</w:t>
            </w:r>
          </w:p>
        </w:tc>
        <w:tc>
          <w:tcPr>
            <w:tcW w:type="dxa" w:w="7218"/>
          </w:tcPr>
          <w:p>
            <w:pPr>
              <w:spacing w:after="20" w:line="240" w:lineRule="auto"/>
            </w:pPr>
            <w:r>
              <w:rPr>
                <w:sz w:val="18"/>
              </w:rPr>
            </w:r>
            <w:r>
              <w:rPr>
                <w:sz w:val="18"/>
              </w:rPr>
              <w:t>Integrated Raft storage, 3 or 5 nodes, auto-unseal with HSM/KMS.</w:t>
            </w:r>
          </w:p>
        </w:tc>
      </w:tr>
      <w:tr>
        <w:trPr>
          <w:cantSplit w:val="true"/>
        </w:trPr>
        <w:tc>
          <w:tcPr>
            <w:tcW w:type="dxa" w:w="2095"/>
            <w:shd w:val="clear" w:color="auto" w:fill="F2F6FA"/>
          </w:tcPr>
          <w:p>
            <w:pPr>
              <w:spacing w:after="20" w:line="240" w:lineRule="auto"/>
            </w:pPr>
            <w:r>
              <w:rPr>
                <w:b/>
                <w:sz w:val="18"/>
              </w:rPr>
            </w:r>
            <w:r>
              <w:rPr>
                <w:b/>
                <w:sz w:val="18"/>
              </w:rPr>
              <w:t>Event bus</w:t>
            </w:r>
          </w:p>
        </w:tc>
        <w:tc>
          <w:tcPr>
            <w:tcW w:type="dxa" w:w="7218"/>
            <w:shd w:val="clear" w:color="auto" w:fill="F2F6FA"/>
          </w:tcPr>
          <w:p>
            <w:pPr>
              <w:spacing w:after="20" w:line="240" w:lineRule="auto"/>
            </w:pPr>
            <w:r>
              <w:rPr>
                <w:sz w:val="18"/>
              </w:rPr>
            </w:r>
            <w:r>
              <w:rPr>
                <w:sz w:val="18"/>
              </w:rPr>
              <w:t>Kafka with replication factor 3 (KRaft) or NATS JetStream clustered.</w:t>
            </w:r>
          </w:p>
        </w:tc>
      </w:tr>
    </w:tbl>
    <w:p>
      <w:pPr>
        <w:spacing w:after="80"/>
      </w:pPr>
    </w:p>
    <w:p>
      <w:pPr>
        <w:pStyle w:val="Heading2"/>
      </w:pPr>
      <w:r>
        <w:t>7.4 Disaster recovery</w:t>
      </w:r>
    </w:p>
    <w:p>
      <w:pPr>
        <w:pStyle w:val="ListBullet"/>
      </w:pPr>
      <w:r>
        <w:rPr>
          <w:b/>
        </w:rPr>
        <w:t>Warm standby</w:t>
      </w:r>
      <w:r>
        <w:t xml:space="preserve"> at a second site/region: same manifests via GitOps (Argo CD or Flux), data services replicated (Postgres streaming replication, object bucket replication, vector index snapshots or re-index from source), GPU pool scaled to minimum (e.g. 25 to 50 percent capacity) to serve degraded mode after failover.</w:t>
      </w:r>
    </w:p>
    <w:p>
      <w:pPr>
        <w:pStyle w:val="ListBullet"/>
      </w:pPr>
      <w:r>
        <w:rPr>
          <w:b/>
        </w:rPr>
        <w:t>Targets</w:t>
      </w:r>
      <w:r>
        <w:t>: RPO under 15 minutes for conversations, routines and audit; RTO under 4 hours full service, under 1 hour for chat in reduced capacity.</w:t>
      </w:r>
    </w:p>
    <w:p>
      <w:pPr>
        <w:pStyle w:val="ListBullet"/>
      </w:pPr>
      <w:r>
        <w:t>Vector indexes are derived data; they can be rebuilt from sources if needed, but snapshotting reduces RTO.</w:t>
      </w:r>
    </w:p>
    <w:p>
      <w:pPr>
        <w:pStyle w:val="ListBullet"/>
      </w:pPr>
      <w:r>
        <w:t>Quarterly DR drills; documented failover/failback runbooks; DNS or global load balancer switch.</w:t>
      </w:r>
    </w:p>
    <w:p>
      <w:pPr>
        <w:pStyle w:val="ListBullet"/>
      </w:pPr>
      <w:r>
        <w:t>Backups: daily full + continuous WAL for Postgres; Vault snapshots; Temporal database backups; configuration in Git.</w:t>
      </w:r>
    </w:p>
    <w:p>
      <w:pPr>
        <w:pStyle w:val="Heading2"/>
      </w:pPr>
      <w:r>
        <w:t>7.5 Environments</w:t>
      </w:r>
    </w:p>
    <w:p>
      <w:r>
        <w:t xml:space="preserve">Separate </w:t>
      </w:r>
      <w:r>
        <w:rPr>
          <w:b/>
        </w:rPr>
        <w:t>dev</w:t>
      </w:r>
      <w:r>
        <w:t xml:space="preserve">, </w:t>
      </w:r>
      <w:r>
        <w:rPr>
          <w:b/>
        </w:rPr>
        <w:t>staging</w:t>
      </w:r>
      <w:r>
        <w:t xml:space="preserve"> and </w:t>
      </w:r>
      <w:r>
        <w:rPr>
          <w:b/>
        </w:rPr>
        <w:t>production</w:t>
      </w:r>
      <w:r>
        <w:t xml:space="preserve"> environments (at minimum separate namespaces with separate data and credentials; production on its own cluster). Staging mirrors production topology at small scale with synthetic or masked data and runs the evaluation suite on every release. A shared lower-environment GPU pool hosts smaller or quantised models to save capacity.</w:t>
      </w:r>
    </w:p>
    <w:p>
      <w:pPr>
        <w:spacing w:after="0"/>
      </w:pPr>
      <w:r>
        <w:br w:type="page"/>
      </w:r>
    </w:p>
    <w:p>
      <w:pPr>
        <w:pStyle w:val="Heading1"/>
      </w:pPr>
      <w:r>
        <w:t>8. Security Threat Model</w:t>
      </w:r>
    </w:p>
    <w:p>
      <w:r>
        <w:t>The table summarises principal threats using a STRIDE-informed view adapted to agentic systems (including categories highlighted in the OWASP Top 10 for LLM Applications and emerging agentic-AI guidance). Likelihood and residual risk should be assessed in a formal threat-modelling workshop.</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496"/>
        <w:gridCol w:w="2424"/>
        <w:gridCol w:w="1873"/>
        <w:gridCol w:w="4519"/>
      </w:tblGrid>
      <w:tr>
        <w:trPr>
          <w:tblHeader w:val="true"/>
        </w:trPr>
        <w:tc>
          <w:tcPr>
            <w:tcW w:type="dxa" w:w="496"/>
            <w:shd w:val="clear" w:color="auto" w:fill="1F4E79"/>
          </w:tcPr>
          <w:p>
            <w:r/>
            <w:r>
              <w:rPr>
                <w:b/>
                <w:color w:val="FFFFFF"/>
                <w:sz w:val="17"/>
              </w:rPr>
              <w:t>#</w:t>
            </w:r>
          </w:p>
        </w:tc>
        <w:tc>
          <w:tcPr>
            <w:tcW w:type="dxa" w:w="2424"/>
            <w:shd w:val="clear" w:color="auto" w:fill="1F4E79"/>
          </w:tcPr>
          <w:p>
            <w:r/>
            <w:r>
              <w:rPr>
                <w:b/>
                <w:color w:val="FFFFFF"/>
                <w:sz w:val="17"/>
              </w:rPr>
              <w:t>Threat</w:t>
            </w:r>
          </w:p>
        </w:tc>
        <w:tc>
          <w:tcPr>
            <w:tcW w:type="dxa" w:w="1873"/>
            <w:shd w:val="clear" w:color="auto" w:fill="1F4E79"/>
          </w:tcPr>
          <w:p>
            <w:r/>
            <w:r>
              <w:rPr>
                <w:b/>
                <w:color w:val="FFFFFF"/>
                <w:sz w:val="17"/>
              </w:rPr>
              <w:t>Impact</w:t>
            </w:r>
          </w:p>
        </w:tc>
        <w:tc>
          <w:tcPr>
            <w:tcW w:type="dxa" w:w="4519"/>
            <w:shd w:val="clear" w:color="auto" w:fill="1F4E79"/>
          </w:tcPr>
          <w:p>
            <w:r/>
            <w:r>
              <w:rPr>
                <w:b/>
                <w:color w:val="FFFFFF"/>
                <w:sz w:val="17"/>
              </w:rPr>
              <w:t>Mitigations</w:t>
            </w:r>
          </w:p>
        </w:tc>
      </w:tr>
      <w:tr>
        <w:trPr>
          <w:cantSplit w:val="true"/>
        </w:trPr>
        <w:tc>
          <w:tcPr>
            <w:tcW w:type="dxa" w:w="496"/>
          </w:tcPr>
          <w:p>
            <w:pPr>
              <w:spacing w:after="20" w:line="240" w:lineRule="auto"/>
            </w:pPr>
            <w:r>
              <w:rPr>
                <w:b/>
                <w:sz w:val="17"/>
              </w:rPr>
            </w:r>
            <w:r>
              <w:rPr>
                <w:b/>
                <w:sz w:val="17"/>
              </w:rPr>
              <w:t>T1</w:t>
            </w:r>
          </w:p>
        </w:tc>
        <w:tc>
          <w:tcPr>
            <w:tcW w:type="dxa" w:w="2424"/>
          </w:tcPr>
          <w:p>
            <w:pPr>
              <w:spacing w:after="20" w:line="240" w:lineRule="auto"/>
            </w:pPr>
            <w:r>
              <w:rPr>
                <w:sz w:val="17"/>
              </w:rPr>
            </w:r>
            <w:r>
              <w:rPr>
                <w:sz w:val="17"/>
              </w:rPr>
              <w:t>Indirect prompt injection via documents, emails, web pages or tool output</w:t>
            </w:r>
          </w:p>
        </w:tc>
        <w:tc>
          <w:tcPr>
            <w:tcW w:type="dxa" w:w="1873"/>
          </w:tcPr>
          <w:p>
            <w:pPr>
              <w:spacing w:after="20" w:line="240" w:lineRule="auto"/>
            </w:pPr>
            <w:r>
              <w:rPr>
                <w:sz w:val="17"/>
              </w:rPr>
            </w:r>
            <w:r>
              <w:rPr>
                <w:sz w:val="17"/>
              </w:rPr>
              <w:t>Agent performs unintended actions, leaks data</w:t>
            </w:r>
          </w:p>
        </w:tc>
        <w:tc>
          <w:tcPr>
            <w:tcW w:type="dxa" w:w="4519"/>
          </w:tcPr>
          <w:p>
            <w:pPr>
              <w:spacing w:after="20" w:line="240" w:lineRule="auto"/>
            </w:pPr>
            <w:r>
              <w:rPr>
                <w:sz w:val="17"/>
              </w:rPr>
            </w:r>
            <w:r>
              <w:rPr>
                <w:sz w:val="17"/>
              </w:rPr>
              <w:t>Untrusted-data wrapping; authority only from user/policy; approval of W2/W3 actions; quarantined reader subagents; egress allowlists; injection classifiers; red-team suite.</w:t>
            </w:r>
          </w:p>
        </w:tc>
      </w:tr>
      <w:tr>
        <w:trPr>
          <w:cantSplit w:val="true"/>
        </w:trPr>
        <w:tc>
          <w:tcPr>
            <w:tcW w:type="dxa" w:w="496"/>
            <w:shd w:val="clear" w:color="auto" w:fill="F2F6FA"/>
          </w:tcPr>
          <w:p>
            <w:pPr>
              <w:spacing w:after="20" w:line="240" w:lineRule="auto"/>
            </w:pPr>
            <w:r>
              <w:rPr>
                <w:b/>
                <w:sz w:val="17"/>
              </w:rPr>
            </w:r>
            <w:r>
              <w:rPr>
                <w:b/>
                <w:sz w:val="17"/>
              </w:rPr>
              <w:t>T2</w:t>
            </w:r>
          </w:p>
        </w:tc>
        <w:tc>
          <w:tcPr>
            <w:tcW w:type="dxa" w:w="2424"/>
            <w:shd w:val="clear" w:color="auto" w:fill="F2F6FA"/>
          </w:tcPr>
          <w:p>
            <w:pPr>
              <w:spacing w:after="20" w:line="240" w:lineRule="auto"/>
            </w:pPr>
            <w:r>
              <w:rPr>
                <w:sz w:val="17"/>
              </w:rPr>
            </w:r>
            <w:r>
              <w:rPr>
                <w:sz w:val="17"/>
              </w:rPr>
              <w:t>Data exfiltration through tool calls, links, images or sandbox network</w:t>
            </w:r>
          </w:p>
        </w:tc>
        <w:tc>
          <w:tcPr>
            <w:tcW w:type="dxa" w:w="1873"/>
            <w:shd w:val="clear" w:color="auto" w:fill="F2F6FA"/>
          </w:tcPr>
          <w:p>
            <w:pPr>
              <w:spacing w:after="20" w:line="240" w:lineRule="auto"/>
            </w:pPr>
            <w:r>
              <w:rPr>
                <w:sz w:val="17"/>
              </w:rPr>
            </w:r>
            <w:r>
              <w:rPr>
                <w:sz w:val="17"/>
              </w:rPr>
              <w:t>Confidential data leaves company</w:t>
            </w:r>
          </w:p>
        </w:tc>
        <w:tc>
          <w:tcPr>
            <w:tcW w:type="dxa" w:w="4519"/>
            <w:shd w:val="clear" w:color="auto" w:fill="F2F6FA"/>
          </w:tcPr>
          <w:p>
            <w:pPr>
              <w:spacing w:after="20" w:line="240" w:lineRule="auto"/>
            </w:pPr>
            <w:r>
              <w:rPr>
                <w:sz w:val="17"/>
              </w:rPr>
            </w:r>
            <w:r>
              <w:rPr>
                <w:sz w:val="17"/>
              </w:rPr>
              <w:t>Default-deny egress; no external model APIs; block auto-rendered external URLs; DLP on outbound messages; approval for new external recipients; audit and anomaly detection.</w:t>
            </w:r>
          </w:p>
        </w:tc>
      </w:tr>
      <w:tr>
        <w:trPr>
          <w:cantSplit w:val="true"/>
        </w:trPr>
        <w:tc>
          <w:tcPr>
            <w:tcW w:type="dxa" w:w="496"/>
          </w:tcPr>
          <w:p>
            <w:pPr>
              <w:spacing w:after="20" w:line="240" w:lineRule="auto"/>
            </w:pPr>
            <w:r>
              <w:rPr>
                <w:b/>
                <w:sz w:val="17"/>
              </w:rPr>
            </w:r>
            <w:r>
              <w:rPr>
                <w:b/>
                <w:sz w:val="17"/>
              </w:rPr>
              <w:t>T3</w:t>
            </w:r>
          </w:p>
        </w:tc>
        <w:tc>
          <w:tcPr>
            <w:tcW w:type="dxa" w:w="2424"/>
          </w:tcPr>
          <w:p>
            <w:pPr>
              <w:spacing w:after="20" w:line="240" w:lineRule="auto"/>
            </w:pPr>
            <w:r>
              <w:rPr>
                <w:sz w:val="17"/>
              </w:rPr>
            </w:r>
            <w:r>
              <w:rPr>
                <w:sz w:val="17"/>
              </w:rPr>
              <w:t>Privilege escalation via the agent (confused deputy)</w:t>
            </w:r>
          </w:p>
        </w:tc>
        <w:tc>
          <w:tcPr>
            <w:tcW w:type="dxa" w:w="1873"/>
          </w:tcPr>
          <w:p>
            <w:pPr>
              <w:spacing w:after="20" w:line="240" w:lineRule="auto"/>
            </w:pPr>
            <w:r>
              <w:rPr>
                <w:sz w:val="17"/>
              </w:rPr>
            </w:r>
            <w:r>
              <w:rPr>
                <w:sz w:val="17"/>
              </w:rPr>
              <w:t>User accesses data beyond their rights</w:t>
            </w:r>
          </w:p>
        </w:tc>
        <w:tc>
          <w:tcPr>
            <w:tcW w:type="dxa" w:w="4519"/>
          </w:tcPr>
          <w:p>
            <w:pPr>
              <w:spacing w:after="20" w:line="240" w:lineRule="auto"/>
            </w:pPr>
            <w:r>
              <w:rPr>
                <w:sz w:val="17"/>
              </w:rPr>
            </w:r>
            <w:r>
              <w:rPr>
                <w:sz w:val="17"/>
              </w:rPr>
              <w:t>Delegated per-user tokens; no shared super-user service accounts; ABAC policy on every call; ACL filters derived from verified identity, not model arguments.</w:t>
            </w:r>
          </w:p>
        </w:tc>
      </w:tr>
      <w:tr>
        <w:trPr>
          <w:cantSplit w:val="true"/>
        </w:trPr>
        <w:tc>
          <w:tcPr>
            <w:tcW w:type="dxa" w:w="496"/>
            <w:shd w:val="clear" w:color="auto" w:fill="F2F6FA"/>
          </w:tcPr>
          <w:p>
            <w:pPr>
              <w:spacing w:after="20" w:line="240" w:lineRule="auto"/>
            </w:pPr>
            <w:r>
              <w:rPr>
                <w:b/>
                <w:sz w:val="17"/>
              </w:rPr>
            </w:r>
            <w:r>
              <w:rPr>
                <w:b/>
                <w:sz w:val="17"/>
              </w:rPr>
              <w:t>T4</w:t>
            </w:r>
          </w:p>
        </w:tc>
        <w:tc>
          <w:tcPr>
            <w:tcW w:type="dxa" w:w="2424"/>
            <w:shd w:val="clear" w:color="auto" w:fill="F2F6FA"/>
          </w:tcPr>
          <w:p>
            <w:pPr>
              <w:spacing w:after="20" w:line="240" w:lineRule="auto"/>
            </w:pPr>
            <w:r>
              <w:rPr>
                <w:sz w:val="17"/>
              </w:rPr>
            </w:r>
            <w:r>
              <w:rPr>
                <w:sz w:val="17"/>
              </w:rPr>
              <w:t>Sandbox escape or abuse (malware, crypto-mining, lateral movement)</w:t>
            </w:r>
          </w:p>
        </w:tc>
        <w:tc>
          <w:tcPr>
            <w:tcW w:type="dxa" w:w="1873"/>
            <w:shd w:val="clear" w:color="auto" w:fill="F2F6FA"/>
          </w:tcPr>
          <w:p>
            <w:pPr>
              <w:spacing w:after="20" w:line="240" w:lineRule="auto"/>
            </w:pPr>
            <w:r>
              <w:rPr>
                <w:sz w:val="17"/>
              </w:rPr>
            </w:r>
            <w:r>
              <w:rPr>
                <w:sz w:val="17"/>
              </w:rPr>
              <w:t>Cluster compromise</w:t>
            </w:r>
          </w:p>
        </w:tc>
        <w:tc>
          <w:tcPr>
            <w:tcW w:type="dxa" w:w="4519"/>
            <w:shd w:val="clear" w:color="auto" w:fill="F2F6FA"/>
          </w:tcPr>
          <w:p>
            <w:pPr>
              <w:spacing w:after="20" w:line="240" w:lineRule="auto"/>
            </w:pPr>
            <w:r>
              <w:rPr>
                <w:sz w:val="17"/>
              </w:rPr>
            </w:r>
            <w:r>
              <w:rPr>
                <w:sz w:val="17"/>
              </w:rPr>
              <w:t>Kata/Firecracker or gVisor; dedicated nodes; seccomp/AppArmor; no secrets in sandbox; network isolation; runtime detection (Falco/Tetragon); resource limits.</w:t>
            </w:r>
          </w:p>
        </w:tc>
      </w:tr>
      <w:tr>
        <w:trPr>
          <w:cantSplit w:val="true"/>
        </w:trPr>
        <w:tc>
          <w:tcPr>
            <w:tcW w:type="dxa" w:w="496"/>
          </w:tcPr>
          <w:p>
            <w:pPr>
              <w:spacing w:after="20" w:line="240" w:lineRule="auto"/>
            </w:pPr>
            <w:r>
              <w:rPr>
                <w:b/>
                <w:sz w:val="17"/>
              </w:rPr>
            </w:r>
            <w:r>
              <w:rPr>
                <w:b/>
                <w:sz w:val="17"/>
              </w:rPr>
              <w:t>T5</w:t>
            </w:r>
          </w:p>
        </w:tc>
        <w:tc>
          <w:tcPr>
            <w:tcW w:type="dxa" w:w="2424"/>
          </w:tcPr>
          <w:p>
            <w:pPr>
              <w:spacing w:after="20" w:line="240" w:lineRule="auto"/>
            </w:pPr>
            <w:r>
              <w:rPr>
                <w:sz w:val="17"/>
              </w:rPr>
            </w:r>
            <w:r>
              <w:rPr>
                <w:sz w:val="17"/>
              </w:rPr>
              <w:t>Malicious or compromised MCP server / tool poisoning</w:t>
            </w:r>
          </w:p>
        </w:tc>
        <w:tc>
          <w:tcPr>
            <w:tcW w:type="dxa" w:w="1873"/>
          </w:tcPr>
          <w:p>
            <w:pPr>
              <w:spacing w:after="20" w:line="240" w:lineRule="auto"/>
            </w:pPr>
            <w:r>
              <w:rPr>
                <w:sz w:val="17"/>
              </w:rPr>
            </w:r>
            <w:r>
              <w:rPr>
                <w:sz w:val="17"/>
              </w:rPr>
              <w:t>Hidden instructions, data theft, wrong actions</w:t>
            </w:r>
          </w:p>
        </w:tc>
        <w:tc>
          <w:tcPr>
            <w:tcW w:type="dxa" w:w="4519"/>
          </w:tcPr>
          <w:p>
            <w:pPr>
              <w:spacing w:after="20" w:line="240" w:lineRule="auto"/>
            </w:pPr>
            <w:r>
              <w:rPr>
                <w:sz w:val="17"/>
              </w:rPr>
            </w:r>
            <w:r>
              <w:rPr>
                <w:sz w:val="17"/>
              </w:rPr>
              <w:t>Internal build and review of servers; pinned versions and signed images; description hash monitoring; gateway-enforced scopes; per-server network policies.</w:t>
            </w:r>
          </w:p>
        </w:tc>
      </w:tr>
      <w:tr>
        <w:trPr>
          <w:cantSplit w:val="true"/>
        </w:trPr>
        <w:tc>
          <w:tcPr>
            <w:tcW w:type="dxa" w:w="496"/>
            <w:shd w:val="clear" w:color="auto" w:fill="F2F6FA"/>
          </w:tcPr>
          <w:p>
            <w:pPr>
              <w:spacing w:after="20" w:line="240" w:lineRule="auto"/>
            </w:pPr>
            <w:r>
              <w:rPr>
                <w:b/>
                <w:sz w:val="17"/>
              </w:rPr>
            </w:r>
            <w:r>
              <w:rPr>
                <w:b/>
                <w:sz w:val="17"/>
              </w:rPr>
              <w:t>T6</w:t>
            </w:r>
          </w:p>
        </w:tc>
        <w:tc>
          <w:tcPr>
            <w:tcW w:type="dxa" w:w="2424"/>
            <w:shd w:val="clear" w:color="auto" w:fill="F2F6FA"/>
          </w:tcPr>
          <w:p>
            <w:pPr>
              <w:spacing w:after="20" w:line="240" w:lineRule="auto"/>
            </w:pPr>
            <w:r>
              <w:rPr>
                <w:sz w:val="17"/>
              </w:rPr>
            </w:r>
            <w:r>
              <w:rPr>
                <w:sz w:val="17"/>
              </w:rPr>
              <w:t>Unsafe SQL or destructive writes</w:t>
            </w:r>
          </w:p>
        </w:tc>
        <w:tc>
          <w:tcPr>
            <w:tcW w:type="dxa" w:w="1873"/>
            <w:shd w:val="clear" w:color="auto" w:fill="F2F6FA"/>
          </w:tcPr>
          <w:p>
            <w:pPr>
              <w:spacing w:after="20" w:line="240" w:lineRule="auto"/>
            </w:pPr>
            <w:r>
              <w:rPr>
                <w:sz w:val="17"/>
              </w:rPr>
            </w:r>
            <w:r>
              <w:rPr>
                <w:sz w:val="17"/>
              </w:rPr>
              <w:t>Data loss, outage, wrong decisions</w:t>
            </w:r>
          </w:p>
        </w:tc>
        <w:tc>
          <w:tcPr>
            <w:tcW w:type="dxa" w:w="4519"/>
            <w:shd w:val="clear" w:color="auto" w:fill="F2F6FA"/>
          </w:tcPr>
          <w:p>
            <w:pPr>
              <w:spacing w:after="20" w:line="240" w:lineRule="auto"/>
            </w:pPr>
            <w:r>
              <w:rPr>
                <w:sz w:val="17"/>
              </w:rPr>
            </w:r>
            <w:r>
              <w:rPr>
                <w:sz w:val="17"/>
              </w:rPr>
              <w:t>Read replicas; read-only roles; parser-based validation; limits and timeouts; narrow write tools with approval, dry run and change windows.</w:t>
            </w:r>
          </w:p>
        </w:tc>
      </w:tr>
      <w:tr>
        <w:trPr>
          <w:cantSplit w:val="true"/>
        </w:trPr>
        <w:tc>
          <w:tcPr>
            <w:tcW w:type="dxa" w:w="496"/>
          </w:tcPr>
          <w:p>
            <w:pPr>
              <w:spacing w:after="20" w:line="240" w:lineRule="auto"/>
            </w:pPr>
            <w:r>
              <w:rPr>
                <w:b/>
                <w:sz w:val="17"/>
              </w:rPr>
            </w:r>
            <w:r>
              <w:rPr>
                <w:b/>
                <w:sz w:val="17"/>
              </w:rPr>
              <w:t>T7</w:t>
            </w:r>
          </w:p>
        </w:tc>
        <w:tc>
          <w:tcPr>
            <w:tcW w:type="dxa" w:w="2424"/>
          </w:tcPr>
          <w:p>
            <w:pPr>
              <w:spacing w:after="20" w:line="240" w:lineRule="auto"/>
            </w:pPr>
            <w:r>
              <w:rPr>
                <w:sz w:val="17"/>
              </w:rPr>
            </w:r>
            <w:r>
              <w:rPr>
                <w:sz w:val="17"/>
              </w:rPr>
              <w:t>RAG ACL bypass or stale permissions</w:t>
            </w:r>
          </w:p>
        </w:tc>
        <w:tc>
          <w:tcPr>
            <w:tcW w:type="dxa" w:w="1873"/>
          </w:tcPr>
          <w:p>
            <w:pPr>
              <w:spacing w:after="20" w:line="240" w:lineRule="auto"/>
            </w:pPr>
            <w:r>
              <w:rPr>
                <w:sz w:val="17"/>
              </w:rPr>
            </w:r>
            <w:r>
              <w:rPr>
                <w:sz w:val="17"/>
              </w:rPr>
              <w:t>Exposure of restricted documents</w:t>
            </w:r>
          </w:p>
        </w:tc>
        <w:tc>
          <w:tcPr>
            <w:tcW w:type="dxa" w:w="4519"/>
          </w:tcPr>
          <w:p>
            <w:pPr>
              <w:spacing w:after="20" w:line="240" w:lineRule="auto"/>
            </w:pPr>
            <w:r>
              <w:rPr>
                <w:sz w:val="17"/>
              </w:rPr>
            </w:r>
            <w:r>
              <w:rPr>
                <w:sz w:val="17"/>
              </w:rPr>
              <w:t>In-query mandatory ACL filter; late verification for sensitive collections; fast permission sync; tombstone deletes; periodic ACL reconciliation tests.</w:t>
            </w:r>
          </w:p>
        </w:tc>
      </w:tr>
      <w:tr>
        <w:trPr>
          <w:cantSplit w:val="true"/>
        </w:trPr>
        <w:tc>
          <w:tcPr>
            <w:tcW w:type="dxa" w:w="496"/>
            <w:shd w:val="clear" w:color="auto" w:fill="F2F6FA"/>
          </w:tcPr>
          <w:p>
            <w:pPr>
              <w:spacing w:after="20" w:line="240" w:lineRule="auto"/>
            </w:pPr>
            <w:r>
              <w:rPr>
                <w:b/>
                <w:sz w:val="17"/>
              </w:rPr>
            </w:r>
            <w:r>
              <w:rPr>
                <w:b/>
                <w:sz w:val="17"/>
              </w:rPr>
              <w:t>T8</w:t>
            </w:r>
          </w:p>
        </w:tc>
        <w:tc>
          <w:tcPr>
            <w:tcW w:type="dxa" w:w="2424"/>
            <w:shd w:val="clear" w:color="auto" w:fill="F2F6FA"/>
          </w:tcPr>
          <w:p>
            <w:pPr>
              <w:spacing w:after="20" w:line="240" w:lineRule="auto"/>
            </w:pPr>
            <w:r>
              <w:rPr>
                <w:sz w:val="17"/>
              </w:rPr>
            </w:r>
            <w:r>
              <w:rPr>
                <w:sz w:val="17"/>
              </w:rPr>
              <w:t>Memory poisoning</w:t>
            </w:r>
          </w:p>
        </w:tc>
        <w:tc>
          <w:tcPr>
            <w:tcW w:type="dxa" w:w="1873"/>
            <w:shd w:val="clear" w:color="auto" w:fill="F2F6FA"/>
          </w:tcPr>
          <w:p>
            <w:pPr>
              <w:spacing w:after="20" w:line="240" w:lineRule="auto"/>
            </w:pPr>
            <w:r>
              <w:rPr>
                <w:sz w:val="17"/>
              </w:rPr>
            </w:r>
            <w:r>
              <w:rPr>
                <w:sz w:val="17"/>
              </w:rPr>
              <w:t>Persistent manipulation of future sessions</w:t>
            </w:r>
          </w:p>
        </w:tc>
        <w:tc>
          <w:tcPr>
            <w:tcW w:type="dxa" w:w="4519"/>
            <w:shd w:val="clear" w:color="auto" w:fill="F2F6FA"/>
          </w:tcPr>
          <w:p>
            <w:pPr>
              <w:spacing w:after="20" w:line="240" w:lineRule="auto"/>
            </w:pPr>
            <w:r>
              <w:rPr>
                <w:sz w:val="17"/>
              </w:rPr>
            </w:r>
            <w:r>
              <w:rPr>
                <w:sz w:val="17"/>
              </w:rPr>
              <w:t>Provenance and trust levels on facts; no automatic promotion from untrusted sources; user-visible memory; review for agent-level memory.</w:t>
            </w:r>
          </w:p>
        </w:tc>
      </w:tr>
      <w:tr>
        <w:trPr>
          <w:cantSplit w:val="true"/>
        </w:trPr>
        <w:tc>
          <w:tcPr>
            <w:tcW w:type="dxa" w:w="496"/>
          </w:tcPr>
          <w:p>
            <w:pPr>
              <w:spacing w:after="20" w:line="240" w:lineRule="auto"/>
            </w:pPr>
            <w:r>
              <w:rPr>
                <w:b/>
                <w:sz w:val="17"/>
              </w:rPr>
            </w:r>
            <w:r>
              <w:rPr>
                <w:b/>
                <w:sz w:val="17"/>
              </w:rPr>
              <w:t>T9</w:t>
            </w:r>
          </w:p>
        </w:tc>
        <w:tc>
          <w:tcPr>
            <w:tcW w:type="dxa" w:w="2424"/>
          </w:tcPr>
          <w:p>
            <w:pPr>
              <w:spacing w:after="20" w:line="240" w:lineRule="auto"/>
            </w:pPr>
            <w:r>
              <w:rPr>
                <w:sz w:val="17"/>
              </w:rPr>
            </w:r>
            <w:r>
              <w:rPr>
                <w:sz w:val="17"/>
              </w:rPr>
              <w:t>Model supply-chain risk (tampered weights, malicious code in model repos)</w:t>
            </w:r>
          </w:p>
        </w:tc>
        <w:tc>
          <w:tcPr>
            <w:tcW w:type="dxa" w:w="1873"/>
          </w:tcPr>
          <w:p>
            <w:pPr>
              <w:spacing w:after="20" w:line="240" w:lineRule="auto"/>
            </w:pPr>
            <w:r>
              <w:rPr>
                <w:sz w:val="17"/>
              </w:rPr>
            </w:r>
            <w:r>
              <w:rPr>
                <w:sz w:val="17"/>
              </w:rPr>
              <w:t>Backdoored behaviour, code execution at load</w:t>
            </w:r>
          </w:p>
        </w:tc>
        <w:tc>
          <w:tcPr>
            <w:tcW w:type="dxa" w:w="4519"/>
          </w:tcPr>
          <w:p>
            <w:pPr>
              <w:spacing w:after="20" w:line="240" w:lineRule="auto"/>
            </w:pPr>
            <w:r>
              <w:rPr>
                <w:sz w:val="17"/>
              </w:rPr>
            </w:r>
            <w:r>
              <w:rPr>
                <w:sz w:val="17"/>
              </w:rPr>
              <w:t>Download from vetted sources into quarantine; checksums and signatures; safetensors only (no pickle); disable remote code execution in loaders; evaluate before promotion.</w:t>
            </w:r>
          </w:p>
        </w:tc>
      </w:tr>
      <w:tr>
        <w:trPr>
          <w:cantSplit w:val="true"/>
        </w:trPr>
        <w:tc>
          <w:tcPr>
            <w:tcW w:type="dxa" w:w="496"/>
            <w:shd w:val="clear" w:color="auto" w:fill="F2F6FA"/>
          </w:tcPr>
          <w:p>
            <w:pPr>
              <w:spacing w:after="20" w:line="240" w:lineRule="auto"/>
            </w:pPr>
            <w:r>
              <w:rPr>
                <w:b/>
                <w:sz w:val="17"/>
              </w:rPr>
            </w:r>
            <w:r>
              <w:rPr>
                <w:b/>
                <w:sz w:val="17"/>
              </w:rPr>
              <w:t>T10</w:t>
            </w:r>
          </w:p>
        </w:tc>
        <w:tc>
          <w:tcPr>
            <w:tcW w:type="dxa" w:w="2424"/>
            <w:shd w:val="clear" w:color="auto" w:fill="F2F6FA"/>
          </w:tcPr>
          <w:p>
            <w:pPr>
              <w:spacing w:after="20" w:line="240" w:lineRule="auto"/>
            </w:pPr>
            <w:r>
              <w:rPr>
                <w:sz w:val="17"/>
              </w:rPr>
            </w:r>
            <w:r>
              <w:rPr>
                <w:sz w:val="17"/>
              </w:rPr>
              <w:t>Sensitive data in logs, traces and eval datasets</w:t>
            </w:r>
          </w:p>
        </w:tc>
        <w:tc>
          <w:tcPr>
            <w:tcW w:type="dxa" w:w="1873"/>
            <w:shd w:val="clear" w:color="auto" w:fill="F2F6FA"/>
          </w:tcPr>
          <w:p>
            <w:pPr>
              <w:spacing w:after="20" w:line="240" w:lineRule="auto"/>
            </w:pPr>
            <w:r>
              <w:rPr>
                <w:sz w:val="17"/>
              </w:rPr>
            </w:r>
            <w:r>
              <w:rPr>
                <w:sz w:val="17"/>
              </w:rPr>
              <w:t>Secondary data exposure</w:t>
            </w:r>
          </w:p>
        </w:tc>
        <w:tc>
          <w:tcPr>
            <w:tcW w:type="dxa" w:w="4519"/>
            <w:shd w:val="clear" w:color="auto" w:fill="F2F6FA"/>
          </w:tcPr>
          <w:p>
            <w:pPr>
              <w:spacing w:after="20" w:line="240" w:lineRule="auto"/>
            </w:pPr>
            <w:r>
              <w:rPr>
                <w:sz w:val="17"/>
              </w:rPr>
            </w:r>
            <w:r>
              <w:rPr>
                <w:sz w:val="17"/>
              </w:rPr>
              <w:t>PII redaction in pipelines; access controls on observability tools; retention limits; encrypted storage.</w:t>
            </w:r>
          </w:p>
        </w:tc>
      </w:tr>
      <w:tr>
        <w:trPr>
          <w:cantSplit w:val="true"/>
        </w:trPr>
        <w:tc>
          <w:tcPr>
            <w:tcW w:type="dxa" w:w="496"/>
          </w:tcPr>
          <w:p>
            <w:pPr>
              <w:spacing w:after="20" w:line="240" w:lineRule="auto"/>
            </w:pPr>
            <w:r>
              <w:rPr>
                <w:b/>
                <w:sz w:val="17"/>
              </w:rPr>
            </w:r>
            <w:r>
              <w:rPr>
                <w:b/>
                <w:sz w:val="17"/>
              </w:rPr>
              <w:t>T11</w:t>
            </w:r>
          </w:p>
        </w:tc>
        <w:tc>
          <w:tcPr>
            <w:tcW w:type="dxa" w:w="2424"/>
          </w:tcPr>
          <w:p>
            <w:pPr>
              <w:spacing w:after="20" w:line="240" w:lineRule="auto"/>
            </w:pPr>
            <w:r>
              <w:rPr>
                <w:sz w:val="17"/>
              </w:rPr>
            </w:r>
            <w:r>
              <w:rPr>
                <w:sz w:val="17"/>
              </w:rPr>
              <w:t>Denial of service / runaway costs (agent loops, huge prompts)</w:t>
            </w:r>
          </w:p>
        </w:tc>
        <w:tc>
          <w:tcPr>
            <w:tcW w:type="dxa" w:w="1873"/>
          </w:tcPr>
          <w:p>
            <w:pPr>
              <w:spacing w:after="20" w:line="240" w:lineRule="auto"/>
            </w:pPr>
            <w:r>
              <w:rPr>
                <w:sz w:val="17"/>
              </w:rPr>
            </w:r>
            <w:r>
              <w:rPr>
                <w:sz w:val="17"/>
              </w:rPr>
              <w:t>GPU starvation, outages</w:t>
            </w:r>
          </w:p>
        </w:tc>
        <w:tc>
          <w:tcPr>
            <w:tcW w:type="dxa" w:w="4519"/>
          </w:tcPr>
          <w:p>
            <w:pPr>
              <w:spacing w:after="20" w:line="240" w:lineRule="auto"/>
            </w:pPr>
            <w:r>
              <w:rPr>
                <w:sz w:val="17"/>
              </w:rPr>
            </w:r>
            <w:r>
              <w:rPr>
                <w:sz w:val="17"/>
              </w:rPr>
              <w:t>Per-user/agent quotas; step and token budgets; rate limits; circuit breakers on routines; priority classes (interactive over batch).</w:t>
            </w:r>
          </w:p>
        </w:tc>
      </w:tr>
      <w:tr>
        <w:trPr>
          <w:cantSplit w:val="true"/>
        </w:trPr>
        <w:tc>
          <w:tcPr>
            <w:tcW w:type="dxa" w:w="496"/>
            <w:shd w:val="clear" w:color="auto" w:fill="F2F6FA"/>
          </w:tcPr>
          <w:p>
            <w:pPr>
              <w:spacing w:after="20" w:line="240" w:lineRule="auto"/>
            </w:pPr>
            <w:r>
              <w:rPr>
                <w:b/>
                <w:sz w:val="17"/>
              </w:rPr>
            </w:r>
            <w:r>
              <w:rPr>
                <w:b/>
                <w:sz w:val="17"/>
              </w:rPr>
              <w:t>T12</w:t>
            </w:r>
          </w:p>
        </w:tc>
        <w:tc>
          <w:tcPr>
            <w:tcW w:type="dxa" w:w="2424"/>
            <w:shd w:val="clear" w:color="auto" w:fill="F2F6FA"/>
          </w:tcPr>
          <w:p>
            <w:pPr>
              <w:spacing w:after="20" w:line="240" w:lineRule="auto"/>
            </w:pPr>
            <w:r>
              <w:rPr>
                <w:sz w:val="17"/>
              </w:rPr>
            </w:r>
            <w:r>
              <w:rPr>
                <w:sz w:val="17"/>
              </w:rPr>
              <w:t>Account takeover or stolen tokens</w:t>
            </w:r>
          </w:p>
        </w:tc>
        <w:tc>
          <w:tcPr>
            <w:tcW w:type="dxa" w:w="1873"/>
            <w:shd w:val="clear" w:color="auto" w:fill="F2F6FA"/>
          </w:tcPr>
          <w:p>
            <w:pPr>
              <w:spacing w:after="20" w:line="240" w:lineRule="auto"/>
            </w:pPr>
            <w:r>
              <w:rPr>
                <w:sz w:val="17"/>
              </w:rPr>
            </w:r>
            <w:r>
              <w:rPr>
                <w:sz w:val="17"/>
              </w:rPr>
              <w:t>Impersonation</w:t>
            </w:r>
          </w:p>
        </w:tc>
        <w:tc>
          <w:tcPr>
            <w:tcW w:type="dxa" w:w="4519"/>
            <w:shd w:val="clear" w:color="auto" w:fill="F2F6FA"/>
          </w:tcPr>
          <w:p>
            <w:pPr>
              <w:spacing w:after="20" w:line="240" w:lineRule="auto"/>
            </w:pPr>
            <w:r>
              <w:rPr>
                <w:sz w:val="17"/>
              </w:rPr>
            </w:r>
            <w:r>
              <w:rPr>
                <w:sz w:val="17"/>
              </w:rPr>
              <w:t>SSO with MFA; short-lived tokens; refresh tokens only in Vault; token binding to workload identity; anomaly alerts; immediate revocation via SCIM deprovisioning.</w:t>
            </w:r>
          </w:p>
        </w:tc>
      </w:tr>
      <w:tr>
        <w:trPr>
          <w:cantSplit w:val="true"/>
        </w:trPr>
        <w:tc>
          <w:tcPr>
            <w:tcW w:type="dxa" w:w="496"/>
          </w:tcPr>
          <w:p>
            <w:pPr>
              <w:spacing w:after="20" w:line="240" w:lineRule="auto"/>
            </w:pPr>
            <w:r>
              <w:rPr>
                <w:b/>
                <w:sz w:val="17"/>
              </w:rPr>
            </w:r>
            <w:r>
              <w:rPr>
                <w:b/>
                <w:sz w:val="17"/>
              </w:rPr>
              <w:t>T13</w:t>
            </w:r>
          </w:p>
        </w:tc>
        <w:tc>
          <w:tcPr>
            <w:tcW w:type="dxa" w:w="2424"/>
          </w:tcPr>
          <w:p>
            <w:pPr>
              <w:spacing w:after="20" w:line="240" w:lineRule="auto"/>
            </w:pPr>
            <w:r>
              <w:rPr>
                <w:sz w:val="17"/>
              </w:rPr>
            </w:r>
            <w:r>
              <w:rPr>
                <w:sz w:val="17"/>
              </w:rPr>
              <w:t>Insider misuse by administrators</w:t>
            </w:r>
          </w:p>
        </w:tc>
        <w:tc>
          <w:tcPr>
            <w:tcW w:type="dxa" w:w="1873"/>
          </w:tcPr>
          <w:p>
            <w:pPr>
              <w:spacing w:after="20" w:line="240" w:lineRule="auto"/>
            </w:pPr>
            <w:r>
              <w:rPr>
                <w:sz w:val="17"/>
              </w:rPr>
            </w:r>
            <w:r>
              <w:rPr>
                <w:sz w:val="17"/>
              </w:rPr>
              <w:t>Unauthorised access to conversations</w:t>
            </w:r>
          </w:p>
        </w:tc>
        <w:tc>
          <w:tcPr>
            <w:tcW w:type="dxa" w:w="4519"/>
          </w:tcPr>
          <w:p>
            <w:pPr>
              <w:spacing w:after="20" w:line="240" w:lineRule="auto"/>
            </w:pPr>
            <w:r>
              <w:rPr>
                <w:sz w:val="17"/>
              </w:rPr>
            </w:r>
            <w:r>
              <w:rPr>
                <w:sz w:val="17"/>
              </w:rPr>
              <w:t>Separation of duties; break-glass with approval; access to conversation content audited; tamper-evident audit log outside admin control.</w:t>
            </w:r>
          </w:p>
        </w:tc>
      </w:tr>
      <w:tr>
        <w:trPr>
          <w:cantSplit w:val="true"/>
        </w:trPr>
        <w:tc>
          <w:tcPr>
            <w:tcW w:type="dxa" w:w="496"/>
            <w:shd w:val="clear" w:color="auto" w:fill="F2F6FA"/>
          </w:tcPr>
          <w:p>
            <w:pPr>
              <w:spacing w:after="20" w:line="240" w:lineRule="auto"/>
            </w:pPr>
            <w:r>
              <w:rPr>
                <w:b/>
                <w:sz w:val="17"/>
              </w:rPr>
            </w:r>
            <w:r>
              <w:rPr>
                <w:b/>
                <w:sz w:val="17"/>
              </w:rPr>
              <w:t>T14</w:t>
            </w:r>
          </w:p>
        </w:tc>
        <w:tc>
          <w:tcPr>
            <w:tcW w:type="dxa" w:w="2424"/>
            <w:shd w:val="clear" w:color="auto" w:fill="F2F6FA"/>
          </w:tcPr>
          <w:p>
            <w:pPr>
              <w:spacing w:after="20" w:line="240" w:lineRule="auto"/>
            </w:pPr>
            <w:r>
              <w:rPr>
                <w:sz w:val="17"/>
              </w:rPr>
            </w:r>
            <w:r>
              <w:rPr>
                <w:sz w:val="17"/>
              </w:rPr>
              <w:t>Harmful, biased or incorrect output (hallucination)</w:t>
            </w:r>
          </w:p>
        </w:tc>
        <w:tc>
          <w:tcPr>
            <w:tcW w:type="dxa" w:w="1873"/>
            <w:shd w:val="clear" w:color="auto" w:fill="F2F6FA"/>
          </w:tcPr>
          <w:p>
            <w:pPr>
              <w:spacing w:after="20" w:line="240" w:lineRule="auto"/>
            </w:pPr>
            <w:r>
              <w:rPr>
                <w:sz w:val="17"/>
              </w:rPr>
            </w:r>
            <w:r>
              <w:rPr>
                <w:sz w:val="17"/>
              </w:rPr>
              <w:t>Bad decisions, reputational or legal harm</w:t>
            </w:r>
          </w:p>
        </w:tc>
        <w:tc>
          <w:tcPr>
            <w:tcW w:type="dxa" w:w="4519"/>
            <w:shd w:val="clear" w:color="auto" w:fill="F2F6FA"/>
          </w:tcPr>
          <w:p>
            <w:pPr>
              <w:spacing w:after="20" w:line="240" w:lineRule="auto"/>
            </w:pPr>
            <w:r>
              <w:rPr>
                <w:sz w:val="17"/>
              </w:rPr>
            </w:r>
            <w:r>
              <w:rPr>
                <w:sz w:val="17"/>
              </w:rPr>
              <w:t>Grounding with citations; answerability thresholds; output guardrail models; human review for high-stakes use cases; user education and disclaimers.</w:t>
            </w:r>
          </w:p>
        </w:tc>
      </w:tr>
      <w:tr>
        <w:trPr>
          <w:cantSplit w:val="true"/>
        </w:trPr>
        <w:tc>
          <w:tcPr>
            <w:tcW w:type="dxa" w:w="496"/>
          </w:tcPr>
          <w:p>
            <w:pPr>
              <w:spacing w:after="20" w:line="240" w:lineRule="auto"/>
            </w:pPr>
            <w:r>
              <w:rPr>
                <w:b/>
                <w:sz w:val="17"/>
              </w:rPr>
            </w:r>
            <w:r>
              <w:rPr>
                <w:b/>
                <w:sz w:val="17"/>
              </w:rPr>
              <w:t>T15</w:t>
            </w:r>
          </w:p>
        </w:tc>
        <w:tc>
          <w:tcPr>
            <w:tcW w:type="dxa" w:w="2424"/>
          </w:tcPr>
          <w:p>
            <w:pPr>
              <w:spacing w:after="20" w:line="240" w:lineRule="auto"/>
            </w:pPr>
            <w:r>
              <w:rPr>
                <w:sz w:val="17"/>
              </w:rPr>
            </w:r>
            <w:r>
              <w:rPr>
                <w:sz w:val="17"/>
              </w:rPr>
              <w:t>Repudiation of actions</w:t>
            </w:r>
          </w:p>
        </w:tc>
        <w:tc>
          <w:tcPr>
            <w:tcW w:type="dxa" w:w="1873"/>
          </w:tcPr>
          <w:p>
            <w:pPr>
              <w:spacing w:after="20" w:line="240" w:lineRule="auto"/>
            </w:pPr>
            <w:r>
              <w:rPr>
                <w:sz w:val="17"/>
              </w:rPr>
            </w:r>
            <w:r>
              <w:rPr>
                <w:sz w:val="17"/>
              </w:rPr>
              <w:t>Inability to investigate incidents</w:t>
            </w:r>
          </w:p>
        </w:tc>
        <w:tc>
          <w:tcPr>
            <w:tcW w:type="dxa" w:w="4519"/>
          </w:tcPr>
          <w:p>
            <w:pPr>
              <w:spacing w:after="20" w:line="240" w:lineRule="auto"/>
            </w:pPr>
            <w:r>
              <w:rPr>
                <w:sz w:val="17"/>
              </w:rPr>
            </w:r>
            <w:r>
              <w:rPr>
                <w:sz w:val="17"/>
              </w:rPr>
              <w:t>Hash-chained audit with on-behalf-of identity, argument hashes and approvals; Temporal history; SIEM integration.</w:t>
            </w:r>
          </w:p>
        </w:tc>
      </w:tr>
    </w:tbl>
    <w:p>
      <w:pPr>
        <w:spacing w:after="80"/>
      </w:pPr>
    </w:p>
    <w:p>
      <w:pPr>
        <w:spacing w:after="0"/>
      </w:pPr>
      <w:r>
        <w:br w:type="page"/>
      </w:r>
    </w:p>
    <w:p>
      <w:pPr>
        <w:pStyle w:val="Heading1"/>
      </w:pPr>
      <w:r>
        <w:t>9. Phased Roadmap</w:t>
      </w:r>
    </w:p>
    <w:p>
      <w:r>
        <w:t>Timelines assume a dedicated team, GPU hardware available at the start of each phase (procurement lead times can be months and should start during Phase 0), and timely security and legal reviews. Team sizes are full-time-equivalent engineers excluding part-time stakeholders.</w:t>
      </w:r>
    </w:p>
    <w:p>
      <w:pPr>
        <w:keepNext/>
        <w:spacing w:after="40"/>
        <w:jc w:val="center"/>
      </w:pPr>
      <w:r>
        <w:drawing>
          <wp:inline xmlns:a="http://schemas.openxmlformats.org/drawingml/2006/main" xmlns:pic="http://schemas.openxmlformats.org/drawingml/2006/picture">
            <wp:extent cx="5914390" cy="1478597"/>
            <wp:docPr id="9" name="Picture 9"/>
            <wp:cNvGraphicFramePr>
              <a:graphicFrameLocks noChangeAspect="1"/>
            </wp:cNvGraphicFramePr>
            <a:graphic>
              <a:graphicData uri="http://schemas.openxmlformats.org/drawingml/2006/picture">
                <pic:pic>
                  <pic:nvPicPr>
                    <pic:cNvPr id="0" name="d9_roadmap.png"/>
                    <pic:cNvPicPr/>
                  </pic:nvPicPr>
                  <pic:blipFill>
                    <a:blip r:embed="rId21"/>
                    <a:stretch>
                      <a:fillRect/>
                    </a:stretch>
                  </pic:blipFill>
                  <pic:spPr>
                    <a:xfrm>
                      <a:off x="0" y="0"/>
                      <a:ext cx="5914390" cy="1478597"/>
                    </a:xfrm>
                    <a:prstGeom prst="rect"/>
                  </pic:spPr>
                </pic:pic>
              </a:graphicData>
            </a:graphic>
          </wp:inline>
        </w:drawing>
      </w:r>
    </w:p>
    <w:p>
      <w:pPr>
        <w:spacing w:after="160"/>
        <w:jc w:val="center"/>
      </w:pPr>
      <w:r>
        <w:rPr>
          <w:i/>
          <w:color w:val="595959"/>
          <w:sz w:val="18"/>
        </w:rPr>
        <w:t>Figure 9: Indicative roadmap timeline</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177"/>
        <w:gridCol w:w="3318"/>
        <w:gridCol w:w="2462"/>
        <w:gridCol w:w="1391"/>
        <w:gridCol w:w="963"/>
      </w:tblGrid>
      <w:tr>
        <w:trPr>
          <w:tblHeader w:val="true"/>
        </w:trPr>
        <w:tc>
          <w:tcPr>
            <w:tcW w:type="dxa" w:w="1177"/>
            <w:shd w:val="clear" w:color="auto" w:fill="1F4E79"/>
          </w:tcPr>
          <w:p>
            <w:r/>
            <w:r>
              <w:rPr>
                <w:b/>
                <w:color w:val="FFFFFF"/>
                <w:sz w:val="17"/>
              </w:rPr>
              <w:t>Phase</w:t>
            </w:r>
          </w:p>
        </w:tc>
        <w:tc>
          <w:tcPr>
            <w:tcW w:type="dxa" w:w="3318"/>
            <w:shd w:val="clear" w:color="auto" w:fill="1F4E79"/>
          </w:tcPr>
          <w:p>
            <w:r/>
            <w:r>
              <w:rPr>
                <w:b/>
                <w:color w:val="FFFFFF"/>
                <w:sz w:val="17"/>
              </w:rPr>
              <w:t>Scope</w:t>
            </w:r>
          </w:p>
        </w:tc>
        <w:tc>
          <w:tcPr>
            <w:tcW w:type="dxa" w:w="2462"/>
            <w:shd w:val="clear" w:color="auto" w:fill="1F4E79"/>
          </w:tcPr>
          <w:p>
            <w:r/>
            <w:r>
              <w:rPr>
                <w:b/>
                <w:color w:val="FFFFFF"/>
                <w:sz w:val="17"/>
              </w:rPr>
              <w:t>Exit criteria</w:t>
            </w:r>
          </w:p>
        </w:tc>
        <w:tc>
          <w:tcPr>
            <w:tcW w:type="dxa" w:w="1391"/>
            <w:shd w:val="clear" w:color="auto" w:fill="1F4E79"/>
          </w:tcPr>
          <w:p>
            <w:r/>
            <w:r>
              <w:rPr>
                <w:b/>
                <w:color w:val="FFFFFF"/>
                <w:sz w:val="17"/>
              </w:rPr>
              <w:t>Team (FTE)</w:t>
            </w:r>
          </w:p>
        </w:tc>
        <w:tc>
          <w:tcPr>
            <w:tcW w:type="dxa" w:w="963"/>
            <w:shd w:val="clear" w:color="auto" w:fill="1F4E79"/>
          </w:tcPr>
          <w:p>
            <w:r/>
            <w:r>
              <w:rPr>
                <w:b/>
                <w:color w:val="FFFFFF"/>
                <w:sz w:val="17"/>
              </w:rPr>
              <w:t>Duration</w:t>
            </w:r>
          </w:p>
        </w:tc>
      </w:tr>
      <w:tr>
        <w:trPr>
          <w:cantSplit w:val="true"/>
        </w:trPr>
        <w:tc>
          <w:tcPr>
            <w:tcW w:type="dxa" w:w="1177"/>
          </w:tcPr>
          <w:p>
            <w:pPr>
              <w:spacing w:after="20" w:line="240" w:lineRule="auto"/>
            </w:pPr>
            <w:r>
              <w:rPr>
                <w:b/>
                <w:sz w:val="17"/>
              </w:rPr>
            </w:r>
            <w:r>
              <w:rPr>
                <w:b/>
                <w:sz w:val="17"/>
              </w:rPr>
              <w:t>Phase 0: PoC</w:t>
            </w:r>
          </w:p>
        </w:tc>
        <w:tc>
          <w:tcPr>
            <w:tcW w:type="dxa" w:w="3318"/>
          </w:tcPr>
          <w:p>
            <w:pPr>
              <w:spacing w:after="20" w:line="240" w:lineRule="auto"/>
            </w:pPr>
            <w:r>
              <w:rPr>
                <w:sz w:val="17"/>
              </w:rPr>
            </w:r>
            <w:r>
              <w:rPr>
                <w:sz w:val="17"/>
              </w:rPr>
              <w:t>One open-weight model on vLLM (2 to 4 GPUs) behind a LiteLLM-style gateway</w:t>
            </w:r>
          </w:p>
          <w:p>
            <w:pPr>
              <w:spacing w:after="20" w:line="240" w:lineRule="auto"/>
            </w:pPr>
            <w:r>
              <w:rPr>
                <w:sz w:val="17"/>
              </w:rPr>
              <w:t>2 to 3 MCP tools (e.g. read-only Postgres replica, Confluence or SharePoint search, Jira read)</w:t>
            </w:r>
          </w:p>
          <w:p>
            <w:pPr>
              <w:spacing w:after="20" w:line="240" w:lineRule="auto"/>
            </w:pPr>
            <w:r>
              <w:rPr>
                <w:sz w:val="17"/>
              </w:rPr>
              <w:t>One sandbox type (gVisor pod) for Python and file generation</w:t>
            </w:r>
          </w:p>
          <w:p>
            <w:pPr>
              <w:spacing w:after="20" w:line="240" w:lineRule="auto"/>
            </w:pPr>
            <w:r>
              <w:rPr>
                <w:sz w:val="17"/>
              </w:rPr>
              <w:t>Forked web UI (Open WebUI or LibreChat) with SSO</w:t>
            </w:r>
          </w:p>
          <w:p>
            <w:pPr>
              <w:spacing w:after="20" w:line="240" w:lineRule="auto"/>
            </w:pPr>
            <w:r>
              <w:rPr>
                <w:sz w:val="17"/>
              </w:rPr>
              <w:t>Basic tracing in Langfuse; small eval set (50 to 100 tasks)</w:t>
            </w:r>
          </w:p>
        </w:tc>
        <w:tc>
          <w:tcPr>
            <w:tcW w:type="dxa" w:w="2462"/>
          </w:tcPr>
          <w:p>
            <w:pPr>
              <w:spacing w:after="20" w:line="240" w:lineRule="auto"/>
            </w:pPr>
            <w:r>
              <w:rPr>
                <w:sz w:val="17"/>
              </w:rPr>
            </w:r>
            <w:r>
              <w:rPr>
                <w:sz w:val="17"/>
              </w:rPr>
              <w:t>Demonstrated end-to-end agent tasks with 20 to 30 friendly users</w:t>
            </w:r>
          </w:p>
          <w:p>
            <w:pPr>
              <w:spacing w:after="20" w:line="240" w:lineRule="auto"/>
            </w:pPr>
            <w:r>
              <w:rPr>
                <w:sz w:val="17"/>
              </w:rPr>
              <w:t>No external API calls (verified)</w:t>
            </w:r>
          </w:p>
          <w:p>
            <w:pPr>
              <w:spacing w:after="20" w:line="240" w:lineRule="auto"/>
            </w:pPr>
            <w:r>
              <w:rPr>
                <w:sz w:val="17"/>
              </w:rPr>
              <w:t>Measured latency, task success and GPU throughput</w:t>
            </w:r>
          </w:p>
          <w:p>
            <w:pPr>
              <w:spacing w:after="20" w:line="240" w:lineRule="auto"/>
            </w:pPr>
            <w:r>
              <w:rPr>
                <w:sz w:val="17"/>
              </w:rPr>
              <w:t>Go/no-go and hardware sizing for pilot</w:t>
            </w:r>
          </w:p>
        </w:tc>
        <w:tc>
          <w:tcPr>
            <w:tcW w:type="dxa" w:w="1391"/>
          </w:tcPr>
          <w:p>
            <w:pPr>
              <w:spacing w:after="20" w:line="240" w:lineRule="auto"/>
            </w:pPr>
            <w:r>
              <w:rPr>
                <w:sz w:val="17"/>
              </w:rPr>
            </w:r>
            <w:r>
              <w:rPr>
                <w:sz w:val="17"/>
              </w:rPr>
              <w:t>3 to 5 (platform/backend 2, ML/inference 1, infra 1, part-time security)</w:t>
            </w:r>
          </w:p>
        </w:tc>
        <w:tc>
          <w:tcPr>
            <w:tcW w:type="dxa" w:w="963"/>
          </w:tcPr>
          <w:p>
            <w:pPr>
              <w:spacing w:after="20" w:line="240" w:lineRule="auto"/>
            </w:pPr>
            <w:r>
              <w:rPr>
                <w:sz w:val="17"/>
              </w:rPr>
            </w:r>
            <w:r>
              <w:rPr>
                <w:sz w:val="17"/>
              </w:rPr>
              <w:t>8 to 10 weeks</w:t>
            </w:r>
          </w:p>
        </w:tc>
      </w:tr>
      <w:tr>
        <w:trPr>
          <w:cantSplit w:val="true"/>
        </w:trPr>
        <w:tc>
          <w:tcPr>
            <w:tcW w:type="dxa" w:w="1177"/>
            <w:shd w:val="clear" w:color="auto" w:fill="F2F6FA"/>
          </w:tcPr>
          <w:p>
            <w:pPr>
              <w:spacing w:after="20" w:line="240" w:lineRule="auto"/>
            </w:pPr>
            <w:r>
              <w:rPr>
                <w:b/>
                <w:sz w:val="17"/>
              </w:rPr>
            </w:r>
            <w:r>
              <w:rPr>
                <w:b/>
                <w:sz w:val="17"/>
              </w:rPr>
              <w:t>Phase 1: Pilot</w:t>
            </w:r>
          </w:p>
        </w:tc>
        <w:tc>
          <w:tcPr>
            <w:tcW w:type="dxa" w:w="3318"/>
            <w:shd w:val="clear" w:color="auto" w:fill="F2F6FA"/>
          </w:tcPr>
          <w:p>
            <w:pPr>
              <w:spacing w:after="20" w:line="240" w:lineRule="auto"/>
            </w:pPr>
            <w:r>
              <w:rPr>
                <w:sz w:val="17"/>
              </w:rPr>
            </w:r>
            <w:r>
              <w:rPr>
                <w:sz w:val="17"/>
              </w:rPr>
              <w:t>Temporal-based orchestrator; reasoning + fast model tiers; embeddings/reranker</w:t>
            </w:r>
          </w:p>
          <w:p>
            <w:pPr>
              <w:spacing w:after="20" w:line="240" w:lineRule="auto"/>
            </w:pPr>
            <w:r>
              <w:rPr>
                <w:sz w:val="17"/>
              </w:rPr>
              <w:t>RAG over 2 to 3 sources with ACL enforcement</w:t>
            </w:r>
          </w:p>
          <w:p>
            <w:pPr>
              <w:spacing w:after="20" w:line="240" w:lineRule="auto"/>
            </w:pPr>
            <w:r>
              <w:rPr>
                <w:sz w:val="17"/>
              </w:rPr>
              <w:t>Policy engine, delegated tokens via Vault, approval flow</w:t>
            </w:r>
          </w:p>
          <w:p>
            <w:pPr>
              <w:spacing w:after="20" w:line="240" w:lineRule="auto"/>
            </w:pPr>
            <w:r>
              <w:rPr>
                <w:sz w:val="17"/>
              </w:rPr>
              <w:t>Slack (or Teams) bot; memory v1; artefacts</w:t>
            </w:r>
          </w:p>
          <w:p>
            <w:pPr>
              <w:spacing w:after="20" w:line="240" w:lineRule="auto"/>
            </w:pPr>
            <w:r>
              <w:rPr>
                <w:sz w:val="17"/>
              </w:rPr>
              <w:t>Evaluation suite in CI; red-team round 1</w:t>
            </w:r>
          </w:p>
        </w:tc>
        <w:tc>
          <w:tcPr>
            <w:tcW w:type="dxa" w:w="2462"/>
            <w:shd w:val="clear" w:color="auto" w:fill="F2F6FA"/>
          </w:tcPr>
          <w:p>
            <w:pPr>
              <w:spacing w:after="20" w:line="240" w:lineRule="auto"/>
            </w:pPr>
            <w:r>
              <w:rPr>
                <w:sz w:val="17"/>
              </w:rPr>
            </w:r>
            <w:r>
              <w:rPr>
                <w:sz w:val="17"/>
              </w:rPr>
              <w:t>100 to 300 users across 2 to 3 departments</w:t>
            </w:r>
          </w:p>
          <w:p>
            <w:pPr>
              <w:spacing w:after="20" w:line="240" w:lineRule="auto"/>
            </w:pPr>
            <w:r>
              <w:rPr>
                <w:sz w:val="17"/>
              </w:rPr>
              <w:t>Security review passed; DPIA completed</w:t>
            </w:r>
          </w:p>
          <w:p>
            <w:pPr>
              <w:spacing w:after="20" w:line="240" w:lineRule="auto"/>
            </w:pPr>
            <w:r>
              <w:rPr>
                <w:sz w:val="17"/>
              </w:rPr>
              <w:t>Task success and satisfaction targets met for chosen use cases</w:t>
            </w:r>
          </w:p>
          <w:p>
            <w:pPr>
              <w:spacing w:after="20" w:line="240" w:lineRule="auto"/>
            </w:pPr>
            <w:r>
              <w:rPr>
                <w:sz w:val="17"/>
              </w:rPr>
              <w:t>SLOs defined and measured</w:t>
            </w:r>
          </w:p>
        </w:tc>
        <w:tc>
          <w:tcPr>
            <w:tcW w:type="dxa" w:w="1391"/>
            <w:shd w:val="clear" w:color="auto" w:fill="F2F6FA"/>
          </w:tcPr>
          <w:p>
            <w:pPr>
              <w:spacing w:after="20" w:line="240" w:lineRule="auto"/>
            </w:pPr>
            <w:r>
              <w:rPr>
                <w:sz w:val="17"/>
              </w:rPr>
            </w:r>
            <w:r>
              <w:rPr>
                <w:sz w:val="17"/>
              </w:rPr>
              <w:t>6 to 9 (+ security engineer, product manager, UX)</w:t>
            </w:r>
          </w:p>
        </w:tc>
        <w:tc>
          <w:tcPr>
            <w:tcW w:type="dxa" w:w="963"/>
            <w:shd w:val="clear" w:color="auto" w:fill="F2F6FA"/>
          </w:tcPr>
          <w:p>
            <w:pPr>
              <w:spacing w:after="20" w:line="240" w:lineRule="auto"/>
            </w:pPr>
            <w:r>
              <w:rPr>
                <w:sz w:val="17"/>
              </w:rPr>
            </w:r>
            <w:r>
              <w:rPr>
                <w:sz w:val="17"/>
              </w:rPr>
              <w:t>3 to 4 months</w:t>
            </w:r>
          </w:p>
        </w:tc>
      </w:tr>
      <w:tr>
        <w:trPr>
          <w:cantSplit w:val="true"/>
        </w:trPr>
        <w:tc>
          <w:tcPr>
            <w:tcW w:type="dxa" w:w="1177"/>
          </w:tcPr>
          <w:p>
            <w:pPr>
              <w:spacing w:after="20" w:line="240" w:lineRule="auto"/>
            </w:pPr>
            <w:r>
              <w:rPr>
                <w:b/>
                <w:sz w:val="17"/>
              </w:rPr>
            </w:r>
            <w:r>
              <w:rPr>
                <w:b/>
                <w:sz w:val="17"/>
              </w:rPr>
              <w:t>Phase 2: Production</w:t>
            </w:r>
          </w:p>
        </w:tc>
        <w:tc>
          <w:tcPr>
            <w:tcW w:type="dxa" w:w="3318"/>
          </w:tcPr>
          <w:p>
            <w:pPr>
              <w:spacing w:after="20" w:line="240" w:lineRule="auto"/>
            </w:pPr>
            <w:r>
              <w:rPr>
                <w:sz w:val="17"/>
              </w:rPr>
            </w:r>
            <w:r>
              <w:rPr>
                <w:sz w:val="17"/>
              </w:rPr>
              <w:t>HA across failure domains; DR site; production SLOs</w:t>
            </w:r>
          </w:p>
          <w:p>
            <w:pPr>
              <w:spacing w:after="20" w:line="240" w:lineRule="auto"/>
            </w:pPr>
            <w:r>
              <w:rPr>
                <w:sz w:val="17"/>
              </w:rPr>
              <w:t>Routines (cron and events); tool registry with self-service onboarding</w:t>
            </w:r>
          </w:p>
          <w:p>
            <w:pPr>
              <w:spacing w:after="20" w:line="240" w:lineRule="auto"/>
            </w:pPr>
            <w:r>
              <w:rPr>
                <w:sz w:val="17"/>
              </w:rPr>
              <w:t>Multi-tenant quotas and cost showback</w:t>
            </w:r>
          </w:p>
          <w:p>
            <w:pPr>
              <w:spacing w:after="20" w:line="240" w:lineRule="auto"/>
            </w:pPr>
            <w:r>
              <w:rPr>
                <w:sz w:val="17"/>
              </w:rPr>
              <w:t>Expanded MCP catalogue (DB engines, ticketing, email, internal APIs)</w:t>
            </w:r>
          </w:p>
          <w:p>
            <w:pPr>
              <w:spacing w:after="20" w:line="240" w:lineRule="auto"/>
            </w:pPr>
            <w:r>
              <w:rPr>
                <w:sz w:val="17"/>
              </w:rPr>
              <w:t>Audit to SIEM; runbooks; on-call</w:t>
            </w:r>
          </w:p>
        </w:tc>
        <w:tc>
          <w:tcPr>
            <w:tcW w:type="dxa" w:w="2462"/>
          </w:tcPr>
          <w:p>
            <w:pPr>
              <w:spacing w:after="20" w:line="240" w:lineRule="auto"/>
            </w:pPr>
            <w:r>
              <w:rPr>
                <w:sz w:val="17"/>
              </w:rPr>
            </w:r>
            <w:r>
              <w:rPr>
                <w:sz w:val="17"/>
              </w:rPr>
              <w:t>General availability for 1,000 to 5,000 users</w:t>
            </w:r>
          </w:p>
          <w:p>
            <w:pPr>
              <w:spacing w:after="20" w:line="240" w:lineRule="auto"/>
            </w:pPr>
            <w:r>
              <w:rPr>
                <w:sz w:val="17"/>
              </w:rPr>
              <w:t>DR drill passed</w:t>
            </w:r>
          </w:p>
          <w:p>
            <w:pPr>
              <w:spacing w:after="20" w:line="240" w:lineRule="auto"/>
            </w:pPr>
            <w:r>
              <w:rPr>
                <w:sz w:val="17"/>
              </w:rPr>
              <w:t>Audit and compliance sign-off</w:t>
            </w:r>
          </w:p>
          <w:p>
            <w:pPr>
              <w:spacing w:after="20" w:line="240" w:lineRule="auto"/>
            </w:pPr>
            <w:r>
              <w:rPr>
                <w:sz w:val="17"/>
              </w:rPr>
              <w:t>Unit cost per active user tracked</w:t>
            </w:r>
          </w:p>
        </w:tc>
        <w:tc>
          <w:tcPr>
            <w:tcW w:type="dxa" w:w="1391"/>
          </w:tcPr>
          <w:p>
            <w:pPr>
              <w:spacing w:after="20" w:line="240" w:lineRule="auto"/>
            </w:pPr>
            <w:r>
              <w:rPr>
                <w:sz w:val="17"/>
              </w:rPr>
            </w:r>
            <w:r>
              <w:rPr>
                <w:sz w:val="17"/>
              </w:rPr>
              <w:t>10 to 14 (incl. SRE 2 to 3, security 1 to 2)</w:t>
            </w:r>
          </w:p>
        </w:tc>
        <w:tc>
          <w:tcPr>
            <w:tcW w:type="dxa" w:w="963"/>
          </w:tcPr>
          <w:p>
            <w:pPr>
              <w:spacing w:after="20" w:line="240" w:lineRule="auto"/>
            </w:pPr>
            <w:r>
              <w:rPr>
                <w:sz w:val="17"/>
              </w:rPr>
            </w:r>
            <w:r>
              <w:rPr>
                <w:sz w:val="17"/>
              </w:rPr>
              <w:t>4 to 5 months</w:t>
            </w:r>
          </w:p>
        </w:tc>
      </w:tr>
      <w:tr>
        <w:trPr>
          <w:cantSplit w:val="true"/>
        </w:trPr>
        <w:tc>
          <w:tcPr>
            <w:tcW w:type="dxa" w:w="1177"/>
            <w:shd w:val="clear" w:color="auto" w:fill="F2F6FA"/>
          </w:tcPr>
          <w:p>
            <w:pPr>
              <w:spacing w:after="20" w:line="240" w:lineRule="auto"/>
            </w:pPr>
            <w:r>
              <w:rPr>
                <w:b/>
                <w:sz w:val="17"/>
              </w:rPr>
            </w:r>
            <w:r>
              <w:rPr>
                <w:b/>
                <w:sz w:val="17"/>
              </w:rPr>
              <w:t>Phase 3: Scale</w:t>
            </w:r>
          </w:p>
        </w:tc>
        <w:tc>
          <w:tcPr>
            <w:tcW w:type="dxa" w:w="3318"/>
            <w:shd w:val="clear" w:color="auto" w:fill="F2F6FA"/>
          </w:tcPr>
          <w:p>
            <w:pPr>
              <w:spacing w:after="20" w:line="240" w:lineRule="auto"/>
            </w:pPr>
            <w:r>
              <w:rPr>
                <w:sz w:val="17"/>
              </w:rPr>
            </w:r>
            <w:r>
              <w:rPr>
                <w:sz w:val="17"/>
              </w:rPr>
              <w:t>Additional GPU capacity and model specialisation (vision, coder, SQL LoRA)</w:t>
            </w:r>
          </w:p>
          <w:p>
            <w:pPr>
              <w:spacing w:after="20" w:line="240" w:lineRule="auto"/>
            </w:pPr>
            <w:r>
              <w:rPr>
                <w:sz w:val="17"/>
              </w:rPr>
              <w:t>Multi-site active/active for chat; larger indexes (sharding)</w:t>
            </w:r>
          </w:p>
          <w:p>
            <w:pPr>
              <w:spacing w:after="20" w:line="240" w:lineRule="auto"/>
            </w:pPr>
            <w:r>
              <w:rPr>
                <w:sz w:val="17"/>
              </w:rPr>
              <w:t>Agent marketplace and builder UX; advanced routing</w:t>
            </w:r>
          </w:p>
          <w:p>
            <w:pPr>
              <w:spacing w:after="20" w:line="240" w:lineRule="auto"/>
            </w:pPr>
            <w:r>
              <w:rPr>
                <w:sz w:val="17"/>
              </w:rPr>
              <w:t>Evaluation-driven model upgrades each quarter</w:t>
            </w:r>
          </w:p>
        </w:tc>
        <w:tc>
          <w:tcPr>
            <w:tcW w:type="dxa" w:w="2462"/>
            <w:shd w:val="clear" w:color="auto" w:fill="F2F6FA"/>
          </w:tcPr>
          <w:p>
            <w:pPr>
              <w:spacing w:after="20" w:line="240" w:lineRule="auto"/>
            </w:pPr>
            <w:r>
              <w:rPr>
                <w:sz w:val="17"/>
              </w:rPr>
            </w:r>
            <w:r>
              <w:rPr>
                <w:sz w:val="17"/>
              </w:rPr>
              <w:t>10,000+ users; many teams building agents</w:t>
            </w:r>
          </w:p>
          <w:p>
            <w:pPr>
              <w:spacing w:after="20" w:line="240" w:lineRule="auto"/>
            </w:pPr>
            <w:r>
              <w:rPr>
                <w:sz w:val="17"/>
              </w:rPr>
              <w:t>Measured business outcomes per use case</w:t>
            </w:r>
          </w:p>
        </w:tc>
        <w:tc>
          <w:tcPr>
            <w:tcW w:type="dxa" w:w="1391"/>
            <w:shd w:val="clear" w:color="auto" w:fill="F2F6FA"/>
          </w:tcPr>
          <w:p>
            <w:pPr>
              <w:spacing w:after="20" w:line="240" w:lineRule="auto"/>
            </w:pPr>
            <w:r>
              <w:rPr>
                <w:sz w:val="17"/>
              </w:rPr>
            </w:r>
            <w:r>
              <w:rPr>
                <w:sz w:val="17"/>
              </w:rPr>
              <w:t>12 to 18 (platform product team)</w:t>
            </w:r>
          </w:p>
        </w:tc>
        <w:tc>
          <w:tcPr>
            <w:tcW w:type="dxa" w:w="963"/>
            <w:shd w:val="clear" w:color="auto" w:fill="F2F6FA"/>
          </w:tcPr>
          <w:p>
            <w:pPr>
              <w:spacing w:after="20" w:line="240" w:lineRule="auto"/>
            </w:pPr>
            <w:r>
              <w:rPr>
                <w:sz w:val="17"/>
              </w:rPr>
            </w:r>
            <w:r>
              <w:rPr>
                <w:sz w:val="17"/>
              </w:rPr>
              <w:t>6 months, then ongoing</w:t>
            </w:r>
          </w:p>
        </w:tc>
      </w:tr>
    </w:tbl>
    <w:p>
      <w:pPr>
        <w:spacing w:after="80"/>
      </w:pPr>
    </w:p>
    <w:p>
      <w:pPr>
        <w:spacing w:after="0"/>
      </w:pPr>
      <w:r>
        <w:br w:type="page"/>
      </w:r>
    </w:p>
    <w:p>
      <w:pPr>
        <w:pStyle w:val="Heading1"/>
      </w:pPr>
      <w:r>
        <w:t>10. Indicative Cost Considerations</w:t>
      </w:r>
    </w:p>
    <w:tbl>
      <w:tblPr>
        <w:jc w:val="center"/>
        <w:tblLook w:firstColumn="1" w:firstRow="1" w:lastColumn="0" w:lastRow="0" w:noHBand="0" w:noVBand="1" w:val="04A0"/>
        <w:tblCellMar>
          <w:top w:w="100" w:type="dxa"/>
          <w:left w:w="160" w:type="dxa"/>
          <w:bottom w:w="100" w:type="dxa"/>
          <w:right w:w="140" w:type="dxa"/>
        </w:tblCellMar>
        <w:tblW w:w="9314" w:type="dxa"/>
        <w:tblLayout w:type="fixed"/>
      </w:tblPr>
      <w:tblGrid>
        <w:gridCol w:w="9314"/>
      </w:tblGrid>
      <w:tr>
        <w:tc>
          <w:tcPr>
            <w:tcW w:type="dxa" w:w="9314"/>
            <w:shd w:val="clear" w:color="auto" w:fill="FFF6E5"/>
            <w:tcBorders>
              <w:left w:val="single" w:sz="24" w:color="C9A227"/>
            </w:tcBorders>
          </w:tcPr>
          <w:p>
            <w:pPr>
              <w:spacing w:after="40"/>
            </w:pPr>
            <w:r>
              <w:rPr>
                <w:b/>
                <w:color w:val="1F4E79"/>
              </w:rPr>
              <w:t>Important: estimates and assumptions only</w:t>
            </w:r>
          </w:p>
          <w:p>
            <w:pPr>
              <w:spacing w:after="40"/>
            </w:pPr>
            <w:r>
              <w:t xml:space="preserve">The figures below are </w:t>
            </w:r>
            <w:r>
              <w:rPr>
                <w:b/>
              </w:rPr>
              <w:t>rough planning estimates</w:t>
            </w:r>
            <w:r>
              <w:t xml:space="preserve"> derived from stated assumptions. They are not vendor quotations and contain no specific prices. Actual needs depend heavily on chosen models, quantisation, prompt sizes, agent step counts, usage patterns and hardware generation. Validate with Phase 0/1 telemetry and load tests before committing capital.</w:t>
            </w:r>
          </w:p>
        </w:tc>
      </w:tr>
    </w:tbl>
    <w:p>
      <w:pPr>
        <w:spacing w:after="40"/>
      </w:pPr>
    </w:p>
    <w:p>
      <w:pPr>
        <w:pStyle w:val="Heading2"/>
      </w:pPr>
      <w:r>
        <w:t>10.1 Sizing assumptions</w:t>
      </w:r>
    </w:p>
    <w:p>
      <w:pPr>
        <w:pStyle w:val="ListBullet"/>
      </w:pPr>
      <w:r>
        <w:t xml:space="preserve">Peak concurrent </w:t>
      </w:r>
      <w:r>
        <w:rPr>
          <w:b/>
        </w:rPr>
        <w:t>active</w:t>
      </w:r>
      <w:r>
        <w:t xml:space="preserve"> agent sessions are about 3 to 5 percent of named users (business-hours peak).</w:t>
      </w:r>
    </w:p>
    <w:p>
      <w:pPr>
        <w:pStyle w:val="ListBullet"/>
      </w:pPr>
      <w:r>
        <w:t>An interactive agent turn averages 3 to 10 model calls, 8k to 20k input tokens per call (largely prefix-cached system prompt, tool schemas and history) and 300 to 800 output tokens per call.</w:t>
      </w:r>
    </w:p>
    <w:p>
      <w:pPr>
        <w:pStyle w:val="ListBullet"/>
      </w:pPr>
      <w:r>
        <w:t>Reasoning tier: a 70B-dense-class or mid-size MoE model in FP8, one replica on 4 x 80 GB-class GPUs sustains roughly 30 to 60 concurrent sequences at acceptable latency (to be measured).</w:t>
      </w:r>
    </w:p>
    <w:p>
      <w:pPr>
        <w:pStyle w:val="ListBullet"/>
      </w:pPr>
      <w:r>
        <w:t>Roughly 60 to 70 percent of model calls can be served by the fast tier after routing is tuned.</w:t>
      </w:r>
    </w:p>
    <w:p>
      <w:pPr>
        <w:pStyle w:val="ListBullet"/>
      </w:pPr>
      <w:r>
        <w:t>Production adds N+1 redundancy; DR adds a warm standby at 25 to 50 percent of primary capacity.</w:t>
      </w:r>
    </w:p>
    <w:p>
      <w:pPr>
        <w:pStyle w:val="Heading2"/>
      </w:pPr>
      <w:r>
        <w:t>10.2 Indicative GPU counts by user scale</w:t>
      </w:r>
    </w:p>
    <w:tbl>
      <w:tblPr>
        <w:tblStyle w:val="TableGrid"/>
        <w:jc w:val="center"/>
        <w:tblLook w:firstColumn="1" w:firstRow="1" w:lastColumn="0" w:lastRow="0" w:noHBand="0" w:noVBand="1" w:val="04A0"/>
        <w:tblCellMar>
          <w:top w:w="60" w:type="dxa"/>
          <w:left w:w="90" w:type="dxa"/>
          <w:bottom w:w="60" w:type="dxa"/>
          <w:right w:w="90" w:type="dxa"/>
        </w:tblCellMar>
        <w:tblW w:w="9311" w:type="dxa"/>
        <w:tblLayout w:type="fixed"/>
      </w:tblPr>
      <w:tblGrid>
        <w:gridCol w:w="1299"/>
        <w:gridCol w:w="1299"/>
        <w:gridCol w:w="1516"/>
        <w:gridCol w:w="1516"/>
        <w:gridCol w:w="1624"/>
        <w:gridCol w:w="2057"/>
      </w:tblGrid>
      <w:tr>
        <w:trPr>
          <w:tblHeader w:val="true"/>
        </w:trPr>
        <w:tc>
          <w:tcPr>
            <w:tcW w:type="dxa" w:w="1299"/>
            <w:shd w:val="clear" w:color="auto" w:fill="1F4E79"/>
          </w:tcPr>
          <w:p>
            <w:r/>
            <w:r>
              <w:rPr>
                <w:b/>
                <w:color w:val="FFFFFF"/>
                <w:sz w:val="17"/>
              </w:rPr>
              <w:t>Scale (named users)</w:t>
            </w:r>
          </w:p>
        </w:tc>
        <w:tc>
          <w:tcPr>
            <w:tcW w:type="dxa" w:w="1299"/>
            <w:shd w:val="clear" w:color="auto" w:fill="1F4E79"/>
          </w:tcPr>
          <w:p>
            <w:r/>
            <w:r>
              <w:rPr>
                <w:b/>
                <w:color w:val="FFFFFF"/>
                <w:sz w:val="17"/>
              </w:rPr>
              <w:t>Peak concurrent sessions (assumed)</w:t>
            </w:r>
          </w:p>
        </w:tc>
        <w:tc>
          <w:tcPr>
            <w:tcW w:type="dxa" w:w="1516"/>
            <w:shd w:val="clear" w:color="auto" w:fill="1F4E79"/>
          </w:tcPr>
          <w:p>
            <w:r/>
            <w:r>
              <w:rPr>
                <w:b/>
                <w:color w:val="FFFFFF"/>
                <w:sz w:val="17"/>
              </w:rPr>
              <w:t>Reasoning tier GPUs</w:t>
            </w:r>
          </w:p>
        </w:tc>
        <w:tc>
          <w:tcPr>
            <w:tcW w:type="dxa" w:w="1516"/>
            <w:shd w:val="clear" w:color="auto" w:fill="1F4E79"/>
          </w:tcPr>
          <w:p>
            <w:r/>
            <w:r>
              <w:rPr>
                <w:b/>
                <w:color w:val="FFFFFF"/>
                <w:sz w:val="17"/>
              </w:rPr>
              <w:t>Fast tier + embeddings + guardrails</w:t>
            </w:r>
          </w:p>
        </w:tc>
        <w:tc>
          <w:tcPr>
            <w:tcW w:type="dxa" w:w="1624"/>
            <w:shd w:val="clear" w:color="auto" w:fill="1F4E79"/>
          </w:tcPr>
          <w:p>
            <w:r/>
            <w:r>
              <w:rPr>
                <w:b/>
                <w:color w:val="FFFFFF"/>
                <w:sz w:val="17"/>
              </w:rPr>
              <w:t>Indicative total (primary site)</w:t>
            </w:r>
          </w:p>
        </w:tc>
        <w:tc>
          <w:tcPr>
            <w:tcW w:type="dxa" w:w="2057"/>
            <w:shd w:val="clear" w:color="auto" w:fill="1F4E79"/>
          </w:tcPr>
          <w:p>
            <w:r/>
            <w:r>
              <w:rPr>
                <w:b/>
                <w:color w:val="FFFFFF"/>
                <w:sz w:val="17"/>
              </w:rPr>
              <w:t>Notes</w:t>
            </w:r>
          </w:p>
        </w:tc>
      </w:tr>
      <w:tr>
        <w:trPr>
          <w:cantSplit w:val="true"/>
        </w:trPr>
        <w:tc>
          <w:tcPr>
            <w:tcW w:type="dxa" w:w="1299"/>
          </w:tcPr>
          <w:p>
            <w:pPr>
              <w:spacing w:after="20" w:line="240" w:lineRule="auto"/>
            </w:pPr>
            <w:r>
              <w:rPr>
                <w:b/>
                <w:sz w:val="17"/>
              </w:rPr>
            </w:r>
            <w:r>
              <w:rPr>
                <w:b/>
                <w:sz w:val="17"/>
              </w:rPr>
              <w:t>PoC (20 to 30)</w:t>
            </w:r>
          </w:p>
        </w:tc>
        <w:tc>
          <w:tcPr>
            <w:tcW w:type="dxa" w:w="1299"/>
          </w:tcPr>
          <w:p>
            <w:pPr>
              <w:spacing w:after="20" w:line="240" w:lineRule="auto"/>
            </w:pPr>
            <w:r>
              <w:rPr>
                <w:sz w:val="17"/>
              </w:rPr>
            </w:r>
            <w:r>
              <w:rPr>
                <w:sz w:val="17"/>
              </w:rPr>
              <w:t>1 to 3</w:t>
            </w:r>
          </w:p>
        </w:tc>
        <w:tc>
          <w:tcPr>
            <w:tcW w:type="dxa" w:w="1516"/>
          </w:tcPr>
          <w:p>
            <w:pPr>
              <w:spacing w:after="20" w:line="240" w:lineRule="auto"/>
            </w:pPr>
            <w:r>
              <w:rPr>
                <w:sz w:val="17"/>
              </w:rPr>
            </w:r>
            <w:r>
              <w:rPr>
                <w:sz w:val="17"/>
              </w:rPr>
              <w:t>2 to 4 (or 1 if a 4-bit / small-active MoE model)</w:t>
            </w:r>
          </w:p>
        </w:tc>
        <w:tc>
          <w:tcPr>
            <w:tcW w:type="dxa" w:w="1516"/>
          </w:tcPr>
          <w:p>
            <w:pPr>
              <w:spacing w:after="20" w:line="240" w:lineRule="auto"/>
            </w:pPr>
            <w:r>
              <w:rPr>
                <w:sz w:val="17"/>
              </w:rPr>
            </w:r>
            <w:r>
              <w:rPr>
                <w:sz w:val="17"/>
              </w:rPr>
              <w:t>Shared on same GPUs or 1 small GPU</w:t>
            </w:r>
          </w:p>
        </w:tc>
        <w:tc>
          <w:tcPr>
            <w:tcW w:type="dxa" w:w="1624"/>
          </w:tcPr>
          <w:p>
            <w:pPr>
              <w:spacing w:after="20" w:line="240" w:lineRule="auto"/>
            </w:pPr>
            <w:r>
              <w:rPr>
                <w:sz w:val="17"/>
              </w:rPr>
            </w:r>
            <w:r>
              <w:rPr>
                <w:sz w:val="17"/>
              </w:rPr>
              <w:t>2 to 4 GPUs</w:t>
            </w:r>
          </w:p>
        </w:tc>
        <w:tc>
          <w:tcPr>
            <w:tcW w:type="dxa" w:w="2057"/>
          </w:tcPr>
          <w:p>
            <w:pPr>
              <w:spacing w:after="20" w:line="240" w:lineRule="auto"/>
            </w:pPr>
            <w:r>
              <w:rPr>
                <w:sz w:val="17"/>
              </w:rPr>
            </w:r>
            <w:r>
              <w:rPr>
                <w:sz w:val="17"/>
              </w:rPr>
              <w:t>Can use existing or a single leased server.</w:t>
            </w:r>
          </w:p>
        </w:tc>
      </w:tr>
      <w:tr>
        <w:trPr>
          <w:cantSplit w:val="true"/>
        </w:trPr>
        <w:tc>
          <w:tcPr>
            <w:tcW w:type="dxa" w:w="1299"/>
            <w:shd w:val="clear" w:color="auto" w:fill="F2F6FA"/>
          </w:tcPr>
          <w:p>
            <w:pPr>
              <w:spacing w:after="20" w:line="240" w:lineRule="auto"/>
            </w:pPr>
            <w:r>
              <w:rPr>
                <w:b/>
                <w:sz w:val="17"/>
              </w:rPr>
            </w:r>
            <w:r>
              <w:rPr>
                <w:b/>
                <w:sz w:val="17"/>
              </w:rPr>
              <w:t>Pilot (100 to 300)</w:t>
            </w:r>
          </w:p>
        </w:tc>
        <w:tc>
          <w:tcPr>
            <w:tcW w:type="dxa" w:w="1299"/>
            <w:shd w:val="clear" w:color="auto" w:fill="F2F6FA"/>
          </w:tcPr>
          <w:p>
            <w:pPr>
              <w:spacing w:after="20" w:line="240" w:lineRule="auto"/>
            </w:pPr>
            <w:r>
              <w:rPr>
                <w:sz w:val="17"/>
              </w:rPr>
            </w:r>
            <w:r>
              <w:rPr>
                <w:sz w:val="17"/>
              </w:rPr>
              <w:t>5 to 15</w:t>
            </w:r>
          </w:p>
        </w:tc>
        <w:tc>
          <w:tcPr>
            <w:tcW w:type="dxa" w:w="1516"/>
            <w:shd w:val="clear" w:color="auto" w:fill="F2F6FA"/>
          </w:tcPr>
          <w:p>
            <w:pPr>
              <w:spacing w:after="20" w:line="240" w:lineRule="auto"/>
            </w:pPr>
            <w:r>
              <w:rPr>
                <w:sz w:val="17"/>
              </w:rPr>
            </w:r>
            <w:r>
              <w:rPr>
                <w:sz w:val="17"/>
              </w:rPr>
              <w:t>4 (1 replica)</w:t>
            </w:r>
          </w:p>
        </w:tc>
        <w:tc>
          <w:tcPr>
            <w:tcW w:type="dxa" w:w="1516"/>
            <w:shd w:val="clear" w:color="auto" w:fill="F2F6FA"/>
          </w:tcPr>
          <w:p>
            <w:pPr>
              <w:spacing w:after="20" w:line="240" w:lineRule="auto"/>
            </w:pPr>
            <w:r>
              <w:rPr>
                <w:sz w:val="17"/>
              </w:rPr>
            </w:r>
            <w:r>
              <w:rPr>
                <w:sz w:val="17"/>
              </w:rPr>
              <w:t>2 to 4</w:t>
            </w:r>
          </w:p>
        </w:tc>
        <w:tc>
          <w:tcPr>
            <w:tcW w:type="dxa" w:w="1624"/>
            <w:shd w:val="clear" w:color="auto" w:fill="F2F6FA"/>
          </w:tcPr>
          <w:p>
            <w:pPr>
              <w:spacing w:after="20" w:line="240" w:lineRule="auto"/>
            </w:pPr>
            <w:r>
              <w:rPr>
                <w:sz w:val="17"/>
              </w:rPr>
            </w:r>
            <w:r>
              <w:rPr>
                <w:sz w:val="17"/>
              </w:rPr>
              <w:t>~8 GPUs (one 8-GPU server)</w:t>
            </w:r>
          </w:p>
        </w:tc>
        <w:tc>
          <w:tcPr>
            <w:tcW w:type="dxa" w:w="2057"/>
            <w:shd w:val="clear" w:color="auto" w:fill="F2F6FA"/>
          </w:tcPr>
          <w:p>
            <w:pPr>
              <w:spacing w:after="20" w:line="240" w:lineRule="auto"/>
            </w:pPr>
            <w:r>
              <w:rPr>
                <w:sz w:val="17"/>
              </w:rPr>
            </w:r>
            <w:r>
              <w:rPr>
                <w:sz w:val="17"/>
              </w:rPr>
              <w:t>No redundancy; acceptable for pilot.</w:t>
            </w:r>
          </w:p>
        </w:tc>
      </w:tr>
      <w:tr>
        <w:trPr>
          <w:cantSplit w:val="true"/>
        </w:trPr>
        <w:tc>
          <w:tcPr>
            <w:tcW w:type="dxa" w:w="1299"/>
          </w:tcPr>
          <w:p>
            <w:pPr>
              <w:spacing w:after="20" w:line="240" w:lineRule="auto"/>
            </w:pPr>
            <w:r>
              <w:rPr>
                <w:b/>
                <w:sz w:val="17"/>
              </w:rPr>
            </w:r>
            <w:r>
              <w:rPr>
                <w:b/>
                <w:sz w:val="17"/>
              </w:rPr>
              <w:t>1,000</w:t>
            </w:r>
          </w:p>
        </w:tc>
        <w:tc>
          <w:tcPr>
            <w:tcW w:type="dxa" w:w="1299"/>
          </w:tcPr>
          <w:p>
            <w:pPr>
              <w:spacing w:after="20" w:line="240" w:lineRule="auto"/>
            </w:pPr>
            <w:r>
              <w:rPr>
                <w:sz w:val="17"/>
              </w:rPr>
            </w:r>
            <w:r>
              <w:rPr>
                <w:sz w:val="17"/>
              </w:rPr>
              <w:t>30 to 50</w:t>
            </w:r>
          </w:p>
        </w:tc>
        <w:tc>
          <w:tcPr>
            <w:tcW w:type="dxa" w:w="1516"/>
          </w:tcPr>
          <w:p>
            <w:pPr>
              <w:spacing w:after="20" w:line="240" w:lineRule="auto"/>
            </w:pPr>
            <w:r>
              <w:rPr>
                <w:sz w:val="17"/>
              </w:rPr>
            </w:r>
            <w:r>
              <w:rPr>
                <w:sz w:val="17"/>
              </w:rPr>
              <w:t>8 (2 replicas, N+1)</w:t>
            </w:r>
          </w:p>
        </w:tc>
        <w:tc>
          <w:tcPr>
            <w:tcW w:type="dxa" w:w="1516"/>
          </w:tcPr>
          <w:p>
            <w:pPr>
              <w:spacing w:after="20" w:line="240" w:lineRule="auto"/>
            </w:pPr>
            <w:r>
              <w:rPr>
                <w:sz w:val="17"/>
              </w:rPr>
            </w:r>
            <w:r>
              <w:rPr>
                <w:sz w:val="17"/>
              </w:rPr>
              <w:t>3 to 6</w:t>
            </w:r>
          </w:p>
        </w:tc>
        <w:tc>
          <w:tcPr>
            <w:tcW w:type="dxa" w:w="1624"/>
          </w:tcPr>
          <w:p>
            <w:pPr>
              <w:spacing w:after="20" w:line="240" w:lineRule="auto"/>
            </w:pPr>
            <w:r>
              <w:rPr>
                <w:sz w:val="17"/>
              </w:rPr>
            </w:r>
            <w:r>
              <w:rPr>
                <w:sz w:val="17"/>
              </w:rPr>
              <w:t>12 to 16 GPUs (2 servers)</w:t>
            </w:r>
          </w:p>
        </w:tc>
        <w:tc>
          <w:tcPr>
            <w:tcW w:type="dxa" w:w="2057"/>
          </w:tcPr>
          <w:p>
            <w:pPr>
              <w:spacing w:after="20" w:line="240" w:lineRule="auto"/>
            </w:pPr>
            <w:r>
              <w:rPr>
                <w:sz w:val="17"/>
              </w:rPr>
            </w:r>
            <w:r>
              <w:rPr>
                <w:sz w:val="17"/>
              </w:rPr>
              <w:t>Plus DR warm standby of ~4 to 8 GPUs.</w:t>
            </w:r>
          </w:p>
        </w:tc>
      </w:tr>
      <w:tr>
        <w:trPr>
          <w:cantSplit w:val="true"/>
        </w:trPr>
        <w:tc>
          <w:tcPr>
            <w:tcW w:type="dxa" w:w="1299"/>
            <w:shd w:val="clear" w:color="auto" w:fill="F2F6FA"/>
          </w:tcPr>
          <w:p>
            <w:pPr>
              <w:spacing w:after="20" w:line="240" w:lineRule="auto"/>
            </w:pPr>
            <w:r>
              <w:rPr>
                <w:b/>
                <w:sz w:val="17"/>
              </w:rPr>
            </w:r>
            <w:r>
              <w:rPr>
                <w:b/>
                <w:sz w:val="17"/>
              </w:rPr>
              <w:t>5,000</w:t>
            </w:r>
          </w:p>
        </w:tc>
        <w:tc>
          <w:tcPr>
            <w:tcW w:type="dxa" w:w="1299"/>
            <w:shd w:val="clear" w:color="auto" w:fill="F2F6FA"/>
          </w:tcPr>
          <w:p>
            <w:pPr>
              <w:spacing w:after="20" w:line="240" w:lineRule="auto"/>
            </w:pPr>
            <w:r>
              <w:rPr>
                <w:sz w:val="17"/>
              </w:rPr>
            </w:r>
            <w:r>
              <w:rPr>
                <w:sz w:val="17"/>
              </w:rPr>
              <w:t>150 to 250</w:t>
            </w:r>
          </w:p>
        </w:tc>
        <w:tc>
          <w:tcPr>
            <w:tcW w:type="dxa" w:w="1516"/>
            <w:shd w:val="clear" w:color="auto" w:fill="F2F6FA"/>
          </w:tcPr>
          <w:p>
            <w:pPr>
              <w:spacing w:after="20" w:line="240" w:lineRule="auto"/>
            </w:pPr>
            <w:r>
              <w:rPr>
                <w:sz w:val="17"/>
              </w:rPr>
            </w:r>
            <w:r>
              <w:rPr>
                <w:sz w:val="17"/>
              </w:rPr>
              <w:t>20 to 32 (5 to 8 replicas)</w:t>
            </w:r>
          </w:p>
        </w:tc>
        <w:tc>
          <w:tcPr>
            <w:tcW w:type="dxa" w:w="1516"/>
            <w:shd w:val="clear" w:color="auto" w:fill="F2F6FA"/>
          </w:tcPr>
          <w:p>
            <w:pPr>
              <w:spacing w:after="20" w:line="240" w:lineRule="auto"/>
            </w:pPr>
            <w:r>
              <w:rPr>
                <w:sz w:val="17"/>
              </w:rPr>
            </w:r>
            <w:r>
              <w:rPr>
                <w:sz w:val="17"/>
              </w:rPr>
              <w:t>8 to 12</w:t>
            </w:r>
          </w:p>
        </w:tc>
        <w:tc>
          <w:tcPr>
            <w:tcW w:type="dxa" w:w="1624"/>
            <w:shd w:val="clear" w:color="auto" w:fill="F2F6FA"/>
          </w:tcPr>
          <w:p>
            <w:pPr>
              <w:spacing w:after="20" w:line="240" w:lineRule="auto"/>
            </w:pPr>
            <w:r>
              <w:rPr>
                <w:sz w:val="17"/>
              </w:rPr>
            </w:r>
            <w:r>
              <w:rPr>
                <w:sz w:val="17"/>
              </w:rPr>
              <w:t>32 to 48 GPUs (4 to 6 servers)</w:t>
            </w:r>
          </w:p>
        </w:tc>
        <w:tc>
          <w:tcPr>
            <w:tcW w:type="dxa" w:w="2057"/>
            <w:shd w:val="clear" w:color="auto" w:fill="F2F6FA"/>
          </w:tcPr>
          <w:p>
            <w:pPr>
              <w:spacing w:after="20" w:line="240" w:lineRule="auto"/>
            </w:pPr>
            <w:r>
              <w:rPr>
                <w:sz w:val="17"/>
              </w:rPr>
            </w:r>
            <w:r>
              <w:rPr>
                <w:sz w:val="17"/>
              </w:rPr>
              <w:t>Routing and prefix caching strongly affect this range.</w:t>
            </w:r>
          </w:p>
        </w:tc>
      </w:tr>
      <w:tr>
        <w:trPr>
          <w:cantSplit w:val="true"/>
        </w:trPr>
        <w:tc>
          <w:tcPr>
            <w:tcW w:type="dxa" w:w="1299"/>
          </w:tcPr>
          <w:p>
            <w:pPr>
              <w:spacing w:after="20" w:line="240" w:lineRule="auto"/>
            </w:pPr>
            <w:r>
              <w:rPr>
                <w:b/>
                <w:sz w:val="17"/>
              </w:rPr>
            </w:r>
            <w:r>
              <w:rPr>
                <w:b/>
                <w:sz w:val="17"/>
              </w:rPr>
              <w:t>20,000</w:t>
            </w:r>
          </w:p>
        </w:tc>
        <w:tc>
          <w:tcPr>
            <w:tcW w:type="dxa" w:w="1299"/>
          </w:tcPr>
          <w:p>
            <w:pPr>
              <w:spacing w:after="20" w:line="240" w:lineRule="auto"/>
            </w:pPr>
            <w:r>
              <w:rPr>
                <w:sz w:val="17"/>
              </w:rPr>
            </w:r>
            <w:r>
              <w:rPr>
                <w:sz w:val="17"/>
              </w:rPr>
              <w:t>600 to 1,000</w:t>
            </w:r>
          </w:p>
        </w:tc>
        <w:tc>
          <w:tcPr>
            <w:tcW w:type="dxa" w:w="1516"/>
          </w:tcPr>
          <w:p>
            <w:pPr>
              <w:spacing w:after="20" w:line="240" w:lineRule="auto"/>
            </w:pPr>
            <w:r>
              <w:rPr>
                <w:sz w:val="17"/>
              </w:rPr>
            </w:r>
            <w:r>
              <w:rPr>
                <w:sz w:val="17"/>
              </w:rPr>
              <w:t>64 to 112</w:t>
            </w:r>
          </w:p>
        </w:tc>
        <w:tc>
          <w:tcPr>
            <w:tcW w:type="dxa" w:w="1516"/>
          </w:tcPr>
          <w:p>
            <w:pPr>
              <w:spacing w:after="20" w:line="240" w:lineRule="auto"/>
            </w:pPr>
            <w:r>
              <w:rPr>
                <w:sz w:val="17"/>
              </w:rPr>
            </w:r>
            <w:r>
              <w:rPr>
                <w:sz w:val="17"/>
              </w:rPr>
              <w:t>16 to 24</w:t>
            </w:r>
          </w:p>
        </w:tc>
        <w:tc>
          <w:tcPr>
            <w:tcW w:type="dxa" w:w="1624"/>
          </w:tcPr>
          <w:p>
            <w:pPr>
              <w:spacing w:after="20" w:line="240" w:lineRule="auto"/>
            </w:pPr>
            <w:r>
              <w:rPr>
                <w:sz w:val="17"/>
              </w:rPr>
            </w:r>
            <w:r>
              <w:rPr>
                <w:sz w:val="17"/>
              </w:rPr>
              <w:t>80 to 136 GPUs (10 to 17 servers)</w:t>
            </w:r>
          </w:p>
        </w:tc>
        <w:tc>
          <w:tcPr>
            <w:tcW w:type="dxa" w:w="2057"/>
          </w:tcPr>
          <w:p>
            <w:pPr>
              <w:spacing w:after="20" w:line="240" w:lineRule="auto"/>
            </w:pPr>
            <w:r>
              <w:rPr>
                <w:sz w:val="17"/>
              </w:rPr>
            </w:r>
            <w:r>
              <w:rPr>
                <w:sz w:val="17"/>
              </w:rPr>
              <w:t>Consider larger-memory GPUs, multi-node MoE and dedicated batch pools.</w:t>
            </w:r>
          </w:p>
        </w:tc>
      </w:tr>
    </w:tbl>
    <w:p>
      <w:pPr>
        <w:spacing w:after="80"/>
      </w:pPr>
    </w:p>
    <w:p>
      <w:pPr>
        <w:pStyle w:val="Heading2"/>
      </w:pPr>
      <w:r>
        <w:t>10.3 Hardware options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2794"/>
        <w:gridCol w:w="1629"/>
        <w:gridCol w:w="4889"/>
      </w:tblGrid>
      <w:tr>
        <w:trPr>
          <w:tblHeader w:val="true"/>
        </w:trPr>
        <w:tc>
          <w:tcPr>
            <w:tcW w:type="dxa" w:w="2794"/>
            <w:shd w:val="clear" w:color="auto" w:fill="1F4E79"/>
          </w:tcPr>
          <w:p>
            <w:r/>
            <w:r>
              <w:rPr>
                <w:b/>
                <w:color w:val="FFFFFF"/>
                <w:sz w:val="18"/>
              </w:rPr>
              <w:t>GPU class (examples)</w:t>
            </w:r>
          </w:p>
        </w:tc>
        <w:tc>
          <w:tcPr>
            <w:tcW w:type="dxa" w:w="1629"/>
            <w:shd w:val="clear" w:color="auto" w:fill="1F4E79"/>
          </w:tcPr>
          <w:p>
            <w:r/>
            <w:r>
              <w:rPr>
                <w:b/>
                <w:color w:val="FFFFFF"/>
                <w:sz w:val="18"/>
              </w:rPr>
              <w:t>Memory</w:t>
            </w:r>
          </w:p>
        </w:tc>
        <w:tc>
          <w:tcPr>
            <w:tcW w:type="dxa" w:w="4889"/>
            <w:shd w:val="clear" w:color="auto" w:fill="1F4E79"/>
          </w:tcPr>
          <w:p>
            <w:r/>
            <w:r>
              <w:rPr>
                <w:b/>
                <w:color w:val="FFFFFF"/>
                <w:sz w:val="18"/>
              </w:rPr>
              <w:t>Best suited for</w:t>
            </w:r>
          </w:p>
        </w:tc>
      </w:tr>
      <w:tr>
        <w:trPr>
          <w:cantSplit w:val="true"/>
        </w:trPr>
        <w:tc>
          <w:tcPr>
            <w:tcW w:type="dxa" w:w="2794"/>
          </w:tcPr>
          <w:p>
            <w:pPr>
              <w:spacing w:after="20" w:line="240" w:lineRule="auto"/>
            </w:pPr>
            <w:r>
              <w:rPr>
                <w:b/>
                <w:sz w:val="18"/>
              </w:rPr>
            </w:r>
            <w:r>
              <w:rPr>
                <w:b/>
                <w:sz w:val="18"/>
              </w:rPr>
              <w:t>NVIDIA H100 / H200 (SXM or NVL)</w:t>
            </w:r>
          </w:p>
        </w:tc>
        <w:tc>
          <w:tcPr>
            <w:tcW w:type="dxa" w:w="1629"/>
          </w:tcPr>
          <w:p>
            <w:pPr>
              <w:spacing w:after="20" w:line="240" w:lineRule="auto"/>
            </w:pPr>
            <w:r>
              <w:rPr>
                <w:sz w:val="18"/>
              </w:rPr>
            </w:r>
            <w:r>
              <w:rPr>
                <w:sz w:val="18"/>
              </w:rPr>
              <w:t>80 GB / 141 GB HBM</w:t>
            </w:r>
          </w:p>
        </w:tc>
        <w:tc>
          <w:tcPr>
            <w:tcW w:type="dxa" w:w="4889"/>
          </w:tcPr>
          <w:p>
            <w:pPr>
              <w:spacing w:after="20" w:line="240" w:lineRule="auto"/>
            </w:pPr>
            <w:r>
              <w:rPr>
                <w:sz w:val="18"/>
              </w:rPr>
            </w:r>
            <w:r>
              <w:rPr>
                <w:sz w:val="18"/>
              </w:rPr>
              <w:t>Reasoning tier with FP8; H200 memory allows larger batch and longer context per replica.</w:t>
            </w:r>
          </w:p>
        </w:tc>
      </w:tr>
      <w:tr>
        <w:trPr>
          <w:cantSplit w:val="true"/>
        </w:trPr>
        <w:tc>
          <w:tcPr>
            <w:tcW w:type="dxa" w:w="2794"/>
            <w:shd w:val="clear" w:color="auto" w:fill="F2F6FA"/>
          </w:tcPr>
          <w:p>
            <w:pPr>
              <w:spacing w:after="20" w:line="240" w:lineRule="auto"/>
            </w:pPr>
            <w:r>
              <w:rPr>
                <w:b/>
                <w:sz w:val="18"/>
              </w:rPr>
            </w:r>
            <w:r>
              <w:rPr>
                <w:b/>
                <w:sz w:val="18"/>
              </w:rPr>
              <w:t>NVIDIA B200 / B300-class (Blackwell)</w:t>
            </w:r>
          </w:p>
        </w:tc>
        <w:tc>
          <w:tcPr>
            <w:tcW w:type="dxa" w:w="1629"/>
            <w:shd w:val="clear" w:color="auto" w:fill="F2F6FA"/>
          </w:tcPr>
          <w:p>
            <w:pPr>
              <w:spacing w:after="20" w:line="240" w:lineRule="auto"/>
            </w:pPr>
            <w:r>
              <w:rPr>
                <w:sz w:val="18"/>
              </w:rPr>
            </w:r>
            <w:r>
              <w:rPr>
                <w:sz w:val="18"/>
              </w:rPr>
              <w:t>~180 to 288 GB HBM</w:t>
            </w:r>
          </w:p>
        </w:tc>
        <w:tc>
          <w:tcPr>
            <w:tcW w:type="dxa" w:w="4889"/>
            <w:shd w:val="clear" w:color="auto" w:fill="F2F6FA"/>
          </w:tcPr>
          <w:p>
            <w:pPr>
              <w:spacing w:after="20" w:line="240" w:lineRule="auto"/>
            </w:pPr>
            <w:r>
              <w:rPr>
                <w:sz w:val="18"/>
              </w:rPr>
            </w:r>
            <w:r>
              <w:rPr>
                <w:sz w:val="18"/>
              </w:rPr>
              <w:t>Large MoE models and highest throughput (FP4/FP8); higher power and cooling requirements.</w:t>
            </w:r>
          </w:p>
        </w:tc>
      </w:tr>
      <w:tr>
        <w:trPr>
          <w:cantSplit w:val="true"/>
        </w:trPr>
        <w:tc>
          <w:tcPr>
            <w:tcW w:type="dxa" w:w="2794"/>
          </w:tcPr>
          <w:p>
            <w:pPr>
              <w:spacing w:after="20" w:line="240" w:lineRule="auto"/>
            </w:pPr>
            <w:r>
              <w:rPr>
                <w:b/>
                <w:sz w:val="18"/>
              </w:rPr>
            </w:r>
            <w:r>
              <w:rPr>
                <w:b/>
                <w:sz w:val="18"/>
              </w:rPr>
              <w:t>AMD Instinct MI300X / MI325X / MI350-class</w:t>
            </w:r>
          </w:p>
        </w:tc>
        <w:tc>
          <w:tcPr>
            <w:tcW w:type="dxa" w:w="1629"/>
          </w:tcPr>
          <w:p>
            <w:pPr>
              <w:spacing w:after="20" w:line="240" w:lineRule="auto"/>
            </w:pPr>
            <w:r>
              <w:rPr>
                <w:sz w:val="18"/>
              </w:rPr>
            </w:r>
            <w:r>
              <w:rPr>
                <w:sz w:val="18"/>
              </w:rPr>
              <w:t>192 to 288 GB HBM</w:t>
            </w:r>
          </w:p>
        </w:tc>
        <w:tc>
          <w:tcPr>
            <w:tcW w:type="dxa" w:w="4889"/>
          </w:tcPr>
          <w:p>
            <w:pPr>
              <w:spacing w:after="20" w:line="240" w:lineRule="auto"/>
            </w:pPr>
            <w:r>
              <w:rPr>
                <w:sz w:val="18"/>
              </w:rPr>
            </w:r>
            <w:r>
              <w:rPr>
                <w:sz w:val="18"/>
              </w:rPr>
              <w:t>Large models on fewer GPUs; supported by vLLM and SGLang (ROCm); validate tooling maturity for chosen models.</w:t>
            </w:r>
          </w:p>
        </w:tc>
      </w:tr>
      <w:tr>
        <w:trPr>
          <w:cantSplit w:val="true"/>
        </w:trPr>
        <w:tc>
          <w:tcPr>
            <w:tcW w:type="dxa" w:w="2794"/>
            <w:shd w:val="clear" w:color="auto" w:fill="F2F6FA"/>
          </w:tcPr>
          <w:p>
            <w:pPr>
              <w:spacing w:after="20" w:line="240" w:lineRule="auto"/>
            </w:pPr>
            <w:r>
              <w:rPr>
                <w:b/>
                <w:sz w:val="18"/>
              </w:rPr>
            </w:r>
            <w:r>
              <w:rPr>
                <w:b/>
                <w:sz w:val="18"/>
              </w:rPr>
              <w:t>NVIDIA L40S / L4, RTX PRO 6000-class</w:t>
            </w:r>
          </w:p>
        </w:tc>
        <w:tc>
          <w:tcPr>
            <w:tcW w:type="dxa" w:w="1629"/>
            <w:shd w:val="clear" w:color="auto" w:fill="F2F6FA"/>
          </w:tcPr>
          <w:p>
            <w:pPr>
              <w:spacing w:after="20" w:line="240" w:lineRule="auto"/>
            </w:pPr>
            <w:r>
              <w:rPr>
                <w:sz w:val="18"/>
              </w:rPr>
            </w:r>
            <w:r>
              <w:rPr>
                <w:sz w:val="18"/>
              </w:rPr>
              <w:t>24 to 96 GB</w:t>
            </w:r>
          </w:p>
        </w:tc>
        <w:tc>
          <w:tcPr>
            <w:tcW w:type="dxa" w:w="4889"/>
            <w:shd w:val="clear" w:color="auto" w:fill="F2F6FA"/>
          </w:tcPr>
          <w:p>
            <w:pPr>
              <w:spacing w:after="20" w:line="240" w:lineRule="auto"/>
            </w:pPr>
            <w:r>
              <w:rPr>
                <w:sz w:val="18"/>
              </w:rPr>
            </w:r>
            <w:r>
              <w:rPr>
                <w:sz w:val="18"/>
              </w:rPr>
              <w:t>Fast tier, embeddings, rerankers, vision models; PCIe servers in standard racks.</w:t>
            </w:r>
          </w:p>
        </w:tc>
      </w:tr>
      <w:tr>
        <w:trPr>
          <w:cantSplit w:val="true"/>
        </w:trPr>
        <w:tc>
          <w:tcPr>
            <w:tcW w:type="dxa" w:w="2794"/>
          </w:tcPr>
          <w:p>
            <w:pPr>
              <w:spacing w:after="20" w:line="240" w:lineRule="auto"/>
            </w:pPr>
            <w:r>
              <w:rPr>
                <w:b/>
                <w:sz w:val="18"/>
              </w:rPr>
            </w:r>
            <w:r>
              <w:rPr>
                <w:b/>
                <w:sz w:val="18"/>
              </w:rPr>
              <w:t>NVIDIA A100 (existing estate)</w:t>
            </w:r>
          </w:p>
        </w:tc>
        <w:tc>
          <w:tcPr>
            <w:tcW w:type="dxa" w:w="1629"/>
          </w:tcPr>
          <w:p>
            <w:pPr>
              <w:spacing w:after="20" w:line="240" w:lineRule="auto"/>
            </w:pPr>
            <w:r>
              <w:rPr>
                <w:sz w:val="18"/>
              </w:rPr>
            </w:r>
            <w:r>
              <w:rPr>
                <w:sz w:val="18"/>
              </w:rPr>
              <w:t>40 / 80 GB</w:t>
            </w:r>
          </w:p>
        </w:tc>
        <w:tc>
          <w:tcPr>
            <w:tcW w:type="dxa" w:w="4889"/>
          </w:tcPr>
          <w:p>
            <w:pPr>
              <w:spacing w:after="20" w:line="240" w:lineRule="auto"/>
            </w:pPr>
            <w:r>
              <w:rPr>
                <w:sz w:val="18"/>
              </w:rPr>
            </w:r>
            <w:r>
              <w:rPr>
                <w:sz w:val="18"/>
              </w:rPr>
              <w:t>Reuse for fast tier, embeddings and INT8/4-bit models (no FP8).</w:t>
            </w:r>
          </w:p>
        </w:tc>
      </w:tr>
    </w:tbl>
    <w:p>
      <w:pPr>
        <w:spacing w:after="80"/>
      </w:pPr>
    </w:p>
    <w:p>
      <w:pPr>
        <w:pStyle w:val="Heading2"/>
      </w:pPr>
      <w:r>
        <w:t>10.4 Cost components</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2794"/>
        <w:gridCol w:w="6519"/>
      </w:tblGrid>
      <w:tr>
        <w:trPr>
          <w:tblHeader w:val="true"/>
        </w:trPr>
        <w:tc>
          <w:tcPr>
            <w:tcW w:type="dxa" w:w="2794"/>
            <w:shd w:val="clear" w:color="auto" w:fill="1F4E79"/>
          </w:tcPr>
          <w:p>
            <w:r/>
            <w:r>
              <w:rPr>
                <w:b/>
                <w:color w:val="FFFFFF"/>
                <w:sz w:val="18"/>
              </w:rPr>
              <w:t>Component</w:t>
            </w:r>
          </w:p>
        </w:tc>
        <w:tc>
          <w:tcPr>
            <w:tcW w:type="dxa" w:w="6519"/>
            <w:shd w:val="clear" w:color="auto" w:fill="1F4E79"/>
          </w:tcPr>
          <w:p>
            <w:r/>
            <w:r>
              <w:rPr>
                <w:b/>
                <w:color w:val="FFFFFF"/>
                <w:sz w:val="18"/>
              </w:rPr>
              <w:t>Considerations</w:t>
            </w:r>
          </w:p>
        </w:tc>
      </w:tr>
      <w:tr>
        <w:trPr>
          <w:cantSplit w:val="true"/>
        </w:trPr>
        <w:tc>
          <w:tcPr>
            <w:tcW w:type="dxa" w:w="2794"/>
          </w:tcPr>
          <w:p>
            <w:pPr>
              <w:spacing w:after="20" w:line="240" w:lineRule="auto"/>
            </w:pPr>
            <w:r>
              <w:rPr>
                <w:b/>
                <w:sz w:val="18"/>
              </w:rPr>
            </w:r>
            <w:r>
              <w:rPr>
                <w:b/>
                <w:sz w:val="18"/>
              </w:rPr>
              <w:t>GPU servers (capex or reserved private cloud)</w:t>
            </w:r>
          </w:p>
        </w:tc>
        <w:tc>
          <w:tcPr>
            <w:tcW w:type="dxa" w:w="6519"/>
          </w:tcPr>
          <w:p>
            <w:pPr>
              <w:spacing w:after="20" w:line="240" w:lineRule="auto"/>
            </w:pPr>
            <w:r>
              <w:rPr>
                <w:sz w:val="18"/>
              </w:rPr>
            </w:r>
            <w:r>
              <w:rPr>
                <w:sz w:val="18"/>
              </w:rPr>
              <w:t>Typically the dominant infrastructure cost; amortise over 3 to 5 years; consider phasing purchases with hardware generations.</w:t>
            </w:r>
          </w:p>
        </w:tc>
      </w:tr>
      <w:tr>
        <w:trPr>
          <w:cantSplit w:val="true"/>
        </w:trPr>
        <w:tc>
          <w:tcPr>
            <w:tcW w:type="dxa" w:w="2794"/>
            <w:shd w:val="clear" w:color="auto" w:fill="F2F6FA"/>
          </w:tcPr>
          <w:p>
            <w:pPr>
              <w:spacing w:after="20" w:line="240" w:lineRule="auto"/>
            </w:pPr>
            <w:r>
              <w:rPr>
                <w:b/>
                <w:sz w:val="18"/>
              </w:rPr>
            </w:r>
            <w:r>
              <w:rPr>
                <w:b/>
                <w:sz w:val="18"/>
              </w:rPr>
              <w:t>Power, cooling and rack space</w:t>
            </w:r>
          </w:p>
        </w:tc>
        <w:tc>
          <w:tcPr>
            <w:tcW w:type="dxa" w:w="6519"/>
            <w:shd w:val="clear" w:color="auto" w:fill="F2F6FA"/>
          </w:tcPr>
          <w:p>
            <w:pPr>
              <w:spacing w:after="20" w:line="240" w:lineRule="auto"/>
            </w:pPr>
            <w:r>
              <w:rPr>
                <w:sz w:val="18"/>
              </w:rPr>
            </w:r>
            <w:r>
              <w:rPr>
                <w:sz w:val="18"/>
              </w:rPr>
              <w:t>An 8-GPU high-end server can draw on the order of 10 kW or more; confirm data-centre power density and liquid-cooling needs for newest generations.</w:t>
            </w:r>
          </w:p>
        </w:tc>
      </w:tr>
      <w:tr>
        <w:trPr>
          <w:cantSplit w:val="true"/>
        </w:trPr>
        <w:tc>
          <w:tcPr>
            <w:tcW w:type="dxa" w:w="2794"/>
          </w:tcPr>
          <w:p>
            <w:pPr>
              <w:spacing w:after="20" w:line="240" w:lineRule="auto"/>
            </w:pPr>
            <w:r>
              <w:rPr>
                <w:b/>
                <w:sz w:val="18"/>
              </w:rPr>
            </w:r>
            <w:r>
              <w:rPr>
                <w:b/>
                <w:sz w:val="18"/>
              </w:rPr>
              <w:t>Networking</w:t>
            </w:r>
          </w:p>
        </w:tc>
        <w:tc>
          <w:tcPr>
            <w:tcW w:type="dxa" w:w="6519"/>
          </w:tcPr>
          <w:p>
            <w:pPr>
              <w:spacing w:after="20" w:line="240" w:lineRule="auto"/>
            </w:pPr>
            <w:r>
              <w:rPr>
                <w:sz w:val="18"/>
              </w:rPr>
            </w:r>
            <w:r>
              <w:rPr>
                <w:sz w:val="18"/>
              </w:rPr>
              <w:t>Standard 25 to 100 GbE for single-node models; InfiniBand/RoCE fabric only if multi-node models are needed.</w:t>
            </w:r>
          </w:p>
        </w:tc>
      </w:tr>
      <w:tr>
        <w:trPr>
          <w:cantSplit w:val="true"/>
        </w:trPr>
        <w:tc>
          <w:tcPr>
            <w:tcW w:type="dxa" w:w="2794"/>
            <w:shd w:val="clear" w:color="auto" w:fill="F2F6FA"/>
          </w:tcPr>
          <w:p>
            <w:pPr>
              <w:spacing w:after="20" w:line="240" w:lineRule="auto"/>
            </w:pPr>
            <w:r>
              <w:rPr>
                <w:b/>
                <w:sz w:val="18"/>
              </w:rPr>
            </w:r>
            <w:r>
              <w:rPr>
                <w:b/>
                <w:sz w:val="18"/>
              </w:rPr>
              <w:t>CPU, storage and data services</w:t>
            </w:r>
          </w:p>
        </w:tc>
        <w:tc>
          <w:tcPr>
            <w:tcW w:type="dxa" w:w="6519"/>
            <w:shd w:val="clear" w:color="auto" w:fill="F2F6FA"/>
          </w:tcPr>
          <w:p>
            <w:pPr>
              <w:spacing w:after="20" w:line="240" w:lineRule="auto"/>
            </w:pPr>
            <w:r>
              <w:rPr>
                <w:sz w:val="18"/>
              </w:rPr>
            </w:r>
            <w:r>
              <w:rPr>
                <w:sz w:val="18"/>
              </w:rPr>
              <w:t>App pools, sandbox pools (scale with concurrent sandboxes), NVMe for model caches, object storage for artefacts, audit and backups (multi-year retention).</w:t>
            </w:r>
          </w:p>
        </w:tc>
      </w:tr>
      <w:tr>
        <w:trPr>
          <w:cantSplit w:val="true"/>
        </w:trPr>
        <w:tc>
          <w:tcPr>
            <w:tcW w:type="dxa" w:w="2794"/>
          </w:tcPr>
          <w:p>
            <w:pPr>
              <w:spacing w:after="20" w:line="240" w:lineRule="auto"/>
            </w:pPr>
            <w:r>
              <w:rPr>
                <w:b/>
                <w:sz w:val="18"/>
              </w:rPr>
            </w:r>
            <w:r>
              <w:rPr>
                <w:b/>
                <w:sz w:val="18"/>
              </w:rPr>
              <w:t>Software and support</w:t>
            </w:r>
          </w:p>
        </w:tc>
        <w:tc>
          <w:tcPr>
            <w:tcW w:type="dxa" w:w="6519"/>
          </w:tcPr>
          <w:p>
            <w:pPr>
              <w:spacing w:after="20" w:line="240" w:lineRule="auto"/>
            </w:pPr>
            <w:r>
              <w:rPr>
                <w:sz w:val="18"/>
              </w:rPr>
            </w:r>
            <w:r>
              <w:rPr>
                <w:sz w:val="18"/>
              </w:rPr>
              <w:t>Most components are open source; budget for optional enterprise support (Kubernetes distribution, database, Vault, observability) and GPU software licences where applicable.</w:t>
            </w:r>
          </w:p>
        </w:tc>
      </w:tr>
      <w:tr>
        <w:trPr>
          <w:cantSplit w:val="true"/>
        </w:trPr>
        <w:tc>
          <w:tcPr>
            <w:tcW w:type="dxa" w:w="2794"/>
            <w:shd w:val="clear" w:color="auto" w:fill="F2F6FA"/>
          </w:tcPr>
          <w:p>
            <w:pPr>
              <w:spacing w:after="20" w:line="240" w:lineRule="auto"/>
            </w:pPr>
            <w:r>
              <w:rPr>
                <w:b/>
                <w:sz w:val="18"/>
              </w:rPr>
            </w:r>
            <w:r>
              <w:rPr>
                <w:b/>
                <w:sz w:val="18"/>
              </w:rPr>
              <w:t>People</w:t>
            </w:r>
          </w:p>
        </w:tc>
        <w:tc>
          <w:tcPr>
            <w:tcW w:type="dxa" w:w="6519"/>
            <w:shd w:val="clear" w:color="auto" w:fill="F2F6FA"/>
          </w:tcPr>
          <w:p>
            <w:pPr>
              <w:spacing w:after="20" w:line="240" w:lineRule="auto"/>
            </w:pPr>
            <w:r>
              <w:rPr>
                <w:sz w:val="18"/>
              </w:rPr>
            </w:r>
            <w:r>
              <w:rPr>
                <w:sz w:val="18"/>
              </w:rPr>
              <w:t>Platform, ML, SRE and security engineers (Section 9) usually exceed hardware cost in early phases.</w:t>
            </w:r>
          </w:p>
        </w:tc>
      </w:tr>
    </w:tbl>
    <w:p>
      <w:pPr>
        <w:spacing w:after="80"/>
      </w:pPr>
    </w:p>
    <w:p>
      <w:r>
        <w:rPr>
          <w:b/>
        </w:rPr>
        <w:t>Unit economics formula</w:t>
      </w:r>
      <w:r>
        <w:t xml:space="preserve"> for internal comparison: cost per million tokens = (amortised hourly cost of a GPU replica + power and hosting) / (measured tokens per hour per replica x average utilisation). Track cost per active user per month and cost per completed task as the primary business metrics; utilisation (batching, routing to the fast tier, off-hours batch work such as ingestion and evaluations) is the main lever.</w:t>
      </w:r>
    </w:p>
    <w:p>
      <w:pPr>
        <w:spacing w:after="0"/>
      </w:pPr>
      <w:r>
        <w:br w:type="page"/>
      </w:r>
    </w:p>
    <w:p>
      <w:pPr>
        <w:pStyle w:val="Heading1"/>
      </w:pPr>
      <w:r>
        <w:t>11. Risks, Open Questions and Next Steps</w:t>
      </w:r>
    </w:p>
    <w:p>
      <w:pPr>
        <w:pStyle w:val="Heading2"/>
      </w:pPr>
      <w:r>
        <w:t>11.1 Key risks</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2794"/>
        <w:gridCol w:w="1862"/>
        <w:gridCol w:w="4657"/>
      </w:tblGrid>
      <w:tr>
        <w:trPr>
          <w:tblHeader w:val="true"/>
        </w:trPr>
        <w:tc>
          <w:tcPr>
            <w:tcW w:type="dxa" w:w="2794"/>
            <w:shd w:val="clear" w:color="auto" w:fill="1F4E79"/>
          </w:tcPr>
          <w:p>
            <w:r/>
            <w:r>
              <w:rPr>
                <w:b/>
                <w:color w:val="FFFFFF"/>
                <w:sz w:val="18"/>
              </w:rPr>
              <w:t>Risk</w:t>
            </w:r>
          </w:p>
        </w:tc>
        <w:tc>
          <w:tcPr>
            <w:tcW w:type="dxa" w:w="1862"/>
            <w:shd w:val="clear" w:color="auto" w:fill="1F4E79"/>
          </w:tcPr>
          <w:p>
            <w:r/>
            <w:r>
              <w:rPr>
                <w:b/>
                <w:color w:val="FFFFFF"/>
                <w:sz w:val="18"/>
              </w:rPr>
              <w:t>Impact</w:t>
            </w:r>
          </w:p>
        </w:tc>
        <w:tc>
          <w:tcPr>
            <w:tcW w:type="dxa" w:w="4657"/>
            <w:shd w:val="clear" w:color="auto" w:fill="1F4E79"/>
          </w:tcPr>
          <w:p>
            <w:r/>
            <w:r>
              <w:rPr>
                <w:b/>
                <w:color w:val="FFFFFF"/>
                <w:sz w:val="18"/>
              </w:rPr>
              <w:t>Mitigation</w:t>
            </w:r>
          </w:p>
        </w:tc>
      </w:tr>
      <w:tr>
        <w:trPr>
          <w:cantSplit w:val="true"/>
        </w:trPr>
        <w:tc>
          <w:tcPr>
            <w:tcW w:type="dxa" w:w="2794"/>
          </w:tcPr>
          <w:p>
            <w:pPr>
              <w:spacing w:after="20" w:line="240" w:lineRule="auto"/>
            </w:pPr>
            <w:r>
              <w:rPr>
                <w:b/>
                <w:sz w:val="18"/>
              </w:rPr>
            </w:r>
            <w:r>
              <w:rPr>
                <w:b/>
                <w:sz w:val="18"/>
              </w:rPr>
              <w:t>Open-weight model quality is insufficient for some complex agentic tasks</w:t>
            </w:r>
          </w:p>
        </w:tc>
        <w:tc>
          <w:tcPr>
            <w:tcW w:type="dxa" w:w="1862"/>
          </w:tcPr>
          <w:p>
            <w:pPr>
              <w:spacing w:after="20" w:line="240" w:lineRule="auto"/>
            </w:pPr>
            <w:r>
              <w:rPr>
                <w:sz w:val="18"/>
              </w:rPr>
            </w:r>
            <w:r>
              <w:rPr>
                <w:sz w:val="18"/>
              </w:rPr>
              <w:t>Lower task success, user disappointment</w:t>
            </w:r>
          </w:p>
        </w:tc>
        <w:tc>
          <w:tcPr>
            <w:tcW w:type="dxa" w:w="4657"/>
          </w:tcPr>
          <w:p>
            <w:pPr>
              <w:spacing w:after="20" w:line="240" w:lineRule="auto"/>
            </w:pPr>
            <w:r>
              <w:rPr>
                <w:sz w:val="18"/>
              </w:rPr>
            </w:r>
            <w:r>
              <w:rPr>
                <w:sz w:val="18"/>
              </w:rPr>
              <w:t>Evaluate early on real tasks; use tools and retrieval to compensate; task decomposition with subagents; plan quarterly model upgrades; scope use cases to proven strengths.</w:t>
            </w:r>
          </w:p>
        </w:tc>
      </w:tr>
      <w:tr>
        <w:trPr>
          <w:cantSplit w:val="true"/>
        </w:trPr>
        <w:tc>
          <w:tcPr>
            <w:tcW w:type="dxa" w:w="2794"/>
            <w:shd w:val="clear" w:color="auto" w:fill="F2F6FA"/>
          </w:tcPr>
          <w:p>
            <w:pPr>
              <w:spacing w:after="20" w:line="240" w:lineRule="auto"/>
            </w:pPr>
            <w:r>
              <w:rPr>
                <w:b/>
                <w:sz w:val="18"/>
              </w:rPr>
            </w:r>
            <w:r>
              <w:rPr>
                <w:b/>
                <w:sz w:val="18"/>
              </w:rPr>
              <w:t>GPU procurement lead times and capacity constraints</w:t>
            </w:r>
          </w:p>
        </w:tc>
        <w:tc>
          <w:tcPr>
            <w:tcW w:type="dxa" w:w="1862"/>
            <w:shd w:val="clear" w:color="auto" w:fill="F2F6FA"/>
          </w:tcPr>
          <w:p>
            <w:pPr>
              <w:spacing w:after="20" w:line="240" w:lineRule="auto"/>
            </w:pPr>
            <w:r>
              <w:rPr>
                <w:sz w:val="18"/>
              </w:rPr>
            </w:r>
            <w:r>
              <w:rPr>
                <w:sz w:val="18"/>
              </w:rPr>
              <w:t>Delayed pilot or production</w:t>
            </w:r>
          </w:p>
        </w:tc>
        <w:tc>
          <w:tcPr>
            <w:tcW w:type="dxa" w:w="4657"/>
            <w:shd w:val="clear" w:color="auto" w:fill="F2F6FA"/>
          </w:tcPr>
          <w:p>
            <w:pPr>
              <w:spacing w:after="20" w:line="240" w:lineRule="auto"/>
            </w:pPr>
            <w:r>
              <w:rPr>
                <w:sz w:val="18"/>
              </w:rPr>
            </w:r>
            <w:r>
              <w:rPr>
                <w:sz w:val="18"/>
              </w:rPr>
              <w:t>Start procurement during Phase 0; use quantisation and MoE to reduce needs; consider interim reserved private-cloud capacity within residency rules.</w:t>
            </w:r>
          </w:p>
        </w:tc>
      </w:tr>
      <w:tr>
        <w:trPr>
          <w:cantSplit w:val="true"/>
        </w:trPr>
        <w:tc>
          <w:tcPr>
            <w:tcW w:type="dxa" w:w="2794"/>
          </w:tcPr>
          <w:p>
            <w:pPr>
              <w:spacing w:after="20" w:line="240" w:lineRule="auto"/>
            </w:pPr>
            <w:r>
              <w:rPr>
                <w:b/>
                <w:sz w:val="18"/>
              </w:rPr>
            </w:r>
            <w:r>
              <w:rPr>
                <w:b/>
                <w:sz w:val="18"/>
              </w:rPr>
              <w:t>Security incident caused by agent actions (injection, over-permission)</w:t>
            </w:r>
          </w:p>
        </w:tc>
        <w:tc>
          <w:tcPr>
            <w:tcW w:type="dxa" w:w="1862"/>
          </w:tcPr>
          <w:p>
            <w:pPr>
              <w:spacing w:after="20" w:line="240" w:lineRule="auto"/>
            </w:pPr>
            <w:r>
              <w:rPr>
                <w:sz w:val="18"/>
              </w:rPr>
            </w:r>
            <w:r>
              <w:rPr>
                <w:sz w:val="18"/>
              </w:rPr>
              <w:t>Data breach, loss of trust</w:t>
            </w:r>
          </w:p>
        </w:tc>
        <w:tc>
          <w:tcPr>
            <w:tcW w:type="dxa" w:w="4657"/>
          </w:tcPr>
          <w:p>
            <w:pPr>
              <w:spacing w:after="20" w:line="240" w:lineRule="auto"/>
            </w:pPr>
            <w:r>
              <w:rPr>
                <w:sz w:val="18"/>
              </w:rPr>
            </w:r>
            <w:r>
              <w:rPr>
                <w:sz w:val="18"/>
              </w:rPr>
              <w:t>Layered defences (Section 4.10), approvals, conservative W2/W3 enablement, red-teaming before each phase.</w:t>
            </w:r>
          </w:p>
        </w:tc>
      </w:tr>
      <w:tr>
        <w:trPr>
          <w:cantSplit w:val="true"/>
        </w:trPr>
        <w:tc>
          <w:tcPr>
            <w:tcW w:type="dxa" w:w="2794"/>
            <w:shd w:val="clear" w:color="auto" w:fill="F2F6FA"/>
          </w:tcPr>
          <w:p>
            <w:pPr>
              <w:spacing w:after="20" w:line="240" w:lineRule="auto"/>
            </w:pPr>
            <w:r>
              <w:rPr>
                <w:b/>
                <w:sz w:val="18"/>
              </w:rPr>
            </w:r>
            <w:r>
              <w:rPr>
                <w:b/>
                <w:sz w:val="18"/>
              </w:rPr>
              <w:t>Permission sync complexity across many sources</w:t>
            </w:r>
          </w:p>
        </w:tc>
        <w:tc>
          <w:tcPr>
            <w:tcW w:type="dxa" w:w="1862"/>
            <w:shd w:val="clear" w:color="auto" w:fill="F2F6FA"/>
          </w:tcPr>
          <w:p>
            <w:pPr>
              <w:spacing w:after="20" w:line="240" w:lineRule="auto"/>
            </w:pPr>
            <w:r>
              <w:rPr>
                <w:sz w:val="18"/>
              </w:rPr>
            </w:r>
            <w:r>
              <w:rPr>
                <w:sz w:val="18"/>
              </w:rPr>
              <w:t>ACL leaks or missing results</w:t>
            </w:r>
          </w:p>
        </w:tc>
        <w:tc>
          <w:tcPr>
            <w:tcW w:type="dxa" w:w="4657"/>
            <w:shd w:val="clear" w:color="auto" w:fill="F2F6FA"/>
          </w:tcPr>
          <w:p>
            <w:pPr>
              <w:spacing w:after="20" w:line="240" w:lineRule="auto"/>
            </w:pPr>
            <w:r>
              <w:rPr>
                <w:sz w:val="18"/>
              </w:rPr>
            </w:r>
            <w:r>
              <w:rPr>
                <w:sz w:val="18"/>
              </w:rPr>
              <w:t>Start with 2 to 3 well-understood sources; reconciliation tests; late verification for sensitive data.</w:t>
            </w:r>
          </w:p>
        </w:tc>
      </w:tr>
      <w:tr>
        <w:trPr>
          <w:cantSplit w:val="true"/>
        </w:trPr>
        <w:tc>
          <w:tcPr>
            <w:tcW w:type="dxa" w:w="2794"/>
          </w:tcPr>
          <w:p>
            <w:pPr>
              <w:spacing w:after="20" w:line="240" w:lineRule="auto"/>
            </w:pPr>
            <w:r>
              <w:rPr>
                <w:b/>
                <w:sz w:val="18"/>
              </w:rPr>
            </w:r>
            <w:r>
              <w:rPr>
                <w:b/>
                <w:sz w:val="18"/>
              </w:rPr>
              <w:t>Fast-moving open-source dependencies</w:t>
            </w:r>
          </w:p>
        </w:tc>
        <w:tc>
          <w:tcPr>
            <w:tcW w:type="dxa" w:w="1862"/>
          </w:tcPr>
          <w:p>
            <w:pPr>
              <w:spacing w:after="20" w:line="240" w:lineRule="auto"/>
            </w:pPr>
            <w:r>
              <w:rPr>
                <w:sz w:val="18"/>
              </w:rPr>
            </w:r>
            <w:r>
              <w:rPr>
                <w:sz w:val="18"/>
              </w:rPr>
              <w:t>Upgrade churn, breaking changes</w:t>
            </w:r>
          </w:p>
        </w:tc>
        <w:tc>
          <w:tcPr>
            <w:tcW w:type="dxa" w:w="4657"/>
          </w:tcPr>
          <w:p>
            <w:pPr>
              <w:spacing w:after="20" w:line="240" w:lineRule="auto"/>
            </w:pPr>
            <w:r>
              <w:rPr>
                <w:sz w:val="18"/>
              </w:rPr>
            </w:r>
            <w:r>
              <w:rPr>
                <w:sz w:val="18"/>
              </w:rPr>
              <w:t>Pin versions; internal mirrors; abstraction at gateway and MCP boundaries; dedicated upgrade cadence.</w:t>
            </w:r>
          </w:p>
        </w:tc>
      </w:tr>
      <w:tr>
        <w:trPr>
          <w:cantSplit w:val="true"/>
        </w:trPr>
        <w:tc>
          <w:tcPr>
            <w:tcW w:type="dxa" w:w="2794"/>
            <w:shd w:val="clear" w:color="auto" w:fill="F2F6FA"/>
          </w:tcPr>
          <w:p>
            <w:pPr>
              <w:spacing w:after="20" w:line="240" w:lineRule="auto"/>
            </w:pPr>
            <w:r>
              <w:rPr>
                <w:b/>
                <w:sz w:val="18"/>
              </w:rPr>
            </w:r>
            <w:r>
              <w:rPr>
                <w:b/>
                <w:sz w:val="18"/>
              </w:rPr>
              <w:t>Adoption and change management</w:t>
            </w:r>
          </w:p>
        </w:tc>
        <w:tc>
          <w:tcPr>
            <w:tcW w:type="dxa" w:w="1862"/>
            <w:shd w:val="clear" w:color="auto" w:fill="F2F6FA"/>
          </w:tcPr>
          <w:p>
            <w:pPr>
              <w:spacing w:after="20" w:line="240" w:lineRule="auto"/>
            </w:pPr>
            <w:r>
              <w:rPr>
                <w:sz w:val="18"/>
              </w:rPr>
            </w:r>
            <w:r>
              <w:rPr>
                <w:sz w:val="18"/>
              </w:rPr>
              <w:t>Low usage, poor ROI</w:t>
            </w:r>
          </w:p>
        </w:tc>
        <w:tc>
          <w:tcPr>
            <w:tcW w:type="dxa" w:w="4657"/>
            <w:shd w:val="clear" w:color="auto" w:fill="F2F6FA"/>
          </w:tcPr>
          <w:p>
            <w:pPr>
              <w:spacing w:after="20" w:line="240" w:lineRule="auto"/>
            </w:pPr>
            <w:r>
              <w:rPr>
                <w:sz w:val="18"/>
              </w:rPr>
            </w:r>
            <w:r>
              <w:rPr>
                <w:sz w:val="18"/>
              </w:rPr>
              <w:t>Target high-value use cases with business sponsors; training; feedback loops; publish success metrics.</w:t>
            </w:r>
          </w:p>
        </w:tc>
      </w:tr>
      <w:tr>
        <w:trPr>
          <w:cantSplit w:val="true"/>
        </w:trPr>
        <w:tc>
          <w:tcPr>
            <w:tcW w:type="dxa" w:w="2794"/>
          </w:tcPr>
          <w:p>
            <w:pPr>
              <w:spacing w:after="20" w:line="240" w:lineRule="auto"/>
            </w:pPr>
            <w:r>
              <w:rPr>
                <w:b/>
                <w:sz w:val="18"/>
              </w:rPr>
            </w:r>
            <w:r>
              <w:rPr>
                <w:b/>
                <w:sz w:val="18"/>
              </w:rPr>
              <w:t>Regulatory changes (data protection, AI governance)</w:t>
            </w:r>
          </w:p>
        </w:tc>
        <w:tc>
          <w:tcPr>
            <w:tcW w:type="dxa" w:w="1862"/>
          </w:tcPr>
          <w:p>
            <w:pPr>
              <w:spacing w:after="20" w:line="240" w:lineRule="auto"/>
            </w:pPr>
            <w:r>
              <w:rPr>
                <w:sz w:val="18"/>
              </w:rPr>
            </w:r>
            <w:r>
              <w:rPr>
                <w:sz w:val="18"/>
              </w:rPr>
              <w:t>Rework</w:t>
            </w:r>
          </w:p>
        </w:tc>
        <w:tc>
          <w:tcPr>
            <w:tcW w:type="dxa" w:w="4657"/>
          </w:tcPr>
          <w:p>
            <w:pPr>
              <w:spacing w:after="20" w:line="240" w:lineRule="auto"/>
            </w:pPr>
            <w:r>
              <w:rPr>
                <w:sz w:val="18"/>
              </w:rPr>
            </w:r>
            <w:r>
              <w:rPr>
                <w:sz w:val="18"/>
              </w:rPr>
              <w:t>Engage legal and compliance early; DPIA; configurable retention, consent and audit.</w:t>
            </w:r>
          </w:p>
        </w:tc>
      </w:tr>
      <w:tr>
        <w:trPr>
          <w:cantSplit w:val="true"/>
        </w:trPr>
        <w:tc>
          <w:tcPr>
            <w:tcW w:type="dxa" w:w="2794"/>
            <w:shd w:val="clear" w:color="auto" w:fill="F2F6FA"/>
          </w:tcPr>
          <w:p>
            <w:pPr>
              <w:spacing w:after="20" w:line="240" w:lineRule="auto"/>
            </w:pPr>
            <w:r>
              <w:rPr>
                <w:b/>
                <w:sz w:val="18"/>
              </w:rPr>
            </w:r>
            <w:r>
              <w:rPr>
                <w:b/>
                <w:sz w:val="18"/>
              </w:rPr>
              <w:t>Skills gap in GPU operations and LLM serving</w:t>
            </w:r>
          </w:p>
        </w:tc>
        <w:tc>
          <w:tcPr>
            <w:tcW w:type="dxa" w:w="1862"/>
            <w:shd w:val="clear" w:color="auto" w:fill="F2F6FA"/>
          </w:tcPr>
          <w:p>
            <w:pPr>
              <w:spacing w:after="20" w:line="240" w:lineRule="auto"/>
            </w:pPr>
            <w:r>
              <w:rPr>
                <w:sz w:val="18"/>
              </w:rPr>
            </w:r>
            <w:r>
              <w:rPr>
                <w:sz w:val="18"/>
              </w:rPr>
              <w:t>Instability, poor utilisation</w:t>
            </w:r>
          </w:p>
        </w:tc>
        <w:tc>
          <w:tcPr>
            <w:tcW w:type="dxa" w:w="4657"/>
            <w:shd w:val="clear" w:color="auto" w:fill="F2F6FA"/>
          </w:tcPr>
          <w:p>
            <w:pPr>
              <w:spacing w:after="20" w:line="240" w:lineRule="auto"/>
            </w:pPr>
            <w:r>
              <w:rPr>
                <w:sz w:val="18"/>
              </w:rPr>
            </w:r>
            <w:r>
              <w:rPr>
                <w:sz w:val="18"/>
              </w:rPr>
              <w:t>Hire or train ML-platform engineers; vendor support contracts; runbooks and load testing.</w:t>
            </w:r>
          </w:p>
        </w:tc>
      </w:tr>
    </w:tbl>
    <w:p>
      <w:pPr>
        <w:spacing w:after="80"/>
      </w:pPr>
    </w:p>
    <w:p>
      <w:pPr>
        <w:pStyle w:val="Heading2"/>
      </w:pPr>
      <w:r>
        <w:t>11.2 Open questions</w:t>
      </w:r>
    </w:p>
    <w:p>
      <w:pPr>
        <w:spacing w:after="60"/>
        <w:ind w:left="432" w:hanging="360"/>
      </w:pPr>
      <w:r>
        <w:t>1.  Which 3 to 5 use cases (and business sponsors) define pilot success, and what are their measurable targets?</w:t>
      </w:r>
    </w:p>
    <w:p>
      <w:pPr>
        <w:spacing w:after="60"/>
        <w:ind w:left="432" w:hanging="360"/>
      </w:pPr>
      <w:r>
        <w:t>2.  On-premises hardware or company-controlled private cloud for Phase 1? What GPU capacity, power density and lead times are available?</w:t>
      </w:r>
    </w:p>
    <w:p>
      <w:pPr>
        <w:spacing w:after="60"/>
        <w:ind w:left="432" w:hanging="360"/>
      </w:pPr>
      <w:r>
        <w:t>3.  Which identity provider and directory are authoritative, and is OAuth token exchange / on-behalf-of supported for key systems (SharePoint, Exchange, Jira, databases)?</w:t>
      </w:r>
    </w:p>
    <w:p>
      <w:pPr>
        <w:spacing w:after="60"/>
        <w:ind w:left="432" w:hanging="360"/>
      </w:pPr>
      <w:r>
        <w:t>4.  What data classification levels may the platform process in Phase 1 (e.g. Internal only vs Confidential/Restricted)?</w:t>
      </w:r>
    </w:p>
    <w:p>
      <w:pPr>
        <w:spacing w:after="60"/>
        <w:ind w:left="432" w:hanging="360"/>
      </w:pPr>
      <w:r>
        <w:t>5.  Are Microsoft Teams bot connectivity requirements acceptable under the residency policy, or is Slack/web-only preferred?</w:t>
      </w:r>
    </w:p>
    <w:p>
      <w:pPr>
        <w:spacing w:after="60"/>
        <w:ind w:left="432" w:hanging="360"/>
      </w:pPr>
      <w:r>
        <w:t>6.  Retention policy for conversations, memory, artefacts and audit logs; legal-hold requirements.</w:t>
      </w:r>
    </w:p>
    <w:p>
      <w:pPr>
        <w:spacing w:after="60"/>
        <w:ind w:left="432" w:hanging="360"/>
      </w:pPr>
      <w:r>
        <w:t>7.  Licence approvals for candidate models (e.g. community licences with usage conditions vs Apache 2.0/MIT).</w:t>
      </w:r>
    </w:p>
    <w:p>
      <w:pPr>
        <w:spacing w:after="60"/>
        <w:ind w:left="432" w:hanging="360"/>
      </w:pPr>
      <w:r>
        <w:t>8.  Build vs fork for the web UI, and which UI licence terms are acceptable for internal distribution.</w:t>
      </w:r>
    </w:p>
    <w:p>
      <w:pPr>
        <w:spacing w:after="60"/>
        <w:ind w:left="432" w:hanging="360"/>
      </w:pPr>
      <w:r>
        <w:t>9.  Chargeback model: central funding vs per-team showback/chargeback.</w:t>
      </w:r>
    </w:p>
    <w:p>
      <w:pPr>
        <w:spacing w:after="60"/>
        <w:ind w:left="432" w:hanging="360"/>
      </w:pPr>
      <w:r>
        <w:t>10.  Who owns MCP servers for each system of record: platform team or system owners?</w:t>
      </w:r>
    </w:p>
    <w:p>
      <w:pPr>
        <w:pStyle w:val="Heading2"/>
      </w:pPr>
      <w:r>
        <w:t>11.3 Recommended next steps (next 30 to 60 days)</w:t>
      </w:r>
    </w:p>
    <w:p>
      <w:pPr>
        <w:spacing w:after="60"/>
        <w:ind w:left="432" w:hanging="360"/>
      </w:pPr>
      <w:r>
        <w:t xml:space="preserve">1.  </w:t>
      </w:r>
      <w:r>
        <w:rPr>
          <w:b/>
        </w:rPr>
        <w:t>Approve Phase 0</w:t>
      </w:r>
      <w:r>
        <w:t xml:space="preserve"> scope, team (3 to 5 engineers) and a 10-week timebox; nominate business sponsors and 2 to 3 pilot use cases.</w:t>
      </w:r>
    </w:p>
    <w:p>
      <w:pPr>
        <w:spacing w:after="60"/>
        <w:ind w:left="432" w:hanging="360"/>
      </w:pPr>
      <w:r>
        <w:t xml:space="preserve">2.  </w:t>
      </w:r>
      <w:r>
        <w:rPr>
          <w:b/>
        </w:rPr>
        <w:t>Secure PoC hardware</w:t>
      </w:r>
      <w:r>
        <w:t xml:space="preserve"> (2 to 4 data-centre GPUs) and </w:t>
      </w:r>
      <w:r>
        <w:rPr>
          <w:b/>
        </w:rPr>
        <w:t>start pilot procurement</w:t>
      </w:r>
      <w:r>
        <w:t xml:space="preserve"> (one 8-GPU server class) in parallel given lead times.</w:t>
      </w:r>
    </w:p>
    <w:p>
      <w:pPr>
        <w:spacing w:after="60"/>
        <w:ind w:left="432" w:hanging="360"/>
      </w:pPr>
      <w:r>
        <w:t xml:space="preserve">3.  Run a </w:t>
      </w:r>
      <w:r>
        <w:rPr>
          <w:b/>
        </w:rPr>
        <w:t>model bake-off</w:t>
      </w:r>
      <w:r>
        <w:t xml:space="preserve"> on 100 representative internal tasks across 3 to 4 open-weight candidates in FP8 and 4-bit, measuring tool-call accuracy, SQL accuracy, latency and throughput.</w:t>
      </w:r>
    </w:p>
    <w:p>
      <w:pPr>
        <w:spacing w:after="60"/>
        <w:ind w:left="432" w:hanging="360"/>
      </w:pPr>
      <w:r>
        <w:t xml:space="preserve">4.  Hold a </w:t>
      </w:r>
      <w:r>
        <w:rPr>
          <w:b/>
        </w:rPr>
        <w:t>threat-modelling workshop</w:t>
      </w:r>
      <w:r>
        <w:t xml:space="preserve"> with security and data protection; agree risk classes, approval policy and data classification scope for the pilot.</w:t>
      </w:r>
    </w:p>
    <w:p>
      <w:pPr>
        <w:spacing w:after="60"/>
        <w:ind w:left="432" w:hanging="360"/>
      </w:pPr>
      <w:r>
        <w:t xml:space="preserve">5.  Confirm </w:t>
      </w:r>
      <w:r>
        <w:rPr>
          <w:b/>
        </w:rPr>
        <w:t>identity integration</w:t>
      </w:r>
      <w:r>
        <w:t xml:space="preserve"> patterns (OIDC, token exchange, SCIM) with the IAM team.</w:t>
      </w:r>
    </w:p>
    <w:p>
      <w:pPr>
        <w:spacing w:after="60"/>
        <w:ind w:left="432" w:hanging="360"/>
      </w:pPr>
      <w:r>
        <w:t xml:space="preserve">6.  Stand up the </w:t>
      </w:r>
      <w:r>
        <w:rPr>
          <w:b/>
        </w:rPr>
        <w:t>foundation</w:t>
      </w:r>
      <w:r>
        <w:t>: Kubernetes namespaces, GitOps repo, Vault, Postgres, Langfuse, internal model registry and package mirrors.</w:t>
      </w:r>
    </w:p>
    <w:p>
      <w:pPr>
        <w:spacing w:after="60"/>
        <w:ind w:left="432" w:hanging="360"/>
      </w:pPr>
      <w:r>
        <w:t xml:space="preserve">7.  Build the first </w:t>
      </w:r>
      <w:r>
        <w:rPr>
          <w:b/>
        </w:rPr>
        <w:t>three MCP servers</w:t>
      </w:r>
      <w:r>
        <w:t xml:space="preserve"> with the shared safety core (read-only DB, document search, ticketing read) and the evaluation harness.</w:t>
      </w:r>
    </w:p>
    <w:p>
      <w:pPr>
        <w:spacing w:after="60"/>
        <w:ind w:left="432" w:hanging="360"/>
      </w:pPr>
      <w:r>
        <w:t xml:space="preserve">8.  Define </w:t>
      </w:r>
      <w:r>
        <w:rPr>
          <w:b/>
        </w:rPr>
        <w:t>success metrics and SLOs</w:t>
      </w:r>
      <w:r>
        <w:t xml:space="preserve"> for the pilot gate review.</w:t>
      </w:r>
    </w:p>
    <w:p>
      <w:pPr>
        <w:spacing w:after="0"/>
      </w:pPr>
      <w:r>
        <w:br w:type="page"/>
      </w:r>
    </w:p>
    <w:p>
      <w:pPr>
        <w:pStyle w:val="Heading1"/>
      </w:pPr>
      <w:r>
        <w:t>Appendix A. Recommended Open-Source Stack Summary</w:t>
      </w:r>
    </w:p>
    <w:p>
      <w:r>
        <w:t>Default recommendations with credible alternatives. Licences are indicative; confirm current licence terms at adoption, as several projects have changed licences in recent years.</w:t>
      </w:r>
    </w:p>
    <w:tbl>
      <w:tblPr>
        <w:tblStyle w:val="TableGrid"/>
        <w:jc w:val="center"/>
        <w:tblLook w:firstColumn="1" w:firstRow="1" w:lastColumn="0" w:lastRow="0" w:noHBand="0" w:noVBand="1" w:val="04A0"/>
        <w:tblCellMar>
          <w:top w:w="60" w:type="dxa"/>
          <w:left w:w="90" w:type="dxa"/>
          <w:bottom w:w="60" w:type="dxa"/>
          <w:right w:w="90" w:type="dxa"/>
        </w:tblCellMar>
        <w:tblW w:w="9312" w:type="dxa"/>
        <w:tblLayout w:type="fixed"/>
      </w:tblPr>
      <w:tblGrid>
        <w:gridCol w:w="1862"/>
        <w:gridCol w:w="2561"/>
        <w:gridCol w:w="3027"/>
        <w:gridCol w:w="1862"/>
      </w:tblGrid>
      <w:tr>
        <w:trPr>
          <w:tblHeader w:val="true"/>
        </w:trPr>
        <w:tc>
          <w:tcPr>
            <w:tcW w:type="dxa" w:w="1862"/>
            <w:shd w:val="clear" w:color="auto" w:fill="1F4E79"/>
          </w:tcPr>
          <w:p>
            <w:r/>
            <w:r>
              <w:rPr>
                <w:b/>
                <w:color w:val="FFFFFF"/>
                <w:sz w:val="17"/>
              </w:rPr>
              <w:t>Layer</w:t>
            </w:r>
          </w:p>
        </w:tc>
        <w:tc>
          <w:tcPr>
            <w:tcW w:type="dxa" w:w="2561"/>
            <w:shd w:val="clear" w:color="auto" w:fill="1F4E79"/>
          </w:tcPr>
          <w:p>
            <w:r/>
            <w:r>
              <w:rPr>
                <w:b/>
                <w:color w:val="FFFFFF"/>
                <w:sz w:val="17"/>
              </w:rPr>
              <w:t>Recommended default</w:t>
            </w:r>
          </w:p>
        </w:tc>
        <w:tc>
          <w:tcPr>
            <w:tcW w:type="dxa" w:w="3027"/>
            <w:shd w:val="clear" w:color="auto" w:fill="1F4E79"/>
          </w:tcPr>
          <w:p>
            <w:r/>
            <w:r>
              <w:rPr>
                <w:b/>
                <w:color w:val="FFFFFF"/>
                <w:sz w:val="17"/>
              </w:rPr>
              <w:t>Alternatives</w:t>
            </w:r>
          </w:p>
        </w:tc>
        <w:tc>
          <w:tcPr>
            <w:tcW w:type="dxa" w:w="1862"/>
            <w:shd w:val="clear" w:color="auto" w:fill="1F4E79"/>
          </w:tcPr>
          <w:p>
            <w:r/>
            <w:r>
              <w:rPr>
                <w:b/>
                <w:color w:val="FFFFFF"/>
                <w:sz w:val="17"/>
              </w:rPr>
              <w:t>Licence (indicative)</w:t>
            </w:r>
          </w:p>
        </w:tc>
      </w:tr>
      <w:tr>
        <w:trPr>
          <w:cantSplit w:val="true"/>
        </w:trPr>
        <w:tc>
          <w:tcPr>
            <w:tcW w:type="dxa" w:w="1862"/>
          </w:tcPr>
          <w:p>
            <w:pPr>
              <w:spacing w:after="20" w:line="240" w:lineRule="auto"/>
            </w:pPr>
            <w:r>
              <w:rPr>
                <w:b/>
                <w:sz w:val="17"/>
              </w:rPr>
            </w:r>
            <w:r>
              <w:rPr>
                <w:b/>
                <w:sz w:val="17"/>
              </w:rPr>
              <w:t>LLM inference</w:t>
            </w:r>
          </w:p>
        </w:tc>
        <w:tc>
          <w:tcPr>
            <w:tcW w:type="dxa" w:w="2561"/>
          </w:tcPr>
          <w:p>
            <w:pPr>
              <w:spacing w:after="20" w:line="240" w:lineRule="auto"/>
            </w:pPr>
            <w:r>
              <w:rPr>
                <w:sz w:val="17"/>
              </w:rPr>
            </w:r>
            <w:r>
              <w:rPr>
                <w:sz w:val="17"/>
              </w:rPr>
              <w:t>vLLM</w:t>
            </w:r>
          </w:p>
        </w:tc>
        <w:tc>
          <w:tcPr>
            <w:tcW w:type="dxa" w:w="3027"/>
          </w:tcPr>
          <w:p>
            <w:pPr>
              <w:spacing w:after="20" w:line="240" w:lineRule="auto"/>
            </w:pPr>
            <w:r>
              <w:rPr>
                <w:sz w:val="17"/>
              </w:rPr>
            </w:r>
            <w:r>
              <w:rPr>
                <w:sz w:val="17"/>
              </w:rPr>
              <w:t>SGLang, TGI, TensorRT-LLM on Triton</w:t>
            </w:r>
          </w:p>
        </w:tc>
        <w:tc>
          <w:tcPr>
            <w:tcW w:type="dxa" w:w="1862"/>
          </w:tcPr>
          <w:p>
            <w:pPr>
              <w:spacing w:after="20" w:line="240" w:lineRule="auto"/>
            </w:pPr>
            <w:r>
              <w:rPr>
                <w:sz w:val="17"/>
              </w:rPr>
            </w:r>
            <w:r>
              <w:rPr>
                <w:sz w:val="17"/>
              </w:rPr>
              <w:t>Apache 2.0</w:t>
            </w:r>
          </w:p>
        </w:tc>
      </w:tr>
      <w:tr>
        <w:trPr>
          <w:cantSplit w:val="true"/>
        </w:trPr>
        <w:tc>
          <w:tcPr>
            <w:tcW w:type="dxa" w:w="1862"/>
            <w:shd w:val="clear" w:color="auto" w:fill="F2F6FA"/>
          </w:tcPr>
          <w:p>
            <w:pPr>
              <w:spacing w:after="20" w:line="240" w:lineRule="auto"/>
            </w:pPr>
            <w:r>
              <w:rPr>
                <w:b/>
                <w:sz w:val="17"/>
              </w:rPr>
            </w:r>
            <w:r>
              <w:rPr>
                <w:b/>
                <w:sz w:val="17"/>
              </w:rPr>
              <w:t>Embeddings / rerank serving</w:t>
            </w:r>
          </w:p>
        </w:tc>
        <w:tc>
          <w:tcPr>
            <w:tcW w:type="dxa" w:w="2561"/>
            <w:shd w:val="clear" w:color="auto" w:fill="F2F6FA"/>
          </w:tcPr>
          <w:p>
            <w:pPr>
              <w:spacing w:after="20" w:line="240" w:lineRule="auto"/>
            </w:pPr>
            <w:r>
              <w:rPr>
                <w:sz w:val="17"/>
              </w:rPr>
            </w:r>
            <w:r>
              <w:rPr>
                <w:sz w:val="17"/>
              </w:rPr>
              <w:t>Hugging Face TEI</w:t>
            </w:r>
          </w:p>
        </w:tc>
        <w:tc>
          <w:tcPr>
            <w:tcW w:type="dxa" w:w="3027"/>
            <w:shd w:val="clear" w:color="auto" w:fill="F2F6FA"/>
          </w:tcPr>
          <w:p>
            <w:pPr>
              <w:spacing w:after="20" w:line="240" w:lineRule="auto"/>
            </w:pPr>
            <w:r>
              <w:rPr>
                <w:sz w:val="17"/>
              </w:rPr>
            </w:r>
            <w:r>
              <w:rPr>
                <w:sz w:val="17"/>
              </w:rPr>
              <w:t>Infinity, Triton, vLLM pooling models</w:t>
            </w:r>
          </w:p>
        </w:tc>
        <w:tc>
          <w:tcPr>
            <w:tcW w:type="dxa" w:w="1862"/>
            <w:shd w:val="clear" w:color="auto" w:fill="F2F6FA"/>
          </w:tcPr>
          <w:p>
            <w:pPr>
              <w:spacing w:after="20" w:line="240" w:lineRule="auto"/>
            </w:pPr>
            <w:r>
              <w:rPr>
                <w:sz w:val="17"/>
              </w:rPr>
            </w:r>
            <w:r>
              <w:rPr>
                <w:sz w:val="17"/>
              </w:rPr>
              <w:t>Apache 2.0</w:t>
            </w:r>
          </w:p>
        </w:tc>
      </w:tr>
      <w:tr>
        <w:trPr>
          <w:cantSplit w:val="true"/>
        </w:trPr>
        <w:tc>
          <w:tcPr>
            <w:tcW w:type="dxa" w:w="1862"/>
          </w:tcPr>
          <w:p>
            <w:pPr>
              <w:spacing w:after="20" w:line="240" w:lineRule="auto"/>
            </w:pPr>
            <w:r>
              <w:rPr>
                <w:b/>
                <w:sz w:val="17"/>
              </w:rPr>
            </w:r>
            <w:r>
              <w:rPr>
                <w:b/>
                <w:sz w:val="17"/>
              </w:rPr>
              <w:t>Model gateway</w:t>
            </w:r>
          </w:p>
        </w:tc>
        <w:tc>
          <w:tcPr>
            <w:tcW w:type="dxa" w:w="2561"/>
          </w:tcPr>
          <w:p>
            <w:pPr>
              <w:spacing w:after="20" w:line="240" w:lineRule="auto"/>
            </w:pPr>
            <w:r>
              <w:rPr>
                <w:sz w:val="17"/>
              </w:rPr>
            </w:r>
            <w:r>
              <w:rPr>
                <w:sz w:val="17"/>
              </w:rPr>
              <w:t>LiteLLM proxy</w:t>
            </w:r>
          </w:p>
        </w:tc>
        <w:tc>
          <w:tcPr>
            <w:tcW w:type="dxa" w:w="3027"/>
          </w:tcPr>
          <w:p>
            <w:pPr>
              <w:spacing w:after="20" w:line="240" w:lineRule="auto"/>
            </w:pPr>
            <w:r>
              <w:rPr>
                <w:sz w:val="17"/>
              </w:rPr>
            </w:r>
            <w:r>
              <w:rPr>
                <w:sz w:val="17"/>
              </w:rPr>
              <w:t>Envoy AI Gateway, Kong AI Gateway, custom proxy</w:t>
            </w:r>
          </w:p>
        </w:tc>
        <w:tc>
          <w:tcPr>
            <w:tcW w:type="dxa" w:w="1862"/>
          </w:tcPr>
          <w:p>
            <w:pPr>
              <w:spacing w:after="20" w:line="240" w:lineRule="auto"/>
            </w:pPr>
            <w:r>
              <w:rPr>
                <w:sz w:val="17"/>
              </w:rPr>
            </w:r>
            <w:r>
              <w:rPr>
                <w:sz w:val="17"/>
              </w:rPr>
              <w:t>MIT (core; enterprise features separate)</w:t>
            </w:r>
          </w:p>
        </w:tc>
      </w:tr>
      <w:tr>
        <w:trPr>
          <w:cantSplit w:val="true"/>
        </w:trPr>
        <w:tc>
          <w:tcPr>
            <w:tcW w:type="dxa" w:w="1862"/>
            <w:shd w:val="clear" w:color="auto" w:fill="F2F6FA"/>
          </w:tcPr>
          <w:p>
            <w:pPr>
              <w:spacing w:after="20" w:line="240" w:lineRule="auto"/>
            </w:pPr>
            <w:r>
              <w:rPr>
                <w:b/>
                <w:sz w:val="17"/>
              </w:rPr>
            </w:r>
            <w:r>
              <w:rPr>
                <w:b/>
                <w:sz w:val="17"/>
              </w:rPr>
              <w:t>Open-weight LLMs</w:t>
            </w:r>
          </w:p>
        </w:tc>
        <w:tc>
          <w:tcPr>
            <w:tcW w:type="dxa" w:w="2561"/>
            <w:shd w:val="clear" w:color="auto" w:fill="F2F6FA"/>
          </w:tcPr>
          <w:p>
            <w:pPr>
              <w:spacing w:after="20" w:line="240" w:lineRule="auto"/>
            </w:pPr>
            <w:r>
              <w:rPr>
                <w:sz w:val="17"/>
              </w:rPr>
            </w:r>
            <w:r>
              <w:rPr>
                <w:sz w:val="17"/>
              </w:rPr>
              <w:t>Qwen 3.x family, gpt-oss, Mistral (Apache 2.0 releases)</w:t>
            </w:r>
          </w:p>
        </w:tc>
        <w:tc>
          <w:tcPr>
            <w:tcW w:type="dxa" w:w="3027"/>
            <w:shd w:val="clear" w:color="auto" w:fill="F2F6FA"/>
          </w:tcPr>
          <w:p>
            <w:pPr>
              <w:spacing w:after="20" w:line="240" w:lineRule="auto"/>
            </w:pPr>
            <w:r>
              <w:rPr>
                <w:sz w:val="17"/>
              </w:rPr>
            </w:r>
            <w:r>
              <w:rPr>
                <w:sz w:val="17"/>
              </w:rPr>
              <w:t>Llama 3.x/4, DeepSeek V3/V4, GLM, Gemma, Granite</w:t>
            </w:r>
          </w:p>
        </w:tc>
        <w:tc>
          <w:tcPr>
            <w:tcW w:type="dxa" w:w="1862"/>
            <w:shd w:val="clear" w:color="auto" w:fill="F2F6FA"/>
          </w:tcPr>
          <w:p>
            <w:pPr>
              <w:spacing w:after="20" w:line="240" w:lineRule="auto"/>
            </w:pPr>
            <w:r>
              <w:rPr>
                <w:sz w:val="17"/>
              </w:rPr>
            </w:r>
            <w:r>
              <w:rPr>
                <w:sz w:val="17"/>
              </w:rPr>
              <w:t>Model-specific; review each</w:t>
            </w:r>
          </w:p>
        </w:tc>
      </w:tr>
      <w:tr>
        <w:trPr>
          <w:cantSplit w:val="true"/>
        </w:trPr>
        <w:tc>
          <w:tcPr>
            <w:tcW w:type="dxa" w:w="1862"/>
          </w:tcPr>
          <w:p>
            <w:pPr>
              <w:spacing w:after="20" w:line="240" w:lineRule="auto"/>
            </w:pPr>
            <w:r>
              <w:rPr>
                <w:b/>
                <w:sz w:val="17"/>
              </w:rPr>
            </w:r>
            <w:r>
              <w:rPr>
                <w:b/>
                <w:sz w:val="17"/>
              </w:rPr>
              <w:t>Embedding / reranker models</w:t>
            </w:r>
          </w:p>
        </w:tc>
        <w:tc>
          <w:tcPr>
            <w:tcW w:type="dxa" w:w="2561"/>
          </w:tcPr>
          <w:p>
            <w:pPr>
              <w:spacing w:after="20" w:line="240" w:lineRule="auto"/>
            </w:pPr>
            <w:r>
              <w:rPr>
                <w:sz w:val="17"/>
              </w:rPr>
            </w:r>
            <w:r>
              <w:rPr>
                <w:sz w:val="17"/>
              </w:rPr>
              <w:t>BGE-M3 + bge-reranker-v2-m3</w:t>
            </w:r>
          </w:p>
        </w:tc>
        <w:tc>
          <w:tcPr>
            <w:tcW w:type="dxa" w:w="3027"/>
          </w:tcPr>
          <w:p>
            <w:pPr>
              <w:spacing w:after="20" w:line="240" w:lineRule="auto"/>
            </w:pPr>
            <w:r>
              <w:rPr>
                <w:sz w:val="17"/>
              </w:rPr>
            </w:r>
            <w:r>
              <w:rPr>
                <w:sz w:val="17"/>
              </w:rPr>
              <w:t>Qwen3-Embedding / Reranker, multilingual-e5, nomic-embed</w:t>
            </w:r>
          </w:p>
        </w:tc>
        <w:tc>
          <w:tcPr>
            <w:tcW w:type="dxa" w:w="1862"/>
          </w:tcPr>
          <w:p>
            <w:pPr>
              <w:spacing w:after="20" w:line="240" w:lineRule="auto"/>
            </w:pPr>
            <w:r>
              <w:rPr>
                <w:sz w:val="17"/>
              </w:rPr>
            </w:r>
            <w:r>
              <w:rPr>
                <w:sz w:val="17"/>
              </w:rPr>
              <w:t>MIT / Apache 2.0 (verify)</w:t>
            </w:r>
          </w:p>
        </w:tc>
      </w:tr>
      <w:tr>
        <w:trPr>
          <w:cantSplit w:val="true"/>
        </w:trPr>
        <w:tc>
          <w:tcPr>
            <w:tcW w:type="dxa" w:w="1862"/>
            <w:shd w:val="clear" w:color="auto" w:fill="F2F6FA"/>
          </w:tcPr>
          <w:p>
            <w:pPr>
              <w:spacing w:after="20" w:line="240" w:lineRule="auto"/>
            </w:pPr>
            <w:r>
              <w:rPr>
                <w:b/>
                <w:sz w:val="17"/>
              </w:rPr>
            </w:r>
            <w:r>
              <w:rPr>
                <w:b/>
                <w:sz w:val="17"/>
              </w:rPr>
              <w:t>Agent loop</w:t>
            </w:r>
          </w:p>
        </w:tc>
        <w:tc>
          <w:tcPr>
            <w:tcW w:type="dxa" w:w="2561"/>
            <w:shd w:val="clear" w:color="auto" w:fill="F2F6FA"/>
          </w:tcPr>
          <w:p>
            <w:pPr>
              <w:spacing w:after="20" w:line="240" w:lineRule="auto"/>
            </w:pPr>
            <w:r>
              <w:rPr>
                <w:sz w:val="17"/>
              </w:rPr>
            </w:r>
            <w:r>
              <w:rPr>
                <w:sz w:val="17"/>
              </w:rPr>
              <w:t>Custom thin loop (Python or TypeScript) using OpenAI client + MCP SDK</w:t>
            </w:r>
          </w:p>
        </w:tc>
        <w:tc>
          <w:tcPr>
            <w:tcW w:type="dxa" w:w="3027"/>
            <w:shd w:val="clear" w:color="auto" w:fill="F2F6FA"/>
          </w:tcPr>
          <w:p>
            <w:pPr>
              <w:spacing w:after="20" w:line="240" w:lineRule="auto"/>
            </w:pPr>
            <w:r>
              <w:rPr>
                <w:sz w:val="17"/>
              </w:rPr>
            </w:r>
            <w:r>
              <w:rPr>
                <w:sz w:val="17"/>
              </w:rPr>
              <w:t>LangGraph, PydanticAI, OpenAI Agents SDK (local endpoints), Microsoft Agent Framework</w:t>
            </w:r>
          </w:p>
        </w:tc>
        <w:tc>
          <w:tcPr>
            <w:tcW w:type="dxa" w:w="1862"/>
            <w:shd w:val="clear" w:color="auto" w:fill="F2F6FA"/>
          </w:tcPr>
          <w:p>
            <w:pPr>
              <w:spacing w:after="20" w:line="240" w:lineRule="auto"/>
            </w:pPr>
            <w:r>
              <w:rPr>
                <w:sz w:val="17"/>
              </w:rPr>
            </w:r>
            <w:r>
              <w:rPr>
                <w:sz w:val="17"/>
              </w:rPr>
              <w:t>MIT / Apache 2.0</w:t>
            </w:r>
          </w:p>
        </w:tc>
      </w:tr>
      <w:tr>
        <w:trPr>
          <w:cantSplit w:val="true"/>
        </w:trPr>
        <w:tc>
          <w:tcPr>
            <w:tcW w:type="dxa" w:w="1862"/>
          </w:tcPr>
          <w:p>
            <w:pPr>
              <w:spacing w:after="20" w:line="240" w:lineRule="auto"/>
            </w:pPr>
            <w:r>
              <w:rPr>
                <w:b/>
                <w:sz w:val="17"/>
              </w:rPr>
            </w:r>
            <w:r>
              <w:rPr>
                <w:b/>
                <w:sz w:val="17"/>
              </w:rPr>
              <w:t>Durable execution</w:t>
            </w:r>
          </w:p>
        </w:tc>
        <w:tc>
          <w:tcPr>
            <w:tcW w:type="dxa" w:w="2561"/>
          </w:tcPr>
          <w:p>
            <w:pPr>
              <w:spacing w:after="20" w:line="240" w:lineRule="auto"/>
            </w:pPr>
            <w:r>
              <w:rPr>
                <w:sz w:val="17"/>
              </w:rPr>
            </w:r>
            <w:r>
              <w:rPr>
                <w:sz w:val="17"/>
              </w:rPr>
              <w:t>Temporal</w:t>
            </w:r>
          </w:p>
        </w:tc>
        <w:tc>
          <w:tcPr>
            <w:tcW w:type="dxa" w:w="3027"/>
          </w:tcPr>
          <w:p>
            <w:pPr>
              <w:spacing w:after="20" w:line="240" w:lineRule="auto"/>
            </w:pPr>
            <w:r>
              <w:rPr>
                <w:sz w:val="17"/>
              </w:rPr>
            </w:r>
            <w:r>
              <w:rPr>
                <w:sz w:val="17"/>
              </w:rPr>
              <w:t>Restate, DBOS, Hatchet, queue + state table</w:t>
            </w:r>
          </w:p>
        </w:tc>
        <w:tc>
          <w:tcPr>
            <w:tcW w:type="dxa" w:w="1862"/>
          </w:tcPr>
          <w:p>
            <w:pPr>
              <w:spacing w:after="20" w:line="240" w:lineRule="auto"/>
            </w:pPr>
            <w:r>
              <w:rPr>
                <w:sz w:val="17"/>
              </w:rPr>
            </w:r>
            <w:r>
              <w:rPr>
                <w:sz w:val="17"/>
              </w:rPr>
              <w:t>MIT</w:t>
            </w:r>
          </w:p>
        </w:tc>
      </w:tr>
      <w:tr>
        <w:trPr>
          <w:cantSplit w:val="true"/>
        </w:trPr>
        <w:tc>
          <w:tcPr>
            <w:tcW w:type="dxa" w:w="1862"/>
            <w:shd w:val="clear" w:color="auto" w:fill="F2F6FA"/>
          </w:tcPr>
          <w:p>
            <w:pPr>
              <w:spacing w:after="20" w:line="240" w:lineRule="auto"/>
            </w:pPr>
            <w:r>
              <w:rPr>
                <w:b/>
                <w:sz w:val="17"/>
              </w:rPr>
            </w:r>
            <w:r>
              <w:rPr>
                <w:b/>
                <w:sz w:val="17"/>
              </w:rPr>
              <w:t>Tool protocol</w:t>
            </w:r>
          </w:p>
        </w:tc>
        <w:tc>
          <w:tcPr>
            <w:tcW w:type="dxa" w:w="2561"/>
            <w:shd w:val="clear" w:color="auto" w:fill="F2F6FA"/>
          </w:tcPr>
          <w:p>
            <w:pPr>
              <w:spacing w:after="20" w:line="240" w:lineRule="auto"/>
            </w:pPr>
            <w:r>
              <w:rPr>
                <w:sz w:val="17"/>
              </w:rPr>
            </w:r>
            <w:r>
              <w:rPr>
                <w:sz w:val="17"/>
              </w:rPr>
              <w:t>MCP (official SDKs), streamable HTTP</w:t>
            </w:r>
          </w:p>
        </w:tc>
        <w:tc>
          <w:tcPr>
            <w:tcW w:type="dxa" w:w="3027"/>
            <w:shd w:val="clear" w:color="auto" w:fill="F2F6FA"/>
          </w:tcPr>
          <w:p>
            <w:pPr>
              <w:spacing w:after="20" w:line="240" w:lineRule="auto"/>
            </w:pPr>
            <w:r>
              <w:rPr>
                <w:sz w:val="17"/>
              </w:rPr>
            </w:r>
            <w:r>
              <w:rPr>
                <w:sz w:val="17"/>
              </w:rPr>
              <w:t>OpenAPI-wrapped tools via MCP adapters</w:t>
            </w:r>
          </w:p>
        </w:tc>
        <w:tc>
          <w:tcPr>
            <w:tcW w:type="dxa" w:w="1862"/>
            <w:shd w:val="clear" w:color="auto" w:fill="F2F6FA"/>
          </w:tcPr>
          <w:p>
            <w:pPr>
              <w:spacing w:after="20" w:line="240" w:lineRule="auto"/>
            </w:pPr>
            <w:r>
              <w:rPr>
                <w:sz w:val="17"/>
              </w:rPr>
            </w:r>
            <w:r>
              <w:rPr>
                <w:sz w:val="17"/>
              </w:rPr>
              <w:t>MIT</w:t>
            </w:r>
          </w:p>
        </w:tc>
      </w:tr>
      <w:tr>
        <w:trPr>
          <w:cantSplit w:val="true"/>
        </w:trPr>
        <w:tc>
          <w:tcPr>
            <w:tcW w:type="dxa" w:w="1862"/>
          </w:tcPr>
          <w:p>
            <w:pPr>
              <w:spacing w:after="20" w:line="240" w:lineRule="auto"/>
            </w:pPr>
            <w:r>
              <w:rPr>
                <w:b/>
                <w:sz w:val="17"/>
              </w:rPr>
            </w:r>
            <w:r>
              <w:rPr>
                <w:b/>
                <w:sz w:val="17"/>
              </w:rPr>
              <w:t>Policy engine</w:t>
            </w:r>
          </w:p>
        </w:tc>
        <w:tc>
          <w:tcPr>
            <w:tcW w:type="dxa" w:w="2561"/>
          </w:tcPr>
          <w:p>
            <w:pPr>
              <w:spacing w:after="20" w:line="240" w:lineRule="auto"/>
            </w:pPr>
            <w:r>
              <w:rPr>
                <w:sz w:val="17"/>
              </w:rPr>
            </w:r>
            <w:r>
              <w:rPr>
                <w:sz w:val="17"/>
              </w:rPr>
              <w:t>Open Policy Agent (Rego)</w:t>
            </w:r>
          </w:p>
        </w:tc>
        <w:tc>
          <w:tcPr>
            <w:tcW w:type="dxa" w:w="3027"/>
          </w:tcPr>
          <w:p>
            <w:pPr>
              <w:spacing w:after="20" w:line="240" w:lineRule="auto"/>
            </w:pPr>
            <w:r>
              <w:rPr>
                <w:sz w:val="17"/>
              </w:rPr>
            </w:r>
            <w:r>
              <w:rPr>
                <w:sz w:val="17"/>
              </w:rPr>
              <w:t>Cedar, OpenFGA (relationship-based)</w:t>
            </w:r>
          </w:p>
        </w:tc>
        <w:tc>
          <w:tcPr>
            <w:tcW w:type="dxa" w:w="1862"/>
          </w:tcPr>
          <w:p>
            <w:pPr>
              <w:spacing w:after="20" w:line="240" w:lineRule="auto"/>
            </w:pPr>
            <w:r>
              <w:rPr>
                <w:sz w:val="17"/>
              </w:rPr>
            </w:r>
            <w:r>
              <w:rPr>
                <w:sz w:val="17"/>
              </w:rPr>
              <w:t>Apache 2.0</w:t>
            </w:r>
          </w:p>
        </w:tc>
      </w:tr>
      <w:tr>
        <w:trPr>
          <w:cantSplit w:val="true"/>
        </w:trPr>
        <w:tc>
          <w:tcPr>
            <w:tcW w:type="dxa" w:w="1862"/>
            <w:shd w:val="clear" w:color="auto" w:fill="F2F6FA"/>
          </w:tcPr>
          <w:p>
            <w:pPr>
              <w:spacing w:after="20" w:line="240" w:lineRule="auto"/>
            </w:pPr>
            <w:r>
              <w:rPr>
                <w:b/>
                <w:sz w:val="17"/>
              </w:rPr>
            </w:r>
            <w:r>
              <w:rPr>
                <w:b/>
                <w:sz w:val="17"/>
              </w:rPr>
              <w:t>Identity broker</w:t>
            </w:r>
          </w:p>
        </w:tc>
        <w:tc>
          <w:tcPr>
            <w:tcW w:type="dxa" w:w="2561"/>
            <w:shd w:val="clear" w:color="auto" w:fill="F2F6FA"/>
          </w:tcPr>
          <w:p>
            <w:pPr>
              <w:spacing w:after="20" w:line="240" w:lineRule="auto"/>
            </w:pPr>
            <w:r>
              <w:rPr>
                <w:sz w:val="17"/>
              </w:rPr>
            </w:r>
            <w:r>
              <w:rPr>
                <w:sz w:val="17"/>
              </w:rPr>
              <w:t>Keycloak</w:t>
            </w:r>
          </w:p>
        </w:tc>
        <w:tc>
          <w:tcPr>
            <w:tcW w:type="dxa" w:w="3027"/>
            <w:shd w:val="clear" w:color="auto" w:fill="F2F6FA"/>
          </w:tcPr>
          <w:p>
            <w:pPr>
              <w:spacing w:after="20" w:line="240" w:lineRule="auto"/>
            </w:pPr>
            <w:r>
              <w:rPr>
                <w:sz w:val="17"/>
              </w:rPr>
            </w:r>
            <w:r>
              <w:rPr>
                <w:sz w:val="17"/>
              </w:rPr>
              <w:t>Corporate IdP directly, Authentik, Dex</w:t>
            </w:r>
          </w:p>
        </w:tc>
        <w:tc>
          <w:tcPr>
            <w:tcW w:type="dxa" w:w="1862"/>
            <w:shd w:val="clear" w:color="auto" w:fill="F2F6FA"/>
          </w:tcPr>
          <w:p>
            <w:pPr>
              <w:spacing w:after="20" w:line="240" w:lineRule="auto"/>
            </w:pPr>
            <w:r>
              <w:rPr>
                <w:sz w:val="17"/>
              </w:rPr>
            </w:r>
            <w:r>
              <w:rPr>
                <w:sz w:val="17"/>
              </w:rPr>
              <w:t>Apache 2.0</w:t>
            </w:r>
          </w:p>
        </w:tc>
      </w:tr>
      <w:tr>
        <w:trPr>
          <w:cantSplit w:val="true"/>
        </w:trPr>
        <w:tc>
          <w:tcPr>
            <w:tcW w:type="dxa" w:w="1862"/>
          </w:tcPr>
          <w:p>
            <w:pPr>
              <w:spacing w:after="20" w:line="240" w:lineRule="auto"/>
            </w:pPr>
            <w:r>
              <w:rPr>
                <w:b/>
                <w:sz w:val="17"/>
              </w:rPr>
            </w:r>
            <w:r>
              <w:rPr>
                <w:b/>
                <w:sz w:val="17"/>
              </w:rPr>
              <w:t>Secrets</w:t>
            </w:r>
          </w:p>
        </w:tc>
        <w:tc>
          <w:tcPr>
            <w:tcW w:type="dxa" w:w="2561"/>
          </w:tcPr>
          <w:p>
            <w:pPr>
              <w:spacing w:after="20" w:line="240" w:lineRule="auto"/>
            </w:pPr>
            <w:r>
              <w:rPr>
                <w:sz w:val="17"/>
              </w:rPr>
            </w:r>
            <w:r>
              <w:rPr>
                <w:sz w:val="17"/>
              </w:rPr>
              <w:t>HashiCorp Vault</w:t>
            </w:r>
          </w:p>
        </w:tc>
        <w:tc>
          <w:tcPr>
            <w:tcW w:type="dxa" w:w="3027"/>
          </w:tcPr>
          <w:p>
            <w:pPr>
              <w:spacing w:after="20" w:line="240" w:lineRule="auto"/>
            </w:pPr>
            <w:r>
              <w:rPr>
                <w:sz w:val="17"/>
              </w:rPr>
            </w:r>
            <w:r>
              <w:rPr>
                <w:sz w:val="17"/>
              </w:rPr>
              <w:t>OpenBao (open-source fork), cloud KMS-backed stores</w:t>
            </w:r>
          </w:p>
        </w:tc>
        <w:tc>
          <w:tcPr>
            <w:tcW w:type="dxa" w:w="1862"/>
          </w:tcPr>
          <w:p>
            <w:pPr>
              <w:spacing w:after="20" w:line="240" w:lineRule="auto"/>
            </w:pPr>
            <w:r>
              <w:rPr>
                <w:sz w:val="17"/>
              </w:rPr>
            </w:r>
            <w:r>
              <w:rPr>
                <w:sz w:val="17"/>
              </w:rPr>
              <w:t>BSL 1.1 (Vault) / MPL 2.0 (OpenBao)</w:t>
            </w:r>
          </w:p>
        </w:tc>
      </w:tr>
      <w:tr>
        <w:trPr>
          <w:cantSplit w:val="true"/>
        </w:trPr>
        <w:tc>
          <w:tcPr>
            <w:tcW w:type="dxa" w:w="1862"/>
            <w:shd w:val="clear" w:color="auto" w:fill="F2F6FA"/>
          </w:tcPr>
          <w:p>
            <w:pPr>
              <w:spacing w:after="20" w:line="240" w:lineRule="auto"/>
            </w:pPr>
            <w:r>
              <w:rPr>
                <w:b/>
                <w:sz w:val="17"/>
              </w:rPr>
            </w:r>
            <w:r>
              <w:rPr>
                <w:b/>
                <w:sz w:val="17"/>
              </w:rPr>
              <w:t>Relational store</w:t>
            </w:r>
          </w:p>
        </w:tc>
        <w:tc>
          <w:tcPr>
            <w:tcW w:type="dxa" w:w="2561"/>
            <w:shd w:val="clear" w:color="auto" w:fill="F2F6FA"/>
          </w:tcPr>
          <w:p>
            <w:pPr>
              <w:spacing w:after="20" w:line="240" w:lineRule="auto"/>
            </w:pPr>
            <w:r>
              <w:rPr>
                <w:sz w:val="17"/>
              </w:rPr>
            </w:r>
            <w:r>
              <w:rPr>
                <w:sz w:val="17"/>
              </w:rPr>
              <w:t>PostgreSQL (CloudNativePG operator)</w:t>
            </w:r>
          </w:p>
        </w:tc>
        <w:tc>
          <w:tcPr>
            <w:tcW w:type="dxa" w:w="3027"/>
            <w:shd w:val="clear" w:color="auto" w:fill="F2F6FA"/>
          </w:tcPr>
          <w:p>
            <w:pPr>
              <w:spacing w:after="20" w:line="240" w:lineRule="auto"/>
            </w:pPr>
            <w:r>
              <w:rPr>
                <w:sz w:val="17"/>
              </w:rPr>
            </w:r>
            <w:r>
              <w:rPr>
                <w:sz w:val="17"/>
              </w:rPr>
              <w:t>Patroni, existing enterprise DB platform</w:t>
            </w:r>
          </w:p>
        </w:tc>
        <w:tc>
          <w:tcPr>
            <w:tcW w:type="dxa" w:w="1862"/>
            <w:shd w:val="clear" w:color="auto" w:fill="F2F6FA"/>
          </w:tcPr>
          <w:p>
            <w:pPr>
              <w:spacing w:after="20" w:line="240" w:lineRule="auto"/>
            </w:pPr>
            <w:r>
              <w:rPr>
                <w:sz w:val="17"/>
              </w:rPr>
            </w:r>
            <w:r>
              <w:rPr>
                <w:sz w:val="17"/>
              </w:rPr>
              <w:t>PostgreSQL / Apache 2.0</w:t>
            </w:r>
          </w:p>
        </w:tc>
      </w:tr>
      <w:tr>
        <w:trPr>
          <w:cantSplit w:val="true"/>
        </w:trPr>
        <w:tc>
          <w:tcPr>
            <w:tcW w:type="dxa" w:w="1862"/>
          </w:tcPr>
          <w:p>
            <w:pPr>
              <w:spacing w:after="20" w:line="240" w:lineRule="auto"/>
            </w:pPr>
            <w:r>
              <w:rPr>
                <w:b/>
                <w:sz w:val="17"/>
              </w:rPr>
            </w:r>
            <w:r>
              <w:rPr>
                <w:b/>
                <w:sz w:val="17"/>
              </w:rPr>
              <w:t>Vector / hybrid search</w:t>
            </w:r>
          </w:p>
        </w:tc>
        <w:tc>
          <w:tcPr>
            <w:tcW w:type="dxa" w:w="2561"/>
          </w:tcPr>
          <w:p>
            <w:pPr>
              <w:spacing w:after="20" w:line="240" w:lineRule="auto"/>
            </w:pPr>
            <w:r>
              <w:rPr>
                <w:sz w:val="17"/>
              </w:rPr>
            </w:r>
            <w:r>
              <w:rPr>
                <w:sz w:val="17"/>
              </w:rPr>
              <w:t>Qdrant; pgvector for memory</w:t>
            </w:r>
          </w:p>
        </w:tc>
        <w:tc>
          <w:tcPr>
            <w:tcW w:type="dxa" w:w="3027"/>
          </w:tcPr>
          <w:p>
            <w:pPr>
              <w:spacing w:after="20" w:line="240" w:lineRule="auto"/>
            </w:pPr>
            <w:r>
              <w:rPr>
                <w:sz w:val="17"/>
              </w:rPr>
            </w:r>
            <w:r>
              <w:rPr>
                <w:sz w:val="17"/>
              </w:rPr>
              <w:t>OpenSearch, Milvus, Weaviate, Vespa</w:t>
            </w:r>
          </w:p>
        </w:tc>
        <w:tc>
          <w:tcPr>
            <w:tcW w:type="dxa" w:w="1862"/>
          </w:tcPr>
          <w:p>
            <w:pPr>
              <w:spacing w:after="20" w:line="240" w:lineRule="auto"/>
            </w:pPr>
            <w:r>
              <w:rPr>
                <w:sz w:val="17"/>
              </w:rPr>
            </w:r>
            <w:r>
              <w:rPr>
                <w:sz w:val="17"/>
              </w:rPr>
              <w:t>Apache 2.0 / PostgreSQL</w:t>
            </w:r>
          </w:p>
        </w:tc>
      </w:tr>
      <w:tr>
        <w:trPr>
          <w:cantSplit w:val="true"/>
        </w:trPr>
        <w:tc>
          <w:tcPr>
            <w:tcW w:type="dxa" w:w="1862"/>
            <w:shd w:val="clear" w:color="auto" w:fill="F2F6FA"/>
          </w:tcPr>
          <w:p>
            <w:pPr>
              <w:spacing w:after="20" w:line="240" w:lineRule="auto"/>
            </w:pPr>
            <w:r>
              <w:rPr>
                <w:b/>
                <w:sz w:val="17"/>
              </w:rPr>
            </w:r>
            <w:r>
              <w:rPr>
                <w:b/>
                <w:sz w:val="17"/>
              </w:rPr>
              <w:t>Document parsing</w:t>
            </w:r>
          </w:p>
        </w:tc>
        <w:tc>
          <w:tcPr>
            <w:tcW w:type="dxa" w:w="2561"/>
            <w:shd w:val="clear" w:color="auto" w:fill="F2F6FA"/>
          </w:tcPr>
          <w:p>
            <w:pPr>
              <w:spacing w:after="20" w:line="240" w:lineRule="auto"/>
            </w:pPr>
            <w:r>
              <w:rPr>
                <w:sz w:val="17"/>
              </w:rPr>
            </w:r>
            <w:r>
              <w:rPr>
                <w:sz w:val="17"/>
              </w:rPr>
              <w:t>Docling, Apache Tika</w:t>
            </w:r>
          </w:p>
        </w:tc>
        <w:tc>
          <w:tcPr>
            <w:tcW w:type="dxa" w:w="3027"/>
            <w:shd w:val="clear" w:color="auto" w:fill="F2F6FA"/>
          </w:tcPr>
          <w:p>
            <w:pPr>
              <w:spacing w:after="20" w:line="240" w:lineRule="auto"/>
            </w:pPr>
            <w:r>
              <w:rPr>
                <w:sz w:val="17"/>
              </w:rPr>
            </w:r>
            <w:r>
              <w:rPr>
                <w:sz w:val="17"/>
              </w:rPr>
              <w:t>Unstructured, PaddleOCR, Tesseract</w:t>
            </w:r>
          </w:p>
        </w:tc>
        <w:tc>
          <w:tcPr>
            <w:tcW w:type="dxa" w:w="1862"/>
            <w:shd w:val="clear" w:color="auto" w:fill="F2F6FA"/>
          </w:tcPr>
          <w:p>
            <w:pPr>
              <w:spacing w:after="20" w:line="240" w:lineRule="auto"/>
            </w:pPr>
            <w:r>
              <w:rPr>
                <w:sz w:val="17"/>
              </w:rPr>
            </w:r>
            <w:r>
              <w:rPr>
                <w:sz w:val="17"/>
              </w:rPr>
              <w:t>MIT / Apache 2.0</w:t>
            </w:r>
          </w:p>
        </w:tc>
      </w:tr>
      <w:tr>
        <w:trPr>
          <w:cantSplit w:val="true"/>
        </w:trPr>
        <w:tc>
          <w:tcPr>
            <w:tcW w:type="dxa" w:w="1862"/>
          </w:tcPr>
          <w:p>
            <w:pPr>
              <w:spacing w:after="20" w:line="240" w:lineRule="auto"/>
            </w:pPr>
            <w:r>
              <w:rPr>
                <w:b/>
                <w:sz w:val="17"/>
              </w:rPr>
            </w:r>
            <w:r>
              <w:rPr>
                <w:b/>
                <w:sz w:val="17"/>
              </w:rPr>
              <w:t>Object storage</w:t>
            </w:r>
          </w:p>
        </w:tc>
        <w:tc>
          <w:tcPr>
            <w:tcW w:type="dxa" w:w="2561"/>
          </w:tcPr>
          <w:p>
            <w:pPr>
              <w:spacing w:after="20" w:line="240" w:lineRule="auto"/>
            </w:pPr>
            <w:r>
              <w:rPr>
                <w:sz w:val="17"/>
              </w:rPr>
            </w:r>
            <w:r>
              <w:rPr>
                <w:sz w:val="17"/>
              </w:rPr>
              <w:t>MinIO or Ceph RGW</w:t>
            </w:r>
          </w:p>
        </w:tc>
        <w:tc>
          <w:tcPr>
            <w:tcW w:type="dxa" w:w="3027"/>
          </w:tcPr>
          <w:p>
            <w:pPr>
              <w:spacing w:after="20" w:line="240" w:lineRule="auto"/>
            </w:pPr>
            <w:r>
              <w:rPr>
                <w:sz w:val="17"/>
              </w:rPr>
            </w:r>
            <w:r>
              <w:rPr>
                <w:sz w:val="17"/>
              </w:rPr>
              <w:t>Existing S3-compatible enterprise storage</w:t>
            </w:r>
          </w:p>
        </w:tc>
        <w:tc>
          <w:tcPr>
            <w:tcW w:type="dxa" w:w="1862"/>
          </w:tcPr>
          <w:p>
            <w:pPr>
              <w:spacing w:after="20" w:line="240" w:lineRule="auto"/>
            </w:pPr>
            <w:r>
              <w:rPr>
                <w:sz w:val="17"/>
              </w:rPr>
            </w:r>
            <w:r>
              <w:rPr>
                <w:sz w:val="17"/>
              </w:rPr>
              <w:t>AGPLv3 (MinIO) / LGPL (Ceph)</w:t>
            </w:r>
          </w:p>
        </w:tc>
      </w:tr>
      <w:tr>
        <w:trPr>
          <w:cantSplit w:val="true"/>
        </w:trPr>
        <w:tc>
          <w:tcPr>
            <w:tcW w:type="dxa" w:w="1862"/>
            <w:shd w:val="clear" w:color="auto" w:fill="F2F6FA"/>
          </w:tcPr>
          <w:p>
            <w:pPr>
              <w:spacing w:after="20" w:line="240" w:lineRule="auto"/>
            </w:pPr>
            <w:r>
              <w:rPr>
                <w:b/>
                <w:sz w:val="17"/>
              </w:rPr>
            </w:r>
            <w:r>
              <w:rPr>
                <w:b/>
                <w:sz w:val="17"/>
              </w:rPr>
              <w:t>Event bus / CDC</w:t>
            </w:r>
          </w:p>
        </w:tc>
        <w:tc>
          <w:tcPr>
            <w:tcW w:type="dxa" w:w="2561"/>
            <w:shd w:val="clear" w:color="auto" w:fill="F2F6FA"/>
          </w:tcPr>
          <w:p>
            <w:pPr>
              <w:spacing w:after="20" w:line="240" w:lineRule="auto"/>
            </w:pPr>
            <w:r>
              <w:rPr>
                <w:sz w:val="17"/>
              </w:rPr>
            </w:r>
            <w:r>
              <w:rPr>
                <w:sz w:val="17"/>
              </w:rPr>
              <w:t>Kafka (KRaft) + Debezium</w:t>
            </w:r>
          </w:p>
        </w:tc>
        <w:tc>
          <w:tcPr>
            <w:tcW w:type="dxa" w:w="3027"/>
            <w:shd w:val="clear" w:color="auto" w:fill="F2F6FA"/>
          </w:tcPr>
          <w:p>
            <w:pPr>
              <w:spacing w:after="20" w:line="240" w:lineRule="auto"/>
            </w:pPr>
            <w:r>
              <w:rPr>
                <w:sz w:val="17"/>
              </w:rPr>
            </w:r>
            <w:r>
              <w:rPr>
                <w:sz w:val="17"/>
              </w:rPr>
              <w:t>NATS JetStream, Redpanda, RabbitMQ</w:t>
            </w:r>
          </w:p>
        </w:tc>
        <w:tc>
          <w:tcPr>
            <w:tcW w:type="dxa" w:w="1862"/>
            <w:shd w:val="clear" w:color="auto" w:fill="F2F6FA"/>
          </w:tcPr>
          <w:p>
            <w:pPr>
              <w:spacing w:after="20" w:line="240" w:lineRule="auto"/>
            </w:pPr>
            <w:r>
              <w:rPr>
                <w:sz w:val="17"/>
              </w:rPr>
            </w:r>
            <w:r>
              <w:rPr>
                <w:sz w:val="17"/>
              </w:rPr>
              <w:t>Apache 2.0</w:t>
            </w:r>
          </w:p>
        </w:tc>
      </w:tr>
      <w:tr>
        <w:trPr>
          <w:cantSplit w:val="true"/>
        </w:trPr>
        <w:tc>
          <w:tcPr>
            <w:tcW w:type="dxa" w:w="1862"/>
          </w:tcPr>
          <w:p>
            <w:pPr>
              <w:spacing w:after="20" w:line="240" w:lineRule="auto"/>
            </w:pPr>
            <w:r>
              <w:rPr>
                <w:b/>
                <w:sz w:val="17"/>
              </w:rPr>
            </w:r>
            <w:r>
              <w:rPr>
                <w:b/>
                <w:sz w:val="17"/>
              </w:rPr>
              <w:t>Sandbox isolation</w:t>
            </w:r>
          </w:p>
        </w:tc>
        <w:tc>
          <w:tcPr>
            <w:tcW w:type="dxa" w:w="2561"/>
          </w:tcPr>
          <w:p>
            <w:pPr>
              <w:spacing w:after="20" w:line="240" w:lineRule="auto"/>
            </w:pPr>
            <w:r>
              <w:rPr>
                <w:sz w:val="17"/>
              </w:rPr>
            </w:r>
            <w:r>
              <w:rPr>
                <w:sz w:val="17"/>
              </w:rPr>
              <w:t>Kata Containers; gVisor</w:t>
            </w:r>
          </w:p>
        </w:tc>
        <w:tc>
          <w:tcPr>
            <w:tcW w:type="dxa" w:w="3027"/>
          </w:tcPr>
          <w:p>
            <w:pPr>
              <w:spacing w:after="20" w:line="240" w:lineRule="auto"/>
            </w:pPr>
            <w:r>
              <w:rPr>
                <w:sz w:val="17"/>
              </w:rPr>
            </w:r>
            <w:r>
              <w:rPr>
                <w:sz w:val="17"/>
              </w:rPr>
              <w:t>Firecracker-based sandbox platforms</w:t>
            </w:r>
          </w:p>
        </w:tc>
        <w:tc>
          <w:tcPr>
            <w:tcW w:type="dxa" w:w="1862"/>
          </w:tcPr>
          <w:p>
            <w:pPr>
              <w:spacing w:after="20" w:line="240" w:lineRule="auto"/>
            </w:pPr>
            <w:r>
              <w:rPr>
                <w:sz w:val="17"/>
              </w:rPr>
            </w:r>
            <w:r>
              <w:rPr>
                <w:sz w:val="17"/>
              </w:rPr>
              <w:t>Apache 2.0</w:t>
            </w:r>
          </w:p>
        </w:tc>
      </w:tr>
      <w:tr>
        <w:trPr>
          <w:cantSplit w:val="true"/>
        </w:trPr>
        <w:tc>
          <w:tcPr>
            <w:tcW w:type="dxa" w:w="1862"/>
            <w:shd w:val="clear" w:color="auto" w:fill="F2F6FA"/>
          </w:tcPr>
          <w:p>
            <w:pPr>
              <w:spacing w:after="20" w:line="240" w:lineRule="auto"/>
            </w:pPr>
            <w:r>
              <w:rPr>
                <w:b/>
                <w:sz w:val="17"/>
              </w:rPr>
            </w:r>
            <w:r>
              <w:rPr>
                <w:b/>
                <w:sz w:val="17"/>
              </w:rPr>
              <w:t>Browser automation</w:t>
            </w:r>
          </w:p>
        </w:tc>
        <w:tc>
          <w:tcPr>
            <w:tcW w:type="dxa" w:w="2561"/>
            <w:shd w:val="clear" w:color="auto" w:fill="F2F6FA"/>
          </w:tcPr>
          <w:p>
            <w:pPr>
              <w:spacing w:after="20" w:line="240" w:lineRule="auto"/>
            </w:pPr>
            <w:r>
              <w:rPr>
                <w:sz w:val="17"/>
              </w:rPr>
            </w:r>
            <w:r>
              <w:rPr>
                <w:sz w:val="17"/>
              </w:rPr>
              <w:t>Playwright + headless Chromium</w:t>
            </w:r>
          </w:p>
        </w:tc>
        <w:tc>
          <w:tcPr>
            <w:tcW w:type="dxa" w:w="3027"/>
            <w:shd w:val="clear" w:color="auto" w:fill="F2F6FA"/>
          </w:tcPr>
          <w:p>
            <w:pPr>
              <w:spacing w:after="20" w:line="240" w:lineRule="auto"/>
            </w:pPr>
            <w:r>
              <w:rPr>
                <w:sz w:val="17"/>
              </w:rPr>
            </w:r>
            <w:r>
              <w:rPr>
                <w:sz w:val="17"/>
              </w:rPr>
              <w:t>Puppeteer, Selenium</w:t>
            </w:r>
          </w:p>
        </w:tc>
        <w:tc>
          <w:tcPr>
            <w:tcW w:type="dxa" w:w="1862"/>
            <w:shd w:val="clear" w:color="auto" w:fill="F2F6FA"/>
          </w:tcPr>
          <w:p>
            <w:pPr>
              <w:spacing w:after="20" w:line="240" w:lineRule="auto"/>
            </w:pPr>
            <w:r>
              <w:rPr>
                <w:sz w:val="17"/>
              </w:rPr>
            </w:r>
            <w:r>
              <w:rPr>
                <w:sz w:val="17"/>
              </w:rPr>
              <w:t>Apache 2.0</w:t>
            </w:r>
          </w:p>
        </w:tc>
      </w:tr>
      <w:tr>
        <w:trPr>
          <w:cantSplit w:val="true"/>
        </w:trPr>
        <w:tc>
          <w:tcPr>
            <w:tcW w:type="dxa" w:w="1862"/>
          </w:tcPr>
          <w:p>
            <w:pPr>
              <w:spacing w:after="20" w:line="240" w:lineRule="auto"/>
            </w:pPr>
            <w:r>
              <w:rPr>
                <w:b/>
                <w:sz w:val="17"/>
              </w:rPr>
            </w:r>
            <w:r>
              <w:rPr>
                <w:b/>
                <w:sz w:val="17"/>
              </w:rPr>
              <w:t>Web UI base</w:t>
            </w:r>
          </w:p>
        </w:tc>
        <w:tc>
          <w:tcPr>
            <w:tcW w:type="dxa" w:w="2561"/>
          </w:tcPr>
          <w:p>
            <w:pPr>
              <w:spacing w:after="20" w:line="240" w:lineRule="auto"/>
            </w:pPr>
            <w:r>
              <w:rPr>
                <w:sz w:val="17"/>
              </w:rPr>
            </w:r>
            <w:r>
              <w:rPr>
                <w:sz w:val="17"/>
              </w:rPr>
              <w:t>Open WebUI or LibreChat (fork)</w:t>
            </w:r>
          </w:p>
        </w:tc>
        <w:tc>
          <w:tcPr>
            <w:tcW w:type="dxa" w:w="3027"/>
          </w:tcPr>
          <w:p>
            <w:pPr>
              <w:spacing w:after="20" w:line="240" w:lineRule="auto"/>
            </w:pPr>
            <w:r>
              <w:rPr>
                <w:sz w:val="17"/>
              </w:rPr>
            </w:r>
            <w:r>
              <w:rPr>
                <w:sz w:val="17"/>
              </w:rPr>
              <w:t>Custom React / Next.js UI</w:t>
            </w:r>
          </w:p>
        </w:tc>
        <w:tc>
          <w:tcPr>
            <w:tcW w:type="dxa" w:w="1862"/>
          </w:tcPr>
          <w:p>
            <w:pPr>
              <w:spacing w:after="20" w:line="240" w:lineRule="auto"/>
            </w:pPr>
            <w:r>
              <w:rPr>
                <w:sz w:val="17"/>
              </w:rPr>
            </w:r>
            <w:r>
              <w:rPr>
                <w:sz w:val="17"/>
              </w:rPr>
              <w:t>Check current terms (branding clauses) / MIT</w:t>
            </w:r>
          </w:p>
        </w:tc>
      </w:tr>
      <w:tr>
        <w:trPr>
          <w:cantSplit w:val="true"/>
        </w:trPr>
        <w:tc>
          <w:tcPr>
            <w:tcW w:type="dxa" w:w="1862"/>
            <w:shd w:val="clear" w:color="auto" w:fill="F2F6FA"/>
          </w:tcPr>
          <w:p>
            <w:pPr>
              <w:spacing w:after="20" w:line="240" w:lineRule="auto"/>
            </w:pPr>
            <w:r>
              <w:rPr>
                <w:b/>
                <w:sz w:val="17"/>
              </w:rPr>
            </w:r>
            <w:r>
              <w:rPr>
                <w:b/>
                <w:sz w:val="17"/>
              </w:rPr>
              <w:t>Chat bots</w:t>
            </w:r>
          </w:p>
        </w:tc>
        <w:tc>
          <w:tcPr>
            <w:tcW w:type="dxa" w:w="2561"/>
            <w:shd w:val="clear" w:color="auto" w:fill="F2F6FA"/>
          </w:tcPr>
          <w:p>
            <w:pPr>
              <w:spacing w:after="20" w:line="240" w:lineRule="auto"/>
            </w:pPr>
            <w:r>
              <w:rPr>
                <w:sz w:val="17"/>
              </w:rPr>
            </w:r>
            <w:r>
              <w:rPr>
                <w:sz w:val="17"/>
              </w:rPr>
              <w:t>Slack Bolt; Bot Framework / Teams AI library</w:t>
            </w:r>
          </w:p>
        </w:tc>
        <w:tc>
          <w:tcPr>
            <w:tcW w:type="dxa" w:w="3027"/>
            <w:shd w:val="clear" w:color="auto" w:fill="F2F6FA"/>
          </w:tcPr>
          <w:p>
            <w:pPr>
              <w:spacing w:after="20" w:line="240" w:lineRule="auto"/>
            </w:pPr>
            <w:r>
              <w:rPr>
                <w:sz w:val="17"/>
              </w:rPr>
            </w:r>
            <w:r>
              <w:rPr>
                <w:sz w:val="17"/>
              </w:rPr>
              <w:t>Mattermost or Rocket.Chat for fully self-hosted chat</w:t>
            </w:r>
          </w:p>
        </w:tc>
        <w:tc>
          <w:tcPr>
            <w:tcW w:type="dxa" w:w="1862"/>
            <w:shd w:val="clear" w:color="auto" w:fill="F2F6FA"/>
          </w:tcPr>
          <w:p>
            <w:pPr>
              <w:spacing w:after="20" w:line="240" w:lineRule="auto"/>
            </w:pPr>
            <w:r>
              <w:rPr>
                <w:sz w:val="17"/>
              </w:rPr>
            </w:r>
            <w:r>
              <w:rPr>
                <w:sz w:val="17"/>
              </w:rPr>
              <w:t>MIT</w:t>
            </w:r>
          </w:p>
        </w:tc>
      </w:tr>
      <w:tr>
        <w:trPr>
          <w:cantSplit w:val="true"/>
        </w:trPr>
        <w:tc>
          <w:tcPr>
            <w:tcW w:type="dxa" w:w="1862"/>
          </w:tcPr>
          <w:p>
            <w:pPr>
              <w:spacing w:after="20" w:line="240" w:lineRule="auto"/>
            </w:pPr>
            <w:r>
              <w:rPr>
                <w:b/>
                <w:sz w:val="17"/>
              </w:rPr>
            </w:r>
            <w:r>
              <w:rPr>
                <w:b/>
                <w:sz w:val="17"/>
              </w:rPr>
              <w:t>Tracing / telemetry</w:t>
            </w:r>
          </w:p>
        </w:tc>
        <w:tc>
          <w:tcPr>
            <w:tcW w:type="dxa" w:w="2561"/>
          </w:tcPr>
          <w:p>
            <w:pPr>
              <w:spacing w:after="20" w:line="240" w:lineRule="auto"/>
            </w:pPr>
            <w:r>
              <w:rPr>
                <w:sz w:val="17"/>
              </w:rPr>
            </w:r>
            <w:r>
              <w:rPr>
                <w:sz w:val="17"/>
              </w:rPr>
              <w:t>OpenTelemetry + Grafana Tempo</w:t>
            </w:r>
          </w:p>
        </w:tc>
        <w:tc>
          <w:tcPr>
            <w:tcW w:type="dxa" w:w="3027"/>
          </w:tcPr>
          <w:p>
            <w:pPr>
              <w:spacing w:after="20" w:line="240" w:lineRule="auto"/>
            </w:pPr>
            <w:r>
              <w:rPr>
                <w:sz w:val="17"/>
              </w:rPr>
            </w:r>
            <w:r>
              <w:rPr>
                <w:sz w:val="17"/>
              </w:rPr>
              <w:t>Jaeger</w:t>
            </w:r>
          </w:p>
        </w:tc>
        <w:tc>
          <w:tcPr>
            <w:tcW w:type="dxa" w:w="1862"/>
          </w:tcPr>
          <w:p>
            <w:pPr>
              <w:spacing w:after="20" w:line="240" w:lineRule="auto"/>
            </w:pPr>
            <w:r>
              <w:rPr>
                <w:sz w:val="17"/>
              </w:rPr>
            </w:r>
            <w:r>
              <w:rPr>
                <w:sz w:val="17"/>
              </w:rPr>
              <w:t>Apache 2.0 / AGPLv3</w:t>
            </w:r>
          </w:p>
        </w:tc>
      </w:tr>
      <w:tr>
        <w:trPr>
          <w:cantSplit w:val="true"/>
        </w:trPr>
        <w:tc>
          <w:tcPr>
            <w:tcW w:type="dxa" w:w="1862"/>
            <w:shd w:val="clear" w:color="auto" w:fill="F2F6FA"/>
          </w:tcPr>
          <w:p>
            <w:pPr>
              <w:spacing w:after="20" w:line="240" w:lineRule="auto"/>
            </w:pPr>
            <w:r>
              <w:rPr>
                <w:b/>
                <w:sz w:val="17"/>
              </w:rPr>
            </w:r>
            <w:r>
              <w:rPr>
                <w:b/>
                <w:sz w:val="17"/>
              </w:rPr>
              <w:t>LLM observability and evals</w:t>
            </w:r>
          </w:p>
        </w:tc>
        <w:tc>
          <w:tcPr>
            <w:tcW w:type="dxa" w:w="2561"/>
            <w:shd w:val="clear" w:color="auto" w:fill="F2F6FA"/>
          </w:tcPr>
          <w:p>
            <w:pPr>
              <w:spacing w:after="20" w:line="240" w:lineRule="auto"/>
            </w:pPr>
            <w:r>
              <w:rPr>
                <w:sz w:val="17"/>
              </w:rPr>
            </w:r>
            <w:r>
              <w:rPr>
                <w:sz w:val="17"/>
              </w:rPr>
              <w:t>Langfuse</w:t>
            </w:r>
          </w:p>
        </w:tc>
        <w:tc>
          <w:tcPr>
            <w:tcW w:type="dxa" w:w="3027"/>
            <w:shd w:val="clear" w:color="auto" w:fill="F2F6FA"/>
          </w:tcPr>
          <w:p>
            <w:pPr>
              <w:spacing w:after="20" w:line="240" w:lineRule="auto"/>
            </w:pPr>
            <w:r>
              <w:rPr>
                <w:sz w:val="17"/>
              </w:rPr>
            </w:r>
            <w:r>
              <w:rPr>
                <w:sz w:val="17"/>
              </w:rPr>
              <w:t>Arize Phoenix, MLflow tracing</w:t>
            </w:r>
          </w:p>
        </w:tc>
        <w:tc>
          <w:tcPr>
            <w:tcW w:type="dxa" w:w="1862"/>
            <w:shd w:val="clear" w:color="auto" w:fill="F2F6FA"/>
          </w:tcPr>
          <w:p>
            <w:pPr>
              <w:spacing w:after="20" w:line="240" w:lineRule="auto"/>
            </w:pPr>
            <w:r>
              <w:rPr>
                <w:sz w:val="17"/>
              </w:rPr>
            </w:r>
            <w:r>
              <w:rPr>
                <w:sz w:val="17"/>
              </w:rPr>
              <w:t>MIT (core)</w:t>
            </w:r>
          </w:p>
        </w:tc>
      </w:tr>
      <w:tr>
        <w:trPr>
          <w:cantSplit w:val="true"/>
        </w:trPr>
        <w:tc>
          <w:tcPr>
            <w:tcW w:type="dxa" w:w="1862"/>
          </w:tcPr>
          <w:p>
            <w:pPr>
              <w:spacing w:after="20" w:line="240" w:lineRule="auto"/>
            </w:pPr>
            <w:r>
              <w:rPr>
                <w:b/>
                <w:sz w:val="17"/>
              </w:rPr>
            </w:r>
            <w:r>
              <w:rPr>
                <w:b/>
                <w:sz w:val="17"/>
              </w:rPr>
              <w:t>Metrics / logs / dashboards</w:t>
            </w:r>
          </w:p>
        </w:tc>
        <w:tc>
          <w:tcPr>
            <w:tcW w:type="dxa" w:w="2561"/>
          </w:tcPr>
          <w:p>
            <w:pPr>
              <w:spacing w:after="20" w:line="240" w:lineRule="auto"/>
            </w:pPr>
            <w:r>
              <w:rPr>
                <w:sz w:val="17"/>
              </w:rPr>
            </w:r>
            <w:r>
              <w:rPr>
                <w:sz w:val="17"/>
              </w:rPr>
              <w:t>Prometheus, Loki, Grafana</w:t>
            </w:r>
          </w:p>
        </w:tc>
        <w:tc>
          <w:tcPr>
            <w:tcW w:type="dxa" w:w="3027"/>
          </w:tcPr>
          <w:p>
            <w:pPr>
              <w:spacing w:after="20" w:line="240" w:lineRule="auto"/>
            </w:pPr>
            <w:r>
              <w:rPr>
                <w:sz w:val="17"/>
              </w:rPr>
            </w:r>
            <w:r>
              <w:rPr>
                <w:sz w:val="17"/>
              </w:rPr>
              <w:t>OpenSearch Dashboards, VictoriaMetrics</w:t>
            </w:r>
          </w:p>
        </w:tc>
        <w:tc>
          <w:tcPr>
            <w:tcW w:type="dxa" w:w="1862"/>
          </w:tcPr>
          <w:p>
            <w:pPr>
              <w:spacing w:after="20" w:line="240" w:lineRule="auto"/>
            </w:pPr>
            <w:r>
              <w:rPr>
                <w:sz w:val="17"/>
              </w:rPr>
            </w:r>
            <w:r>
              <w:rPr>
                <w:sz w:val="17"/>
              </w:rPr>
              <w:t>Apache 2.0 / AGPLv3</w:t>
            </w:r>
          </w:p>
        </w:tc>
      </w:tr>
      <w:tr>
        <w:trPr>
          <w:cantSplit w:val="true"/>
        </w:trPr>
        <w:tc>
          <w:tcPr>
            <w:tcW w:type="dxa" w:w="1862"/>
            <w:shd w:val="clear" w:color="auto" w:fill="F2F6FA"/>
          </w:tcPr>
          <w:p>
            <w:pPr>
              <w:spacing w:after="20" w:line="240" w:lineRule="auto"/>
            </w:pPr>
            <w:r>
              <w:rPr>
                <w:b/>
                <w:sz w:val="17"/>
              </w:rPr>
            </w:r>
            <w:r>
              <w:rPr>
                <w:b/>
                <w:sz w:val="17"/>
              </w:rPr>
              <w:t>Evaluation and red-team</w:t>
            </w:r>
          </w:p>
        </w:tc>
        <w:tc>
          <w:tcPr>
            <w:tcW w:type="dxa" w:w="2561"/>
            <w:shd w:val="clear" w:color="auto" w:fill="F2F6FA"/>
          </w:tcPr>
          <w:p>
            <w:pPr>
              <w:spacing w:after="20" w:line="240" w:lineRule="auto"/>
            </w:pPr>
            <w:r>
              <w:rPr>
                <w:sz w:val="17"/>
              </w:rPr>
            </w:r>
            <w:r>
              <w:rPr>
                <w:sz w:val="17"/>
              </w:rPr>
              <w:t>promptfoo, Inspect, RAGAS, DeepEval, garak, PyRIT</w:t>
            </w:r>
          </w:p>
        </w:tc>
        <w:tc>
          <w:tcPr>
            <w:tcW w:type="dxa" w:w="3027"/>
            <w:shd w:val="clear" w:color="auto" w:fill="F2F6FA"/>
          </w:tcPr>
          <w:p>
            <w:pPr>
              <w:spacing w:after="20" w:line="240" w:lineRule="auto"/>
            </w:pPr>
            <w:r>
              <w:rPr>
                <w:sz w:val="17"/>
              </w:rPr>
            </w:r>
            <w:r>
              <w:rPr>
                <w:sz w:val="17"/>
              </w:rPr>
              <w:t>Custom harness</w:t>
            </w:r>
          </w:p>
        </w:tc>
        <w:tc>
          <w:tcPr>
            <w:tcW w:type="dxa" w:w="1862"/>
            <w:shd w:val="clear" w:color="auto" w:fill="F2F6FA"/>
          </w:tcPr>
          <w:p>
            <w:pPr>
              <w:spacing w:after="20" w:line="240" w:lineRule="auto"/>
            </w:pPr>
            <w:r>
              <w:rPr>
                <w:sz w:val="17"/>
              </w:rPr>
            </w:r>
            <w:r>
              <w:rPr>
                <w:sz w:val="17"/>
              </w:rPr>
              <w:t>MIT / Apache 2.0</w:t>
            </w:r>
          </w:p>
        </w:tc>
      </w:tr>
      <w:tr>
        <w:trPr>
          <w:cantSplit w:val="true"/>
        </w:trPr>
        <w:tc>
          <w:tcPr>
            <w:tcW w:type="dxa" w:w="1862"/>
          </w:tcPr>
          <w:p>
            <w:pPr>
              <w:spacing w:after="20" w:line="240" w:lineRule="auto"/>
            </w:pPr>
            <w:r>
              <w:rPr>
                <w:b/>
                <w:sz w:val="17"/>
              </w:rPr>
            </w:r>
            <w:r>
              <w:rPr>
                <w:b/>
                <w:sz w:val="17"/>
              </w:rPr>
              <w:t>PII detection</w:t>
            </w:r>
          </w:p>
        </w:tc>
        <w:tc>
          <w:tcPr>
            <w:tcW w:type="dxa" w:w="2561"/>
          </w:tcPr>
          <w:p>
            <w:pPr>
              <w:spacing w:after="20" w:line="240" w:lineRule="auto"/>
            </w:pPr>
            <w:r>
              <w:rPr>
                <w:sz w:val="17"/>
              </w:rPr>
            </w:r>
            <w:r>
              <w:rPr>
                <w:sz w:val="17"/>
              </w:rPr>
              <w:t>Microsoft Presidio</w:t>
            </w:r>
          </w:p>
        </w:tc>
        <w:tc>
          <w:tcPr>
            <w:tcW w:type="dxa" w:w="3027"/>
          </w:tcPr>
          <w:p>
            <w:pPr>
              <w:spacing w:after="20" w:line="240" w:lineRule="auto"/>
            </w:pPr>
            <w:r>
              <w:rPr>
                <w:sz w:val="17"/>
              </w:rPr>
            </w:r>
            <w:r>
              <w:rPr>
                <w:sz w:val="17"/>
              </w:rPr>
              <w:t>spaCy/GLiNER-based custom recognisers</w:t>
            </w:r>
          </w:p>
        </w:tc>
        <w:tc>
          <w:tcPr>
            <w:tcW w:type="dxa" w:w="1862"/>
          </w:tcPr>
          <w:p>
            <w:pPr>
              <w:spacing w:after="20" w:line="240" w:lineRule="auto"/>
            </w:pPr>
            <w:r>
              <w:rPr>
                <w:sz w:val="17"/>
              </w:rPr>
            </w:r>
            <w:r>
              <w:rPr>
                <w:sz w:val="17"/>
              </w:rPr>
              <w:t>MIT</w:t>
            </w:r>
          </w:p>
        </w:tc>
      </w:tr>
      <w:tr>
        <w:trPr>
          <w:cantSplit w:val="true"/>
        </w:trPr>
        <w:tc>
          <w:tcPr>
            <w:tcW w:type="dxa" w:w="1862"/>
            <w:shd w:val="clear" w:color="auto" w:fill="F2F6FA"/>
          </w:tcPr>
          <w:p>
            <w:pPr>
              <w:spacing w:after="20" w:line="240" w:lineRule="auto"/>
            </w:pPr>
            <w:r>
              <w:rPr>
                <w:b/>
                <w:sz w:val="17"/>
              </w:rPr>
            </w:r>
            <w:r>
              <w:rPr>
                <w:b/>
                <w:sz w:val="17"/>
              </w:rPr>
              <w:t>Runtime security</w:t>
            </w:r>
          </w:p>
        </w:tc>
        <w:tc>
          <w:tcPr>
            <w:tcW w:type="dxa" w:w="2561"/>
            <w:shd w:val="clear" w:color="auto" w:fill="F2F6FA"/>
          </w:tcPr>
          <w:p>
            <w:pPr>
              <w:spacing w:after="20" w:line="240" w:lineRule="auto"/>
            </w:pPr>
            <w:r>
              <w:rPr>
                <w:sz w:val="17"/>
              </w:rPr>
            </w:r>
            <w:r>
              <w:rPr>
                <w:sz w:val="17"/>
              </w:rPr>
              <w:t>Falco or Tetragon</w:t>
            </w:r>
          </w:p>
        </w:tc>
        <w:tc>
          <w:tcPr>
            <w:tcW w:type="dxa" w:w="3027"/>
            <w:shd w:val="clear" w:color="auto" w:fill="F2F6FA"/>
          </w:tcPr>
          <w:p>
            <w:pPr>
              <w:spacing w:after="20" w:line="240" w:lineRule="auto"/>
            </w:pPr>
            <w:r>
              <w:rPr>
                <w:sz w:val="17"/>
              </w:rPr>
            </w:r>
            <w:r>
              <w:rPr>
                <w:sz w:val="17"/>
              </w:rPr>
              <w:t>Kubernetes audit + SIEM rules</w:t>
            </w:r>
          </w:p>
        </w:tc>
        <w:tc>
          <w:tcPr>
            <w:tcW w:type="dxa" w:w="1862"/>
            <w:shd w:val="clear" w:color="auto" w:fill="F2F6FA"/>
          </w:tcPr>
          <w:p>
            <w:pPr>
              <w:spacing w:after="20" w:line="240" w:lineRule="auto"/>
            </w:pPr>
            <w:r>
              <w:rPr>
                <w:sz w:val="17"/>
              </w:rPr>
            </w:r>
            <w:r>
              <w:rPr>
                <w:sz w:val="17"/>
              </w:rPr>
              <w:t>Apache 2.0</w:t>
            </w:r>
          </w:p>
        </w:tc>
      </w:tr>
      <w:tr>
        <w:trPr>
          <w:cantSplit w:val="true"/>
        </w:trPr>
        <w:tc>
          <w:tcPr>
            <w:tcW w:type="dxa" w:w="1862"/>
          </w:tcPr>
          <w:p>
            <w:pPr>
              <w:spacing w:after="20" w:line="240" w:lineRule="auto"/>
            </w:pPr>
            <w:r>
              <w:rPr>
                <w:b/>
                <w:sz w:val="17"/>
              </w:rPr>
            </w:r>
            <w:r>
              <w:rPr>
                <w:b/>
                <w:sz w:val="17"/>
              </w:rPr>
              <w:t>GitOps / IaC</w:t>
            </w:r>
          </w:p>
        </w:tc>
        <w:tc>
          <w:tcPr>
            <w:tcW w:type="dxa" w:w="2561"/>
          </w:tcPr>
          <w:p>
            <w:pPr>
              <w:spacing w:after="20" w:line="240" w:lineRule="auto"/>
            </w:pPr>
            <w:r>
              <w:rPr>
                <w:sz w:val="17"/>
              </w:rPr>
            </w:r>
            <w:r>
              <w:rPr>
                <w:sz w:val="17"/>
              </w:rPr>
              <w:t>Argo CD, Terraform/OpenTofu, Helm</w:t>
            </w:r>
          </w:p>
        </w:tc>
        <w:tc>
          <w:tcPr>
            <w:tcW w:type="dxa" w:w="3027"/>
          </w:tcPr>
          <w:p>
            <w:pPr>
              <w:spacing w:after="20" w:line="240" w:lineRule="auto"/>
            </w:pPr>
            <w:r>
              <w:rPr>
                <w:sz w:val="17"/>
              </w:rPr>
            </w:r>
            <w:r>
              <w:rPr>
                <w:sz w:val="17"/>
              </w:rPr>
              <w:t>Flux, Crossplane</w:t>
            </w:r>
          </w:p>
        </w:tc>
        <w:tc>
          <w:tcPr>
            <w:tcW w:type="dxa" w:w="1862"/>
          </w:tcPr>
          <w:p>
            <w:pPr>
              <w:spacing w:after="20" w:line="240" w:lineRule="auto"/>
            </w:pPr>
            <w:r>
              <w:rPr>
                <w:sz w:val="17"/>
              </w:rPr>
            </w:r>
            <w:r>
              <w:rPr>
                <w:sz w:val="17"/>
              </w:rPr>
              <w:t>Apache 2.0 / MPL 2.0</w:t>
            </w:r>
          </w:p>
        </w:tc>
      </w:tr>
      <w:tr>
        <w:trPr>
          <w:cantSplit w:val="true"/>
        </w:trPr>
        <w:tc>
          <w:tcPr>
            <w:tcW w:type="dxa" w:w="1862"/>
            <w:shd w:val="clear" w:color="auto" w:fill="F2F6FA"/>
          </w:tcPr>
          <w:p>
            <w:pPr>
              <w:spacing w:after="20" w:line="240" w:lineRule="auto"/>
            </w:pPr>
            <w:r>
              <w:rPr>
                <w:b/>
                <w:sz w:val="17"/>
              </w:rPr>
            </w:r>
            <w:r>
              <w:rPr>
                <w:b/>
                <w:sz w:val="17"/>
              </w:rPr>
              <w:t>GPU operations</w:t>
            </w:r>
          </w:p>
        </w:tc>
        <w:tc>
          <w:tcPr>
            <w:tcW w:type="dxa" w:w="2561"/>
            <w:shd w:val="clear" w:color="auto" w:fill="F2F6FA"/>
          </w:tcPr>
          <w:p>
            <w:pPr>
              <w:spacing w:after="20" w:line="240" w:lineRule="auto"/>
            </w:pPr>
            <w:r>
              <w:rPr>
                <w:sz w:val="17"/>
              </w:rPr>
            </w:r>
            <w:r>
              <w:rPr>
                <w:sz w:val="17"/>
              </w:rPr>
              <w:t>NVIDIA / AMD GPU Operator, DCGM exporter</w:t>
            </w:r>
          </w:p>
        </w:tc>
        <w:tc>
          <w:tcPr>
            <w:tcW w:type="dxa" w:w="3027"/>
            <w:shd w:val="clear" w:color="auto" w:fill="F2F6FA"/>
          </w:tcPr>
          <w:p>
            <w:pPr>
              <w:spacing w:after="20" w:line="240" w:lineRule="auto"/>
            </w:pPr>
            <w:r>
              <w:rPr>
                <w:sz w:val="17"/>
              </w:rPr>
            </w:r>
            <w:r>
              <w:rPr>
                <w:sz w:val="17"/>
              </w:rPr>
              <w:t>KServe, Ray Serve, llm-d</w:t>
            </w:r>
          </w:p>
        </w:tc>
        <w:tc>
          <w:tcPr>
            <w:tcW w:type="dxa" w:w="1862"/>
            <w:shd w:val="clear" w:color="auto" w:fill="F2F6FA"/>
          </w:tcPr>
          <w:p>
            <w:pPr>
              <w:spacing w:after="20" w:line="240" w:lineRule="auto"/>
            </w:pPr>
            <w:r>
              <w:rPr>
                <w:sz w:val="17"/>
              </w:rPr>
            </w:r>
            <w:r>
              <w:rPr>
                <w:sz w:val="17"/>
              </w:rPr>
              <w:t>Apache 2.0</w:t>
            </w:r>
          </w:p>
        </w:tc>
      </w:tr>
    </w:tbl>
    <w:p>
      <w:pPr>
        <w:spacing w:after="80"/>
      </w:pPr>
    </w:p>
    <w:p>
      <w:pPr>
        <w:pStyle w:val="Heading1"/>
      </w:pPr>
      <w:r>
        <w:t>Appendix B. Glossary</w:t>
      </w:r>
    </w:p>
    <w:tbl>
      <w:tblPr>
        <w:tblStyle w:val="TableGrid"/>
        <w:jc w:val="center"/>
        <w:tblLook w:firstColumn="1" w:firstRow="1" w:lastColumn="0" w:lastRow="0" w:noHBand="0" w:noVBand="1" w:val="04A0"/>
        <w:tblCellMar>
          <w:top w:w="60" w:type="dxa"/>
          <w:left w:w="90" w:type="dxa"/>
          <w:bottom w:w="60" w:type="dxa"/>
          <w:right w:w="90" w:type="dxa"/>
        </w:tblCellMar>
        <w:tblW w:w="9313" w:type="dxa"/>
        <w:tblLayout w:type="fixed"/>
      </w:tblPr>
      <w:tblGrid>
        <w:gridCol w:w="1862"/>
        <w:gridCol w:w="7451"/>
      </w:tblGrid>
      <w:tr>
        <w:trPr>
          <w:tblHeader w:val="true"/>
        </w:trPr>
        <w:tc>
          <w:tcPr>
            <w:tcW w:type="dxa" w:w="1862"/>
            <w:shd w:val="clear" w:color="auto" w:fill="1F4E79"/>
          </w:tcPr>
          <w:p>
            <w:r/>
            <w:r>
              <w:rPr>
                <w:b/>
                <w:color w:val="FFFFFF"/>
                <w:sz w:val="18"/>
              </w:rPr>
              <w:t>Term</w:t>
            </w:r>
          </w:p>
        </w:tc>
        <w:tc>
          <w:tcPr>
            <w:tcW w:type="dxa" w:w="7451"/>
            <w:shd w:val="clear" w:color="auto" w:fill="1F4E79"/>
          </w:tcPr>
          <w:p>
            <w:r/>
            <w:r>
              <w:rPr>
                <w:b/>
                <w:color w:val="FFFFFF"/>
                <w:sz w:val="18"/>
              </w:rPr>
              <w:t>Meaning</w:t>
            </w:r>
          </w:p>
        </w:tc>
      </w:tr>
      <w:tr>
        <w:trPr>
          <w:cantSplit w:val="true"/>
        </w:trPr>
        <w:tc>
          <w:tcPr>
            <w:tcW w:type="dxa" w:w="1862"/>
          </w:tcPr>
          <w:p>
            <w:pPr>
              <w:spacing w:after="20" w:line="240" w:lineRule="auto"/>
            </w:pPr>
            <w:r>
              <w:rPr>
                <w:b/>
                <w:sz w:val="18"/>
              </w:rPr>
            </w:r>
            <w:r>
              <w:rPr>
                <w:b/>
                <w:sz w:val="18"/>
              </w:rPr>
              <w:t>ABAC / RBAC</w:t>
            </w:r>
          </w:p>
        </w:tc>
        <w:tc>
          <w:tcPr>
            <w:tcW w:type="dxa" w:w="7451"/>
          </w:tcPr>
          <w:p>
            <w:pPr>
              <w:spacing w:after="20" w:line="240" w:lineRule="auto"/>
            </w:pPr>
            <w:r>
              <w:rPr>
                <w:sz w:val="18"/>
              </w:rPr>
            </w:r>
            <w:r>
              <w:rPr>
                <w:sz w:val="18"/>
              </w:rPr>
              <w:t>Attribute-based / role-based access control.</w:t>
            </w:r>
          </w:p>
        </w:tc>
      </w:tr>
      <w:tr>
        <w:trPr>
          <w:cantSplit w:val="true"/>
        </w:trPr>
        <w:tc>
          <w:tcPr>
            <w:tcW w:type="dxa" w:w="1862"/>
            <w:shd w:val="clear" w:color="auto" w:fill="F2F6FA"/>
          </w:tcPr>
          <w:p>
            <w:pPr>
              <w:spacing w:after="20" w:line="240" w:lineRule="auto"/>
            </w:pPr>
            <w:r>
              <w:rPr>
                <w:b/>
                <w:sz w:val="18"/>
              </w:rPr>
            </w:r>
            <w:r>
              <w:rPr>
                <w:b/>
                <w:sz w:val="18"/>
              </w:rPr>
              <w:t>Agent loop</w:t>
            </w:r>
          </w:p>
        </w:tc>
        <w:tc>
          <w:tcPr>
            <w:tcW w:type="dxa" w:w="7451"/>
            <w:shd w:val="clear" w:color="auto" w:fill="F2F6FA"/>
          </w:tcPr>
          <w:p>
            <w:pPr>
              <w:spacing w:after="20" w:line="240" w:lineRule="auto"/>
            </w:pPr>
            <w:r>
              <w:rPr>
                <w:sz w:val="18"/>
              </w:rPr>
            </w:r>
            <w:r>
              <w:rPr>
                <w:sz w:val="18"/>
              </w:rPr>
              <w:t>Iterative cycle in which a model reasons, calls tools and observes results until the task is done.</w:t>
            </w:r>
          </w:p>
        </w:tc>
      </w:tr>
      <w:tr>
        <w:trPr>
          <w:cantSplit w:val="true"/>
        </w:trPr>
        <w:tc>
          <w:tcPr>
            <w:tcW w:type="dxa" w:w="1862"/>
          </w:tcPr>
          <w:p>
            <w:pPr>
              <w:spacing w:after="20" w:line="240" w:lineRule="auto"/>
            </w:pPr>
            <w:r>
              <w:rPr>
                <w:b/>
                <w:sz w:val="18"/>
              </w:rPr>
            </w:r>
            <w:r>
              <w:rPr>
                <w:b/>
                <w:sz w:val="18"/>
              </w:rPr>
              <w:t>Hybrid search</w:t>
            </w:r>
          </w:p>
        </w:tc>
        <w:tc>
          <w:tcPr>
            <w:tcW w:type="dxa" w:w="7451"/>
          </w:tcPr>
          <w:p>
            <w:pPr>
              <w:spacing w:after="20" w:line="240" w:lineRule="auto"/>
            </w:pPr>
            <w:r>
              <w:rPr>
                <w:sz w:val="18"/>
              </w:rPr>
            </w:r>
            <w:r>
              <w:rPr>
                <w:sz w:val="18"/>
              </w:rPr>
              <w:t>Combination of lexical (BM25/sparse) and semantic (dense vector) retrieval.</w:t>
            </w:r>
          </w:p>
        </w:tc>
      </w:tr>
      <w:tr>
        <w:trPr>
          <w:cantSplit w:val="true"/>
        </w:trPr>
        <w:tc>
          <w:tcPr>
            <w:tcW w:type="dxa" w:w="1862"/>
            <w:shd w:val="clear" w:color="auto" w:fill="F2F6FA"/>
          </w:tcPr>
          <w:p>
            <w:pPr>
              <w:spacing w:after="20" w:line="240" w:lineRule="auto"/>
            </w:pPr>
            <w:r>
              <w:rPr>
                <w:b/>
                <w:sz w:val="18"/>
              </w:rPr>
            </w:r>
            <w:r>
              <w:rPr>
                <w:b/>
                <w:sz w:val="18"/>
              </w:rPr>
              <w:t>KV cache</w:t>
            </w:r>
          </w:p>
        </w:tc>
        <w:tc>
          <w:tcPr>
            <w:tcW w:type="dxa" w:w="7451"/>
            <w:shd w:val="clear" w:color="auto" w:fill="F2F6FA"/>
          </w:tcPr>
          <w:p>
            <w:pPr>
              <w:spacing w:after="20" w:line="240" w:lineRule="auto"/>
            </w:pPr>
            <w:r>
              <w:rPr>
                <w:sz w:val="18"/>
              </w:rPr>
            </w:r>
            <w:r>
              <w:rPr>
                <w:sz w:val="18"/>
              </w:rPr>
              <w:t>Per-token attention state held in GPU memory during generation; dominant memory consumer at high concurrency.</w:t>
            </w:r>
          </w:p>
        </w:tc>
      </w:tr>
      <w:tr>
        <w:trPr>
          <w:cantSplit w:val="true"/>
        </w:trPr>
        <w:tc>
          <w:tcPr>
            <w:tcW w:type="dxa" w:w="1862"/>
          </w:tcPr>
          <w:p>
            <w:pPr>
              <w:spacing w:after="20" w:line="240" w:lineRule="auto"/>
            </w:pPr>
            <w:r>
              <w:rPr>
                <w:b/>
                <w:sz w:val="18"/>
              </w:rPr>
            </w:r>
            <w:r>
              <w:rPr>
                <w:b/>
                <w:sz w:val="18"/>
              </w:rPr>
              <w:t>MCP</w:t>
            </w:r>
          </w:p>
        </w:tc>
        <w:tc>
          <w:tcPr>
            <w:tcW w:type="dxa" w:w="7451"/>
          </w:tcPr>
          <w:p>
            <w:pPr>
              <w:spacing w:after="20" w:line="240" w:lineRule="auto"/>
            </w:pPr>
            <w:r>
              <w:rPr>
                <w:sz w:val="18"/>
              </w:rPr>
            </w:r>
            <w:r>
              <w:rPr>
                <w:sz w:val="18"/>
              </w:rPr>
              <w:t>Model Context Protocol: open standard for exposing tools, resources and prompts to AI applications.</w:t>
            </w:r>
          </w:p>
        </w:tc>
      </w:tr>
      <w:tr>
        <w:trPr>
          <w:cantSplit w:val="true"/>
        </w:trPr>
        <w:tc>
          <w:tcPr>
            <w:tcW w:type="dxa" w:w="1862"/>
            <w:shd w:val="clear" w:color="auto" w:fill="F2F6FA"/>
          </w:tcPr>
          <w:p>
            <w:pPr>
              <w:spacing w:after="20" w:line="240" w:lineRule="auto"/>
            </w:pPr>
            <w:r>
              <w:rPr>
                <w:b/>
                <w:sz w:val="18"/>
              </w:rPr>
            </w:r>
            <w:r>
              <w:rPr>
                <w:b/>
                <w:sz w:val="18"/>
              </w:rPr>
              <w:t>MoE</w:t>
            </w:r>
          </w:p>
        </w:tc>
        <w:tc>
          <w:tcPr>
            <w:tcW w:type="dxa" w:w="7451"/>
            <w:shd w:val="clear" w:color="auto" w:fill="F2F6FA"/>
          </w:tcPr>
          <w:p>
            <w:pPr>
              <w:spacing w:after="20" w:line="240" w:lineRule="auto"/>
            </w:pPr>
            <w:r>
              <w:rPr>
                <w:sz w:val="18"/>
              </w:rPr>
            </w:r>
            <w:r>
              <w:rPr>
                <w:sz w:val="18"/>
              </w:rPr>
              <w:t>Mixture-of-Experts: model architecture where only a subset of parameters is active per token.</w:t>
            </w:r>
          </w:p>
        </w:tc>
      </w:tr>
      <w:tr>
        <w:trPr>
          <w:cantSplit w:val="true"/>
        </w:trPr>
        <w:tc>
          <w:tcPr>
            <w:tcW w:type="dxa" w:w="1862"/>
          </w:tcPr>
          <w:p>
            <w:pPr>
              <w:spacing w:after="20" w:line="240" w:lineRule="auto"/>
            </w:pPr>
            <w:r>
              <w:rPr>
                <w:b/>
                <w:sz w:val="18"/>
              </w:rPr>
            </w:r>
            <w:r>
              <w:rPr>
                <w:b/>
                <w:sz w:val="18"/>
              </w:rPr>
              <w:t>Prefix caching</w:t>
            </w:r>
          </w:p>
        </w:tc>
        <w:tc>
          <w:tcPr>
            <w:tcW w:type="dxa" w:w="7451"/>
          </w:tcPr>
          <w:p>
            <w:pPr>
              <w:spacing w:after="20" w:line="240" w:lineRule="auto"/>
            </w:pPr>
            <w:r>
              <w:rPr>
                <w:sz w:val="18"/>
              </w:rPr>
            </w:r>
            <w:r>
              <w:rPr>
                <w:sz w:val="18"/>
              </w:rPr>
              <w:t>Reuse of computed KV cache for identical prompt prefixes across requests.</w:t>
            </w:r>
          </w:p>
        </w:tc>
      </w:tr>
      <w:tr>
        <w:trPr>
          <w:cantSplit w:val="true"/>
        </w:trPr>
        <w:tc>
          <w:tcPr>
            <w:tcW w:type="dxa" w:w="1862"/>
            <w:shd w:val="clear" w:color="auto" w:fill="F2F6FA"/>
          </w:tcPr>
          <w:p>
            <w:pPr>
              <w:spacing w:after="20" w:line="240" w:lineRule="auto"/>
            </w:pPr>
            <w:r>
              <w:rPr>
                <w:b/>
                <w:sz w:val="18"/>
              </w:rPr>
            </w:r>
            <w:r>
              <w:rPr>
                <w:b/>
                <w:sz w:val="18"/>
              </w:rPr>
              <w:t>RLS</w:t>
            </w:r>
          </w:p>
        </w:tc>
        <w:tc>
          <w:tcPr>
            <w:tcW w:type="dxa" w:w="7451"/>
            <w:shd w:val="clear" w:color="auto" w:fill="F2F6FA"/>
          </w:tcPr>
          <w:p>
            <w:pPr>
              <w:spacing w:after="20" w:line="240" w:lineRule="auto"/>
            </w:pPr>
            <w:r>
              <w:rPr>
                <w:sz w:val="18"/>
              </w:rPr>
            </w:r>
            <w:r>
              <w:rPr>
                <w:sz w:val="18"/>
              </w:rPr>
              <w:t>Row-level security in a database.</w:t>
            </w:r>
          </w:p>
        </w:tc>
      </w:tr>
      <w:tr>
        <w:trPr>
          <w:cantSplit w:val="true"/>
        </w:trPr>
        <w:tc>
          <w:tcPr>
            <w:tcW w:type="dxa" w:w="1862"/>
          </w:tcPr>
          <w:p>
            <w:pPr>
              <w:spacing w:after="20" w:line="240" w:lineRule="auto"/>
            </w:pPr>
            <w:r>
              <w:rPr>
                <w:b/>
                <w:sz w:val="18"/>
              </w:rPr>
            </w:r>
            <w:r>
              <w:rPr>
                <w:b/>
                <w:sz w:val="18"/>
              </w:rPr>
              <w:t>TTFT</w:t>
            </w:r>
          </w:p>
        </w:tc>
        <w:tc>
          <w:tcPr>
            <w:tcW w:type="dxa" w:w="7451"/>
          </w:tcPr>
          <w:p>
            <w:pPr>
              <w:spacing w:after="20" w:line="240" w:lineRule="auto"/>
            </w:pPr>
            <w:r>
              <w:rPr>
                <w:sz w:val="18"/>
              </w:rPr>
            </w:r>
            <w:r>
              <w:rPr>
                <w:sz w:val="18"/>
              </w:rPr>
              <w:t>Time to first token.</w:t>
            </w:r>
          </w:p>
        </w:tc>
      </w:tr>
      <w:tr>
        <w:trPr>
          <w:cantSplit w:val="true"/>
        </w:trPr>
        <w:tc>
          <w:tcPr>
            <w:tcW w:type="dxa" w:w="1862"/>
            <w:shd w:val="clear" w:color="auto" w:fill="F2F6FA"/>
          </w:tcPr>
          <w:p>
            <w:pPr>
              <w:spacing w:after="20" w:line="240" w:lineRule="auto"/>
            </w:pPr>
            <w:r>
              <w:rPr>
                <w:b/>
                <w:sz w:val="18"/>
              </w:rPr>
            </w:r>
            <w:r>
              <w:rPr>
                <w:b/>
                <w:sz w:val="18"/>
              </w:rPr>
              <w:t>TP / EP</w:t>
            </w:r>
          </w:p>
        </w:tc>
        <w:tc>
          <w:tcPr>
            <w:tcW w:type="dxa" w:w="7451"/>
            <w:shd w:val="clear" w:color="auto" w:fill="F2F6FA"/>
          </w:tcPr>
          <w:p>
            <w:pPr>
              <w:spacing w:after="20" w:line="240" w:lineRule="auto"/>
            </w:pPr>
            <w:r>
              <w:rPr>
                <w:sz w:val="18"/>
              </w:rPr>
            </w:r>
            <w:r>
              <w:rPr>
                <w:sz w:val="18"/>
              </w:rPr>
              <w:t>Tensor parallelism / expert parallelism across GPUs.</w:t>
            </w:r>
          </w:p>
        </w:tc>
      </w:tr>
    </w:tbl>
    <w:p>
      <w:pPr>
        <w:spacing w:after="80"/>
      </w:pPr>
    </w:p>
    <w:sectPr w:rsidR="00FC693F" w:rsidRPr="0006063C" w:rsidSect="00034616">
      <w:footerReference w:type="default" r:id="rId18"/>
      <w:pgSz w:w="11906" w:h="16838"/>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14" w:val="right"/>
        <w:tab w:pos="9360" w:val="clear"/>
      </w:tabs>
    </w:pPr>
    <w:r>
      <w:rPr>
        <w:color w:val="595959"/>
        <w:sz w:val="17"/>
      </w:rPr>
      <w:t>Internal  |  v1.0  |  19 Oct 2026</w:t>
      <w:tab/>
      <w:t xml:space="preserve">Page </w:t>
    </w:r>
    <w:r>
      <w:rPr>
        <w:sz w:val="17"/>
      </w:rPr>
      <w:fldChar w:fldCharType="begin"/>
      <w:instrText xml:space="preserve">PAGE</w:instrText>
      <w:fldChar w:fldCharType="separate"/>
      <w:t>1</w:t>
      <w:fldChar w:fldCharType="end"/>
    </w:r>
    <w:r>
      <w:rPr>
        <w:color w:val="595959"/>
        <w:sz w:val="17"/>
      </w:rPr>
      <w:t xml:space="preserve"> of </w:t>
    </w:r>
    <w:r>
      <w:rPr>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14246" w:val="right"/>
      </w:tabs>
    </w:pPr>
    <w:r>
      <w:rPr>
        <w:color w:val="595959"/>
        <w:sz w:val="17"/>
      </w:rPr>
      <w:t>Internal  |  v1.0  |  19 Oct 2026</w:t>
      <w:tab/>
      <w:t xml:space="preserve">Page </w:t>
    </w:r>
    <w:r>
      <w:rPr>
        <w:sz w:val="17"/>
      </w:rPr>
      <w:fldChar w:fldCharType="begin"/>
      <w:instrText xml:space="preserve">PAGE</w:instrText>
      <w:fldChar w:fldCharType="separate"/>
      <w:t>1</w:t>
      <w:fldChar w:fldCharType="end"/>
    </w:r>
    <w:r>
      <w:rPr>
        <w:color w:val="595959"/>
        <w:sz w:val="17"/>
      </w:rPr>
      <w:t xml:space="preserve"> of </w:t>
    </w:r>
    <w:r>
      <w:rPr>
        <w:sz w:val="17"/>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14" w:val="right"/>
        <w:tab w:pos="9360" w:val="clear"/>
      </w:tabs>
    </w:pPr>
    <w:r>
      <w:rPr>
        <w:color w:val="595959"/>
        <w:sz w:val="17"/>
      </w:rPr>
      <w:t>Internal  |  v1.0  |  19 Oct 2026</w:t>
      <w:tab/>
      <w:t xml:space="preserve">Page </w:t>
    </w:r>
    <w:r>
      <w:rPr>
        <w:sz w:val="17"/>
      </w:rPr>
      <w:fldChar w:fldCharType="begin"/>
      <w:instrText xml:space="preserve">PAGE</w:instrText>
      <w:fldChar w:fldCharType="separate"/>
      <w:t>1</w:t>
      <w:fldChar w:fldCharType="end"/>
    </w:r>
    <w:r>
      <w:rPr>
        <w:color w:val="595959"/>
        <w:sz w:val="17"/>
      </w:rPr>
      <w:t xml:space="preserve"> of </w:t>
    </w:r>
    <w:r>
      <w:rPr>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Self-Hosted Enterprise Agentic Runtime Environment - Reference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footer" Target="footer3.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Self-Hosted Enterprise Agentic Runtime Environment - Reference Architecture</dc:title>
  <dc:subject>Technical architecture</dc:subject>
  <dc:creator>Balakrishna Vundavalli</dc:creator>
  <cp:keywords>agentic AI, LLM, MCP, RAG, Kubernetes, self-hosted</cp:keywords>
  <dc:description>generated by python-docx</dc:description>
  <cp:lastModifiedBy/>
  <cp:revision>1</cp:revision>
  <dcterms:created xsi:type="dcterms:W3CDTF">2013-12-23T23:15:00Z</dcterms:created>
  <dcterms:modified xsi:type="dcterms:W3CDTF">2013-12-23T23:15:00Z</dcterms:modified>
  <cp:category/>
</cp:coreProperties>
</file>