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t>Refactor Tech Stack</w:t>
        <w:br/>
        <w:t>Design Report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t>Implementation status, superseded contracts and release gates for quotation V2.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t>Prepared for travel.ai</w:t>
              <w:br/>
              <w:t>August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t>Contents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 glance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findings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and conditions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Patterns in the evidence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placeholders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t>Executive summary</w:t>
      </w:r>
    </w:p>
    <w:p w14:paraId="00000018">
      <w:pPr>
        <w:rPr/>
      </w:pPr>
      <w:r>
        <w:t>The target architecture remains a modular FastAPI monolith on one VPS: Postgres owns canonical quotation/editor state and R2 owns binary media plus immutable publication HTML. This decision is implemented in the repository and remains the required operating model.</w:t>
      </w:r>
    </w:p>
    <w:p w14:paraId="00000019">
      <w:pPr>
        <w:rPr/>
      </w:pPr>
      <w:r>
        <w:t>The documentation is updated to distinguish implemented repository capabilities from unverified VPS, gateway, browser and destructive integration gates. Legacy V1 remains isolated and must not become a silent V2 fallback.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t>At a glance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Implemented: database/session/Alembic foundation, quotation documents and revisions, publication records, R2 storage adapter, Media Library taxonomy, Content Studio and Travel Designer persistence.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Current public display rule: quote-generator consumes resolved page view models, theme, view mode and color scope. It does not treat published HTML, editor chrome or raw brand data as a display source.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Outstanding operational proof: isolated R2/DB workflow gate, VPS Compose deployment, gateway/auth/browser checks, and visual regression fixtures against a rendered legacy prototype.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t>Context</w:t>
      </w:r>
    </w:p>
    <w:p w14:paraId="0000001F">
      <w:pPr>
        <w:rPr/>
      </w:pPr>
      <w:r>
        <w:t>Earlier plan wording described several now-existing modules as future work and described broad /api/v2/media endpoints as the main new write path. Those statements can misdirect implementation work.</w:t>
      </w:r>
    </w:p>
    <w:p w14:paraId="00000020">
      <w:pPr>
        <w:rPr/>
      </w:pPr>
      <w:r>
        <w:t>The newer Media Library contract is the authoritative R2 write path. Legacy media endpoints remain compatibility scope only. Publication HTML is immutable in R2; PDF is generated on demand from an immutable document revision.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t>Key findings</w:t>
      </w:r>
    </w:p>
    <w:p w14:paraId="00000022">
      <w:pPr>
        <w:rPr/>
      </w:pPr>
      <w:r>
        <w:t>The core architecture is directionally complete in code, but documentation needed a status layer and stricter boundaries between V2, legacy V1 and display-only systems.</w:t>
      </w:r>
    </w:p>
    <w:p w14:paraId="00000023">
      <w:pPr>
        <w:pStyle w:val="Heading2"/>
        <w:rPr/>
      </w:pPr>
      <w:r>
        <w:t>Source of truth</w:t>
      </w:r>
    </w:p>
    <w:p w14:paraId="00000024">
      <w:pPr>
        <w:rPr/>
      </w:pPr>
      <w:r>
        <w:t>Postgres is canonical for V2 documents, revisions, facts, content candidates, publication records and related metadata. R2 is canonical for binary objects and immutable/current HTML publication aliases. Local files are migration input, cache or legacy V1 material only.</w:t>
      </w:r>
    </w:p>
    <w:p w14:paraId="00000025">
      <w:pPr>
        <w:pStyle w:val="Heading2"/>
        <w:rPr/>
      </w:pPr>
      <w:r>
        <w:t>Workflow and publication</w:t>
      </w:r>
    </w:p>
    <w:p w14:paraId="00000026">
      <w:pPr>
        <w:rPr/>
      </w:pPr>
      <w:r>
        <w:t>Content candidates are server-persisted but become canonical only on explicit Apply with baseRevision protection. Publish reads the canonical document; it never accepts edited HTML as a V2 editor source.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t>Key takeaway. The next risk is operational verification, not selecting another architecture. Treat per-item migration output and real browser/gateway/R2 tests as release evidence.</w:t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t>Implications</w:t>
      </w:r>
    </w:p>
    <w:p w14:paraId="0000002B">
      <w:pPr>
        <w:rPr/>
      </w:pPr>
      <w:r>
        <w:t>New media/UI work must target media-library APIs and r2Key validation. Compose manifests and health routes are implementation evidence, not VPS deployment evidence. Quote-generator parity work must remain separate from editor tooling and legacy publication controls.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Observation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Implication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Architecture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FastAPI + Postgres + R2 on one VPS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Keep ownership.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Media API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Media Library is the R2 write path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Do not extend legacy APIs.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Release proof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VPS, browser and R2 evidence pending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t>Keep release gates.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t>Recommendations</w:t>
      </w:r>
    </w:p>
    <w:p w14:paraId="00000039">
      <w:pPr>
        <w:rPr/>
      </w:pPr>
      <w:r>
        <w:t>Use the updated README as the entry point and the implementation checklist as the status register. Preserve the detailed numbered files as contracts, with supersession notes rather than duplicate APIs.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Run the destructive V2 brochure workflow only against isolated Postgres/R2 credentials, then record its JSON report and per-item migration results before a cutover.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Add browser visual fixtures for the legacy prototype and quote-generator at desktop, tablet, mobile and A4 PDF before calling brochure parity complete.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t>Deploy through the Compose runbook only after Alembic succeeds; verify health, editor auth, R2 upload/select/sync and publication retrieval through the real gateway.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t>Conclusion</w:t>
      </w:r>
    </w:p>
    <w:p w14:paraId="0000003E">
      <w:pPr>
        <w:rPr/>
      </w:pPr>
      <w:r>
        <w:t>The architecture has not changed: one VPS, FastAPI, Postgres, R2 and Docker Compose. The documentation now makes clear what is implemented, what is compatibility-only and what still requires production proof.</w:t>
      </w:r>
    </w:p>
    <w:p w14:paraId="0000003F">
      <w:pPr>
        <w:rPr/>
      </w:pPr>
      <w:r>
        <w:t>This prevents the two recurring errors: treating legacy artifacts as V2 canonical state, and treating a local build or static review as a successful end-to-end release.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t>Appendix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t>Evidence used</w:t>
      </w:r>
    </w:p>
    <w:p w14:paraId="00000042">
      <w:pPr>
        <w:rPr/>
      </w:pPr>
      <w:r>
        <w:t>Repository evidence: db/session/models/repositories; Alembic revisions through 20260806_12; R2 storage and Media Library services; publication worker; Compose/Docker manifests; V2 routes in main.py.</w:t>
      </w:r>
    </w:p>
    <w:p w14:paraId="00000043">
      <w:pPr>
        <w:rPr/>
      </w:pPr>
      <w:r>
        <w:t>Documentation updated: README, target architecture, R2 media management, API/editor flow, migration/cutover, Docker/ops and implementation checklist.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t>Verification boundary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Local quote-generator lint and production build passed on 2026-08-05; this is not browser, gateway or VPS deployment verification.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V2 workflow gate: docs/plans/refactor-tech-stack/12-v2-brochure-workflow-gate.md.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Media contract: docs/plans/refactor-tech-stack/11-r2-media-file-contract.md.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t>Legacy V1 source precedence remains documented separately and is intentionally outside V2 canonical state.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t>Prepared from repository inspection on 2026-08-06. No production state was inferred from local files.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