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71: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-innerHTML</w:t>
      </w:r>
      <w:r>
        <w:rPr>
          <w:rFonts w:hint="default"/>
          <w:b w:val="0"/>
          <w:bCs w:val="0"/>
          <w:lang w:val="en-US"/>
        </w:rPr>
        <w:t xml:space="preserve"> sẽ in ra nội dung text và những thẻ trong div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innerText </w:t>
      </w:r>
      <w:r>
        <w:rPr>
          <w:rFonts w:hint="default"/>
          <w:b w:val="0"/>
          <w:bCs w:val="0"/>
          <w:lang w:val="en-US"/>
        </w:rPr>
        <w:t>sẽ in ra nội dung text không in ra nội dung của thẻ ẩn (do thẻ span có display: none, cái này dùng để ẩn thẻ span).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Câu 72: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-Vô hiệu hóa: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Document.getElementById(“Button”).disabled = true;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-Kích hoạt: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Document.getElementById(“Button”).disabled = false;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Câu 73: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Thuộc tính readonly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xác định rằng trường dữ liệu đầu vào chỉ có thể đọc (không thể bị thay đổi).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-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Thuộc tính disabled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xác định rằng trường dữ liệu đầu vào bị vô hiệu hóa, tức là không thể sử dụng, không thể click vào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và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giá trị cũng không được gửi khi biểu mẫu gửi đi.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Câu 74: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vòng lặp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là một loại cú pháp giúp ta lặp lại việc thực thi một đoạn mã nhiều lần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Câu 75: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-While: vòng lặp while lặp lại một khối mã miễn là điều kiện được chỉ định đánh giá là đúng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-Do…while: vòng lặp do…while lặp khối mã một lần .Sau đó đánh giá điều kiện . Nếu điều kiện đugs lặp lại khối mã miễn là điều kiện đúng.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-For: còng lặp thông qua một khối mã cho đến khi bộ đếm đạt đến một số được chỉ định.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55EAB"/>
    <w:rsid w:val="7B45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2022-08-28T06:18:00Z</dcterms:created>
  <dc:creator>SON VUONG</dc:creator>
  <cp:lastModifiedBy>SON VUONG</cp:lastModifiedBy>
  <dcterms:modified xsi:type="dcterms:W3CDTF">2022-08-28T06:48:19Z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D8E5287E53FF4B439BD173825FBFBBD3</vt:lpwstr>
  </property>
</Properties>
</file>