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394"/>
        <w:gridCol w:w="5669"/>
      </w:tblGrid>
      <w:tr>
        <w:tc>
          <w:tcPr>
            <w:tcW w:type="dxa" w:w="4394"/>
          </w:tcPr>
          <w:p>
            <w:pPr>
              <w:spacing w:before="0" w:after="0" w:line="240" w:lineRule="auto"/>
              <w:jc w:val="center"/>
            </w:pPr>
            <w:r>
              <w:rPr>
                <w:rFonts w:ascii="Times New Roman" w:hAnsi="Times New Roman"/>
                <w:b w:val="0"/>
                <w:i w:val="0"/>
                <w:sz w:val="26"/>
              </w:rPr>
              <w:t>CỤC LÂM NGHIỆP VÀ KIỂM LÂM</w:t>
            </w:r>
          </w:p>
          <w:p>
            <w:pPr>
              <w:spacing w:before="0" w:after="0" w:line="240" w:lineRule="auto"/>
              <w:jc w:val="center"/>
            </w:pPr>
            <w:r>
              <w:rPr>
                <w:rFonts w:ascii="Times New Roman" w:hAnsi="Times New Roman"/>
                <w:b/>
                <w:i w:val="0"/>
                <w:sz w:val="26"/>
              </w:rPr>
              <w:t>VƯỜN QUỐC GIA YOK ĐÔN</w:t>
            </w:r>
          </w:p>
          <w:p>
            <w:pPr>
              <w:spacing w:lineRule="exact" w:line="40" w:before="0" w:after="0"/>
              <w:jc w:val="center"/>
            </w:pPr>
            <w:r>
              <w:pict>
                <v:line style="width:85.03937007874016pt;height:0" from="0,0" to="85.03937007874016pt,0" strokecolor="black" strokeweight="0.5pt"/>
              </w:pict>
            </w:r>
          </w:p>
          <w:p>
            <w:pPr>
              <w:spacing w:before="300" w:after="0" w:line="240" w:lineRule="auto"/>
              <w:jc w:val="center"/>
            </w:pPr>
            <w:r>
              <w:rPr>
                <w:rFonts w:ascii="Times New Roman" w:hAnsi="Times New Roman"/>
                <w:b w:val="0"/>
                <w:i w:val="0"/>
                <w:sz w:val="26"/>
              </w:rPr>
              <w:t>Số: [...]/KH-VYD</w:t>
            </w:r>
          </w:p>
        </w:tc>
        <w:tc>
          <w:tcPr>
            <w:tcW w:type="dxa" w:w="5669"/>
          </w:tcPr>
          <w:p>
            <w:pPr>
              <w:spacing w:before="0" w:after="0" w:line="240" w:lineRule="auto"/>
              <w:jc w:val="center"/>
            </w:pPr>
            <w:r>
              <w:rPr>
                <w:rFonts w:ascii="Times New Roman" w:hAnsi="Times New Roman"/>
                <w:b/>
                <w:i w:val="0"/>
                <w:sz w:val="26"/>
              </w:rPr>
              <w:t>CỘNG HÒA XÃ HỘI CHỦ NGHĨA VIỆT NAM</w:t>
            </w:r>
          </w:p>
          <w:p>
            <w:pPr>
              <w:spacing w:before="0" w:after="0" w:line="240" w:lineRule="auto"/>
              <w:jc w:val="center"/>
            </w:pPr>
            <w:r>
              <w:rPr>
                <w:rFonts w:ascii="Times New Roman" w:hAnsi="Times New Roman"/>
                <w:b/>
                <w:i w:val="0"/>
                <w:sz w:val="28"/>
              </w:rPr>
              <w:t>Độc lập - Tự do - Hạnh phúc</w:t>
            </w:r>
          </w:p>
          <w:p>
            <w:pPr>
              <w:spacing w:lineRule="exact" w:line="40" w:before="0" w:after="0"/>
              <w:jc w:val="center"/>
            </w:pPr>
            <w:r>
              <w:pict>
                <v:line style="width:170.07874015748033pt;height:0" from="0,0" to="170.07874015748033pt,0" strokecolor="black" strokeweight="0.5pt"/>
              </w:pict>
            </w:r>
          </w:p>
          <w:p>
            <w:pPr>
              <w:spacing w:before="300" w:after="0" w:line="240" w:lineRule="auto"/>
              <w:jc w:val="center"/>
            </w:pPr>
            <w:r>
              <w:rPr>
                <w:rFonts w:ascii="Times New Roman" w:hAnsi="Times New Roman"/>
                <w:b w:val="0"/>
                <w:i/>
                <w:sz w:val="28"/>
              </w:rPr>
              <w:t>Đắk Lắk, ngày [...] tháng [...] năm 2026</w:t>
            </w:r>
          </w:p>
        </w:tc>
      </w:tr>
    </w:tbl>
    <w:p>
      <w:pPr>
        <w:spacing w:before="240" w:after="0" w:line="240" w:lineRule="auto"/>
      </w:pPr>
    </w:p>
    <w:p>
      <w:pPr>
        <w:spacing w:before="0" w:after="0" w:line="240" w:lineRule="auto"/>
        <w:jc w:val="center"/>
      </w:pPr>
      <w:r>
        <w:rPr>
          <w:rFonts w:ascii="Times New Roman" w:hAnsi="Times New Roman"/>
          <w:b/>
          <w:i w:val="0"/>
          <w:sz w:val="28"/>
        </w:rPr>
        <w:t>KẾ HOẠCH</w:t>
      </w:r>
    </w:p>
    <w:p>
      <w:pPr>
        <w:spacing w:before="0" w:after="240" w:line="240" w:lineRule="auto"/>
        <w:jc w:val="center"/>
      </w:pPr>
      <w:r>
        <w:rPr>
          <w:rFonts w:ascii="Times New Roman" w:hAnsi="Times New Roman"/>
          <w:b/>
          <w:i w:val="0"/>
          <w:sz w:val="28"/>
        </w:rPr>
        <w:t>Về việc phân công nhiệm vụ thực hiện Dự án "Hỗ trợ thực hiện Kế hoạch Hành động Quốc gia về Bảo tồn voi tại Việt Nam đến năm 2035, tầm nhìn 2050 (VECAP 2022)" tại Vườn quốc gia Yok Đôn</w:t>
      </w:r>
    </w:p>
    <w:p>
      <w:pPr>
        <w:spacing w:before="120" w:after="120" w:line="240" w:lineRule="auto"/>
        <w:ind w:firstLine="720"/>
        <w:jc w:val="both"/>
      </w:pPr>
      <w:r>
        <w:rPr>
          <w:rFonts w:ascii="Times New Roman" w:hAnsi="Times New Roman"/>
          <w:b w:val="0"/>
          <w:i/>
          <w:sz w:val="28"/>
        </w:rPr>
        <w:t>Căn cứ Quyết định phê duyệt Văn kiện dự án số 1802/QĐ-BNNMT ngày 19/5/2026 của Bộ Nông nghiệp và Môi trường phê duyệt Dự án "Hỗ trợ thực hiện Kế hoạch Hành động Quốc gia về Bảo tồn voi tại Việt Nam đến năm 2035, tầm nhìn 2050 (VECAP 2022)";</w:t>
      </w:r>
    </w:p>
    <w:p>
      <w:pPr>
        <w:spacing w:before="120" w:after="120" w:line="240" w:lineRule="auto"/>
        <w:ind w:firstLine="720"/>
        <w:jc w:val="both"/>
      </w:pPr>
      <w:r>
        <w:rPr>
          <w:rFonts w:ascii="Times New Roman" w:hAnsi="Times New Roman"/>
          <w:b w:val="0"/>
          <w:i/>
          <w:sz w:val="28"/>
        </w:rPr>
        <w:t>Căn cứ Quyết định số 1188/QĐ-BNNMT ngày 28/4/2025 của Bộ trưởng Bộ Nông nghiệp và Môi trường quy định chức năng, nhiệm vụ, quyền hạn và cơ cấu tổ chức của Vườn quốc gia Yok Đôn trực thuộc Cục Lâm nghiệp và Kiểm lâm;</w:t>
      </w:r>
    </w:p>
    <w:p>
      <w:pPr>
        <w:spacing w:before="120" w:after="120" w:line="240" w:lineRule="auto"/>
        <w:ind w:firstLine="720"/>
        <w:jc w:val="both"/>
      </w:pPr>
      <w:r>
        <w:rPr>
          <w:rFonts w:ascii="Times New Roman" w:hAnsi="Times New Roman"/>
          <w:b w:val="0"/>
          <w:i/>
          <w:sz w:val="28"/>
        </w:rPr>
        <w:t>Căn cứ Nghị định số 313/2025/NĐ-CP ngày 08/12/2025 của Chính phủ về quản lý và sử dụng viện trợ không hoàn lại không thuộc hỗ trợ phát triển chính thức của cơ quan, tổ chức, cá nhân nước ngoài dành cho Việt Nam;</w:t>
      </w:r>
    </w:p>
    <w:p>
      <w:pPr>
        <w:spacing w:before="120" w:after="120" w:line="240" w:lineRule="auto"/>
        <w:ind w:firstLine="720"/>
        <w:jc w:val="both"/>
      </w:pPr>
      <w:r>
        <w:rPr>
          <w:rFonts w:ascii="Times New Roman" w:hAnsi="Times New Roman"/>
          <w:b w:val="0"/>
          <w:i w:val="0"/>
          <w:sz w:val="28"/>
        </w:rPr>
        <w:t>Để triển khai kịp thời, đồng bộ và hiệu quả các hoạt động của Dự án "Hỗ trợ thực hiện Kế hoạch Hành động Quốc gia về Bảo tồn voi tại Việt Nam đến năm 2035, tầm nhìn 2050 (VECAP 2022)" (sau đây viết tắt là Dự án) thuộc trách nhiệm và phạm vi được giao cho Vườn quốc gia Yok Đôn theo chức năng nhiệm vụ mới được ban hành tại Quyết định số 1188/QĐ-BNNMT; Vườn quốc gia Yok Đôn xây dựng Kế hoạch phân công nhiệm vụ cho các phòng, đơn vị trực thuộc triển khai thực hiện với các nội dung chi tiết như sau:</w:t>
      </w:r>
    </w:p>
    <w:p>
      <w:pPr>
        <w:spacing w:before="120" w:after="120" w:line="240" w:lineRule="auto"/>
        <w:ind w:firstLine="720"/>
        <w:jc w:val="both"/>
      </w:pPr>
      <w:r>
        <w:rPr>
          <w:rFonts w:ascii="Times New Roman" w:hAnsi="Times New Roman"/>
          <w:b/>
          <w:i w:val="0"/>
          <w:sz w:val="28"/>
        </w:rPr>
        <w:t>I. MỤC TIÊU VÀ YÊU CẦU</w:t>
      </w:r>
    </w:p>
    <w:p>
      <w:pPr>
        <w:spacing w:before="120" w:after="120" w:line="240" w:lineRule="auto"/>
        <w:ind w:firstLine="720"/>
        <w:jc w:val="both"/>
      </w:pPr>
      <w:r>
        <w:rPr>
          <w:rFonts w:ascii="Times New Roman" w:hAnsi="Times New Roman"/>
          <w:b/>
          <w:i w:val="0"/>
          <w:sz w:val="28"/>
        </w:rPr>
        <w:t>1. Mục tiêu</w:t>
      </w:r>
    </w:p>
    <w:p>
      <w:pPr>
        <w:spacing w:before="120" w:after="120" w:line="240" w:lineRule="auto"/>
        <w:ind w:firstLine="720"/>
        <w:jc w:val="both"/>
      </w:pPr>
      <w:r>
        <w:rPr>
          <w:rFonts w:ascii="Times New Roman" w:hAnsi="Times New Roman"/>
          <w:b w:val="0"/>
          <w:i w:val="0"/>
          <w:sz w:val="28"/>
        </w:rPr>
        <w:t>- Triển khai đầy đủ, đúng tiến độ và đạt hiệu quả cao nhất các hoạt động của Dự án do Vườn quốc gia Yok Đôn chủ trì hoặc phối hợp thực hiện theo đúng Văn kiện dự án đã được phê duyệt tại Quyết định số 1802/QĐ-BNNMT.</w:t>
      </w:r>
    </w:p>
    <w:p>
      <w:pPr>
        <w:spacing w:before="120" w:after="120" w:line="240" w:lineRule="auto"/>
        <w:ind w:firstLine="720"/>
        <w:jc w:val="both"/>
      </w:pPr>
      <w:r>
        <w:rPr>
          <w:rFonts w:ascii="Times New Roman" w:hAnsi="Times New Roman"/>
          <w:b w:val="0"/>
          <w:i w:val="0"/>
          <w:sz w:val="28"/>
        </w:rPr>
        <w:t>- Thiết lập cơ chế chỉ đạo điều hành tập trung, quản lý tài chính và phối hợp liên ngành chặt chẽ giữa các phòng chuyên môn, đơn vị trực thuộc của Vườn với Nhà tài trợ (WWF-Việt Nam), Trung tâm Bảo tồn Voi Đắk Lắk và các đối tác liên quan.</w:t>
      </w:r>
    </w:p>
    <w:p>
      <w:pPr>
        <w:spacing w:before="120" w:after="120" w:line="240" w:lineRule="auto"/>
        <w:ind w:firstLine="720"/>
        <w:jc w:val="both"/>
      </w:pPr>
      <w:r>
        <w:rPr>
          <w:rFonts w:ascii="Times New Roman" w:hAnsi="Times New Roman"/>
          <w:b w:val="0"/>
          <w:i w:val="0"/>
          <w:sz w:val="28"/>
        </w:rPr>
        <w:t>- Tăng cường năng lực chuyên môn cho lực lượng kiểm lâm, bảo vệ rừng và cán bộ kỹ thuật của Vườn trong công tác quản lý, giám sát và bảo tồn quần thể voi hoang dã.</w:t>
      </w:r>
    </w:p>
    <w:p>
      <w:pPr>
        <w:spacing w:before="120" w:after="120" w:line="240" w:lineRule="auto"/>
        <w:ind w:firstLine="720"/>
        <w:jc w:val="both"/>
      </w:pPr>
      <w:r>
        <w:rPr>
          <w:rFonts w:ascii="Times New Roman" w:hAnsi="Times New Roman"/>
          <w:b/>
          <w:i w:val="0"/>
          <w:sz w:val="28"/>
        </w:rPr>
        <w:t>2. Yêu cầu</w:t>
      </w:r>
    </w:p>
    <w:p>
      <w:pPr>
        <w:spacing w:before="120" w:after="120" w:line="240" w:lineRule="auto"/>
        <w:ind w:firstLine="720"/>
        <w:jc w:val="both"/>
      </w:pPr>
      <w:r>
        <w:rPr>
          <w:rFonts w:ascii="Times New Roman" w:hAnsi="Times New Roman"/>
          <w:b w:val="0"/>
          <w:i w:val="0"/>
          <w:sz w:val="28"/>
        </w:rPr>
        <w:t>- Xác định cụ thể vai trò chủ trì và trách nhiệm phối hợp của từng phòng chuyên môn, đơn vị trực thuộc đối với từng hoạt động của Dự án; đảm bảo sự phối hợp đồng bộ, chặt chẽ, không chồng chéo hoặc bỏ sót nhiệm vụ.</w:t>
      </w:r>
    </w:p>
    <w:p>
      <w:pPr>
        <w:spacing w:before="120" w:after="120" w:line="240" w:lineRule="auto"/>
        <w:ind w:firstLine="720"/>
        <w:jc w:val="both"/>
      </w:pPr>
      <w:r>
        <w:rPr>
          <w:rFonts w:ascii="Times New Roman" w:hAnsi="Times New Roman"/>
          <w:b w:val="0"/>
          <w:i w:val="0"/>
          <w:sz w:val="28"/>
        </w:rPr>
        <w:t>- Quản lý, sử dụng nguồn vốn viện trợ và tài sản của Dự án đúng mục tiêu, hiệu quả, chống lãng phí, tuân thủ đúng quy định pháp luật Việt Nam (đặc biệt là Nghị định 313/2025/NĐ-CP) và các cam kết với nhà tài trợ WWF.</w:t>
      </w:r>
    </w:p>
    <w:p>
      <w:pPr>
        <w:spacing w:before="120" w:after="120" w:line="240" w:lineRule="auto"/>
        <w:ind w:firstLine="720"/>
        <w:jc w:val="both"/>
      </w:pPr>
      <w:r>
        <w:rPr>
          <w:rFonts w:ascii="Times New Roman" w:hAnsi="Times New Roman"/>
          <w:b/>
          <w:i w:val="0"/>
          <w:sz w:val="28"/>
        </w:rPr>
        <w:t>II. THÀNH LẬP BAN QUẢN LÝ DỰ ÁN CẤP VƯỜN</w:t>
      </w:r>
    </w:p>
    <w:p>
      <w:pPr>
        <w:spacing w:before="120" w:after="120" w:line="240" w:lineRule="auto"/>
        <w:ind w:firstLine="720"/>
        <w:jc w:val="both"/>
      </w:pPr>
      <w:r>
        <w:rPr>
          <w:rFonts w:ascii="Times New Roman" w:hAnsi="Times New Roman"/>
          <w:b w:val="0"/>
          <w:i w:val="0"/>
          <w:sz w:val="28"/>
        </w:rPr>
        <w:t>Để tổ chức thực hiện các hoạt động của Dự án một cách thống nhất và hiệu quả, Vườn quốc gia Yok Đôn thành lập Ban Quản lý Dự án (BQLDA) kiêm nhiệm gồm các thành phần sau:</w:t>
      </w:r>
    </w:p>
    <w:p>
      <w:pPr>
        <w:spacing w:before="120" w:after="120" w:line="240" w:lineRule="auto"/>
        <w:ind w:firstLine="720"/>
        <w:jc w:val="both"/>
      </w:pPr>
      <w:r>
        <w:rPr>
          <w:rFonts w:ascii="Times New Roman" w:hAnsi="Times New Roman"/>
          <w:b w:val="0"/>
          <w:i w:val="0"/>
          <w:sz w:val="28"/>
        </w:rPr>
        <w:t>- Trưởng ban: Giám đốc Vườn quốc gia Yok Đôn (Phạm Tuấn Linh) - Chỉ đạo chung toàn bộ các hoạt động của Vườn tham gia thực hiện Dự án.</w:t>
      </w:r>
    </w:p>
    <w:p>
      <w:pPr>
        <w:spacing w:before="120" w:after="120" w:line="240" w:lineRule="auto"/>
        <w:ind w:firstLine="720"/>
        <w:jc w:val="both"/>
      </w:pPr>
      <w:r>
        <w:rPr>
          <w:rFonts w:ascii="Times New Roman" w:hAnsi="Times New Roman"/>
          <w:b w:val="0"/>
          <w:i w:val="0"/>
          <w:sz w:val="28"/>
        </w:rPr>
        <w:t>- Phó Trưởng ban thường trực: Phó Giám đốc phụ trách Kỹ thuật (Huỳnh Nghĩa Hiệp) - Trực tiếp điều hành, đôn đốc các hoạt động chuyên môn, khoa học, bảo tồn voi và đối ngoại liên quan đến Dự án.</w:t>
      </w:r>
    </w:p>
    <w:p>
      <w:pPr>
        <w:spacing w:before="120" w:after="120" w:line="240" w:lineRule="auto"/>
        <w:ind w:firstLine="720"/>
        <w:jc w:val="both"/>
      </w:pPr>
      <w:r>
        <w:rPr>
          <w:rFonts w:ascii="Times New Roman" w:hAnsi="Times New Roman"/>
          <w:b w:val="0"/>
          <w:i w:val="0"/>
          <w:sz w:val="28"/>
        </w:rPr>
        <w:t>- Phó Trưởng ban: Phó Giám đốc phụ trách Kiểm lâm (Nguyễn Thiện Hoàn) - Trực tiếp chỉ đạo công tác tuần tra bảo vệ rừng, ngăn chặn xâm hại sinh cảnh voi và công tác tập huấn nâng cao năng lực cho lực lượng bảo vệ rừng.</w:t>
      </w:r>
    </w:p>
    <w:p>
      <w:pPr>
        <w:spacing w:before="120" w:after="120" w:line="240" w:lineRule="auto"/>
        <w:ind w:firstLine="720"/>
        <w:jc w:val="both"/>
      </w:pPr>
      <w:r>
        <w:rPr>
          <w:rFonts w:ascii="Times New Roman" w:hAnsi="Times New Roman"/>
          <w:b w:val="0"/>
          <w:i w:val="0"/>
          <w:sz w:val="28"/>
        </w:rPr>
        <w:t>- Các Thành viên: Trưởng phòng Khoa học và Hợp tác quốc tế; Trưởng phòng Tổ chức, Hành chính; Trưởng phòng Kế hoạch, Tài chính; Phó Hạt trưởng Hạt Kiểm lâm; Giám đốc Trung tâm Giáo dục môi trường và Dịch vụ.</w:t>
      </w:r>
    </w:p>
    <w:p>
      <w:pPr>
        <w:spacing w:before="120" w:after="120" w:line="240" w:lineRule="auto"/>
        <w:ind w:firstLine="720"/>
        <w:jc w:val="both"/>
      </w:pPr>
      <w:r>
        <w:rPr>
          <w:rFonts w:ascii="Times New Roman" w:hAnsi="Times New Roman"/>
          <w:b w:val="0"/>
          <w:i w:val="0"/>
          <w:sz w:val="28"/>
        </w:rPr>
        <w:t>BQLDA có trách nhiệm xây dựng Kế hoạch hoạt động và tài chính chi tiết hàng năm phối hợp với WWF-Việt Nam; tổ chức kiểm tra, giám sát tiến độ thực hiện; tổng hợp báo cáo định kỳ và đột xuất cho Cục Lâm nghiệp và Kiểm lâm theo quy định.</w:t>
      </w:r>
    </w:p>
    <w:p>
      <w:pPr>
        <w:spacing w:before="120" w:after="120" w:line="240" w:lineRule="auto"/>
        <w:ind w:firstLine="720"/>
        <w:jc w:val="both"/>
      </w:pPr>
      <w:r>
        <w:rPr>
          <w:rFonts w:ascii="Times New Roman" w:hAnsi="Times New Roman"/>
          <w:b/>
          <w:i w:val="0"/>
          <w:sz w:val="28"/>
        </w:rPr>
        <w:t>III. PHÂN CÔNG NHIỆM VỤ CỤ THỂ CHO CÁC PHÒNG, ĐƠN VỊ</w:t>
      </w:r>
    </w:p>
    <w:p>
      <w:pPr>
        <w:spacing w:before="120" w:after="120" w:line="240" w:lineRule="auto"/>
        <w:ind w:firstLine="720"/>
        <w:jc w:val="both"/>
      </w:pPr>
      <w:r>
        <w:rPr>
          <w:rFonts w:ascii="Times New Roman" w:hAnsi="Times New Roman"/>
          <w:b/>
          <w:i w:val="0"/>
          <w:sz w:val="28"/>
        </w:rPr>
        <w:t>1. Phòng Khoa học và Hợp tác quốc tế (KH&amp;HTQT)</w:t>
      </w:r>
    </w:p>
    <w:p>
      <w:pPr>
        <w:spacing w:before="120" w:after="120" w:line="240" w:lineRule="auto"/>
        <w:ind w:firstLine="720"/>
        <w:jc w:val="both"/>
      </w:pPr>
      <w:r>
        <w:rPr>
          <w:rFonts w:ascii="Times New Roman" w:hAnsi="Times New Roman"/>
          <w:b w:val="0"/>
          <w:i w:val="0"/>
          <w:sz w:val="28"/>
        </w:rPr>
        <w:t>- Làm đầu mối thường trực của BQLDA, chịu trách nhiệm kết nối, trao đổi thông tin kỹ thuật với WWF-Việt Nam, Cục Lâm nghiệp và Kiểm lâm, Nhóm chuyên gia Voi châu Á của IUCN và các cơ quan chuyên môn khác.</w:t>
      </w:r>
    </w:p>
    <w:p>
      <w:pPr>
        <w:spacing w:before="120" w:after="120" w:line="240" w:lineRule="auto"/>
        <w:ind w:firstLine="720"/>
        <w:jc w:val="both"/>
      </w:pPr>
      <w:r>
        <w:rPr>
          <w:rFonts w:ascii="Times New Roman" w:hAnsi="Times New Roman"/>
          <w:b w:val="0"/>
          <w:i w:val="0"/>
          <w:sz w:val="28"/>
        </w:rPr>
        <w:t>- Chủ trì tham mưu chuyên môn kỹ thuật cho Hoạt động 1 (Giám sát voi bằng bẫy ảnh): phối hợp với WWF và IUCN xây dựng Quy trình vận hành tiêu chuẩn (SOP) về giám sát voi; quản lý, xử lý và phân tích cơ sở dữ liệu ảnh ghi nhận được trước khi chia sẻ phối hợp phân tích di truyền; phối hợp với Hạt Kiểm lâm triển khai ngoài hiện trường.</w:t>
      </w:r>
    </w:p>
    <w:p>
      <w:pPr>
        <w:spacing w:before="120" w:after="120" w:line="240" w:lineRule="auto"/>
        <w:ind w:firstLine="720"/>
        <w:jc w:val="both"/>
      </w:pPr>
      <w:r>
        <w:rPr>
          <w:rFonts w:ascii="Times New Roman" w:hAnsi="Times New Roman"/>
          <w:b w:val="0"/>
          <w:i w:val="0"/>
          <w:sz w:val="28"/>
        </w:rPr>
        <w:t>- Chủ trì tham mưu triển khai thực hiện Hoạt động 12: Xây dựng và thí điểm mô hình trình diễn sinh kế cho cộng đồng trong khu vực có xung đột voi-người (ngân sách 65.000 USD), phối hợp với Trung tâm Giáo dục môi trường và Dịch vụ, Hạt Kiểm lâm lồng ghép hiệu quả vào chương trình phát triển cộng đồng hàng năm của Vườn.</w:t>
      </w:r>
    </w:p>
    <w:p>
      <w:pPr>
        <w:spacing w:before="120" w:after="120" w:line="240" w:lineRule="auto"/>
        <w:ind w:firstLine="720"/>
        <w:jc w:val="both"/>
      </w:pPr>
      <w:r>
        <w:rPr>
          <w:rFonts w:ascii="Times New Roman" w:hAnsi="Times New Roman"/>
          <w:b w:val="0"/>
          <w:i w:val="0"/>
          <w:sz w:val="28"/>
        </w:rPr>
        <w:t>- Phối hợp với Trung tâm Bảo tồn Voi Đắk Lắk tham mưu kế hoạch và triển khai thí điểm Hoạt động 5: Đeo vòng cổ định vị GPS cho cá thể voi hoang dã bị thương (Cu Sứt) kết hợp cứu hộ và chăm sóc thú y.</w:t>
      </w:r>
    </w:p>
    <w:p>
      <w:pPr>
        <w:spacing w:before="120" w:after="120" w:line="240" w:lineRule="auto"/>
        <w:ind w:firstLine="720"/>
        <w:jc w:val="both"/>
      </w:pPr>
      <w:r>
        <w:rPr>
          <w:rFonts w:ascii="Times New Roman" w:hAnsi="Times New Roman"/>
          <w:b w:val="0"/>
          <w:i w:val="0"/>
          <w:sz w:val="28"/>
        </w:rPr>
        <w:t>- Chủ trì phối hợp thực hiện Hoạt động 9: Tổ chức các chuyến công tác, trao đổi kinh nghiệm, kỹ thuật và thông tin về bảo tồn voi biên giới giữa Vườn quốc gia Yok Đôn với Khu bảo tồn động vật hoang dã Srêpôk và tỉnh Mondulkiri (Campuchia).</w:t>
      </w:r>
    </w:p>
    <w:p>
      <w:pPr>
        <w:spacing w:before="120" w:after="120" w:line="240" w:lineRule="auto"/>
        <w:ind w:firstLine="720"/>
        <w:jc w:val="both"/>
      </w:pPr>
      <w:r>
        <w:rPr>
          <w:rFonts w:ascii="Times New Roman" w:hAnsi="Times New Roman"/>
          <w:b w:val="0"/>
          <w:i w:val="0"/>
          <w:sz w:val="28"/>
        </w:rPr>
        <w:t>- Phối hợp với Hạt Kiểm lâm và các bên liên quan xây dựng mô hình cải tạo sinh cảnh sống cho voi (bổ sung nguồn thức ăn, muối khoáng, nguồn nước - Hoạt động 8).</w:t>
      </w:r>
    </w:p>
    <w:p>
      <w:pPr>
        <w:spacing w:before="120" w:after="120" w:line="240" w:lineRule="auto"/>
        <w:ind w:firstLine="720"/>
        <w:jc w:val="both"/>
      </w:pPr>
      <w:r>
        <w:rPr>
          <w:rFonts w:ascii="Times New Roman" w:hAnsi="Times New Roman"/>
          <w:b w:val="0"/>
          <w:i w:val="0"/>
          <w:sz w:val="28"/>
        </w:rPr>
        <w:t>- Cử cán bộ kỹ thuật tham gia các khóa đào tạo chuyên sâu về bảo tồn voi, truyền thông và quản lý xung đột (Hoạt động 16).</w:t>
      </w:r>
    </w:p>
    <w:p>
      <w:pPr>
        <w:spacing w:before="120" w:after="120" w:line="240" w:lineRule="auto"/>
        <w:ind w:firstLine="720"/>
        <w:jc w:val="both"/>
      </w:pPr>
      <w:r>
        <w:rPr>
          <w:rFonts w:ascii="Times New Roman" w:hAnsi="Times New Roman"/>
          <w:b/>
          <w:i w:val="0"/>
          <w:sz w:val="28"/>
        </w:rPr>
        <w:t>2. Hạt Kiểm lâm Vườn quốc gia Yok Đôn</w:t>
      </w:r>
    </w:p>
    <w:p>
      <w:pPr>
        <w:spacing w:before="120" w:after="120" w:line="240" w:lineRule="auto"/>
        <w:ind w:firstLine="720"/>
        <w:jc w:val="both"/>
      </w:pPr>
      <w:r>
        <w:rPr>
          <w:rFonts w:ascii="Times New Roman" w:hAnsi="Times New Roman"/>
          <w:b w:val="0"/>
          <w:i w:val="0"/>
          <w:sz w:val="28"/>
        </w:rPr>
        <w:t>- Chủ trì thực hiện hiện trường Hoạt động 1 (Giám sát voi bằng bẫy ảnh): bố trí lực lượng kiểm lâm, trạm kiểm lâm tiến hành khảo sát địa bàn, lắp đặt, kiểm tra, bảo vệ và thu hồi bẫy ảnh tại các sinh cảnh thích hợp trong mùa khô; phối hợp với phòng KH&amp;HTQT quản lý dữ liệu hình ảnh thu được.</w:t>
      </w:r>
    </w:p>
    <w:p>
      <w:pPr>
        <w:spacing w:before="120" w:after="120" w:line="240" w:lineRule="auto"/>
        <w:ind w:firstLine="720"/>
        <w:jc w:val="both"/>
      </w:pPr>
      <w:r>
        <w:rPr>
          <w:rFonts w:ascii="Times New Roman" w:hAnsi="Times New Roman"/>
          <w:b w:val="0"/>
          <w:i w:val="0"/>
          <w:sz w:val="28"/>
        </w:rPr>
        <w:t>- Chủ trì phối hợp với Phòng Tổ chức, Hành chính tổ chức triển khai Hoạt động 7: Tập huấn nâng cao năng lực tuần tra, quản lý bảo vệ rừng theo Khung năng lực Kiểm lâm toàn cầu cho cán bộ Vườn và lực lượng bảo vệ rừng của các chủ rừng lân cận (ngân sách 156.303 USD); chịu trách nhiệm nội dung chuyên môn về kỹ năng tuần tra, quản lý bảo vệ rừng.</w:t>
      </w:r>
    </w:p>
    <w:p>
      <w:pPr>
        <w:spacing w:before="120" w:after="120" w:line="240" w:lineRule="auto"/>
        <w:ind w:firstLine="720"/>
        <w:jc w:val="both"/>
      </w:pPr>
      <w:r>
        <w:rPr>
          <w:rFonts w:ascii="Times New Roman" w:hAnsi="Times New Roman"/>
          <w:b w:val="0"/>
          <w:i w:val="0"/>
          <w:sz w:val="28"/>
        </w:rPr>
        <w:t>- Bố trí lực lượng tham gia Tổ công tác liên ngành của tỉnh Đắk Lắk xác định nguyên nhân các cá thể voi chết (khám nghiệm hiện trường, tử thi, thu thập mẫu phân tích - Hoạt động 4) khi có vụ việc xảy ra trên địa bàn quản lý của Vườn.</w:t>
      </w:r>
    </w:p>
    <w:p>
      <w:pPr>
        <w:spacing w:before="120" w:after="120" w:line="240" w:lineRule="auto"/>
        <w:ind w:firstLine="720"/>
        <w:jc w:val="both"/>
      </w:pPr>
      <w:r>
        <w:rPr>
          <w:rFonts w:ascii="Times New Roman" w:hAnsi="Times New Roman"/>
          <w:b w:val="0"/>
          <w:i w:val="0"/>
          <w:sz w:val="28"/>
        </w:rPr>
        <w:t>- Phối hợp với Trung tâm Bảo tồn Voi Đắk Lắk ký kết và triển khai hiệu quả Quy chế phối hợp bảo vệ rừng hành lang di chuyển của voi hoang dã (Hoạt động 6) nhằm ngăn chặn các hành vi xâm hại, tàn phá sinh cảnh.</w:t>
      </w:r>
    </w:p>
    <w:p>
      <w:pPr>
        <w:spacing w:before="120" w:after="120" w:line="240" w:lineRule="auto"/>
        <w:ind w:firstLine="720"/>
        <w:jc w:val="both"/>
      </w:pPr>
      <w:r>
        <w:rPr>
          <w:rFonts w:ascii="Times New Roman" w:hAnsi="Times New Roman"/>
          <w:b w:val="0"/>
          <w:i w:val="0"/>
          <w:sz w:val="28"/>
        </w:rPr>
        <w:t>- Chủ trì tổ chức tuần tra, bảo vệ hiện trường xung quanh các mô hình cải cải tạo sinh cảnh sống của voi (điểm bổ sung muối khoáng, hố nước - Hoạt động 8) nhằm giảm thiểu áp lực săn bắt, tác động của con người.</w:t>
      </w:r>
    </w:p>
    <w:p>
      <w:pPr>
        <w:spacing w:before="120" w:after="120" w:line="240" w:lineRule="auto"/>
        <w:ind w:firstLine="720"/>
        <w:jc w:val="both"/>
      </w:pPr>
      <w:r>
        <w:rPr>
          <w:rFonts w:ascii="Times New Roman" w:hAnsi="Times New Roman"/>
          <w:b w:val="0"/>
          <w:i w:val="0"/>
          <w:sz w:val="28"/>
        </w:rPr>
        <w:t>- Phối hợp với Trung tâm Bảo tồn Voi Đắk Lắk và chính quyền các xã vùng đệm xây dựng và vận hành các tổ/đội phản ứng nhanh cấp thôn nhằm quản lý, xua đuổi voi và giảm thiểu xung đột voi-người (Hoạt động 11).</w:t>
      </w:r>
    </w:p>
    <w:p>
      <w:pPr>
        <w:spacing w:before="120" w:after="120" w:line="240" w:lineRule="auto"/>
        <w:ind w:firstLine="720"/>
        <w:jc w:val="both"/>
      </w:pPr>
      <w:r>
        <w:rPr>
          <w:rFonts w:ascii="Times New Roman" w:hAnsi="Times New Roman"/>
          <w:b w:val="0"/>
          <w:i w:val="0"/>
          <w:sz w:val="28"/>
        </w:rPr>
        <w:t>- Cử cán bộ kiểm lâm tham gia tập huấn kỹ năng an toàn khi gặp voi và làm tiểu giáo viên tập huấn lại cho cộng đồng vùng đệm (Hoạt động 14).</w:t>
      </w:r>
    </w:p>
    <w:p>
      <w:pPr>
        <w:spacing w:before="120" w:after="120" w:line="240" w:lineRule="auto"/>
        <w:ind w:firstLine="720"/>
        <w:jc w:val="both"/>
      </w:pPr>
      <w:r>
        <w:rPr>
          <w:rFonts w:ascii="Times New Roman" w:hAnsi="Times New Roman"/>
          <w:b/>
          <w:i w:val="0"/>
          <w:sz w:val="28"/>
        </w:rPr>
        <w:t>3. Phòng Tổ chức, Hành chính (TCHC)</w:t>
      </w:r>
    </w:p>
    <w:p>
      <w:pPr>
        <w:spacing w:before="120" w:after="120" w:line="240" w:lineRule="auto"/>
        <w:ind w:firstLine="720"/>
        <w:jc w:val="both"/>
      </w:pPr>
      <w:r>
        <w:rPr>
          <w:rFonts w:ascii="Times New Roman" w:hAnsi="Times New Roman"/>
          <w:b w:val="0"/>
          <w:i w:val="0"/>
          <w:sz w:val="28"/>
        </w:rPr>
        <w:t>- Tham mưu ban hành Quyết định thành lập Ban Quản lý Dự án kiêm nhiệm cấp Vườn và phân công nhiệm vụ cụ thể cho các thành viên.</w:t>
      </w:r>
    </w:p>
    <w:p>
      <w:pPr>
        <w:spacing w:before="120" w:after="120" w:line="240" w:lineRule="auto"/>
        <w:ind w:firstLine="720"/>
        <w:jc w:val="both"/>
      </w:pPr>
      <w:r>
        <w:rPr>
          <w:rFonts w:ascii="Times New Roman" w:hAnsi="Times New Roman"/>
          <w:b w:val="0"/>
          <w:i w:val="0"/>
          <w:sz w:val="28"/>
        </w:rPr>
        <w:t>- Chủ trì phối hợp với Hạt Kiểm lâm thực hiện Hoạt động 7: Xây dựng các quyết định cử cán bộ tham gia huấn luyện theo Khung năng lực Kiểm lâm toàn cầu; chuẩn bị công tác hậu cần, quản lý hồ sơ nhân sự tham gia đào tạo, thi đua khen thưởng và điều phối lớp học.</w:t>
      </w:r>
    </w:p>
    <w:p>
      <w:pPr>
        <w:spacing w:before="120" w:after="120" w:line="240" w:lineRule="auto"/>
        <w:ind w:firstLine="720"/>
        <w:jc w:val="both"/>
      </w:pPr>
      <w:r>
        <w:rPr>
          <w:rFonts w:ascii="Times New Roman" w:hAnsi="Times New Roman"/>
          <w:b w:val="0"/>
          <w:i w:val="0"/>
          <w:sz w:val="28"/>
        </w:rPr>
        <w:t>- Chủ trì tham mưu, thực hiện các thủ tục hành chính, hồ sơ nhân sự trình cấp có thẩm quyền phê duyệt cử cán bộ tham gia các đoàn công tác đối ngoại, học tập kinh nghiệm tại Campuchia (Hoạt động 9) và các khóa đào tạo chuyên sâu quốc tế.</w:t>
      </w:r>
    </w:p>
    <w:p>
      <w:pPr>
        <w:spacing w:before="120" w:after="120" w:line="240" w:lineRule="auto"/>
        <w:ind w:firstLine="720"/>
        <w:jc w:val="both"/>
      </w:pPr>
      <w:r>
        <w:rPr>
          <w:rFonts w:ascii="Times New Roman" w:hAnsi="Times New Roman"/>
          <w:b w:val="0"/>
          <w:i w:val="0"/>
          <w:sz w:val="28"/>
        </w:rPr>
        <w:t>- Tham mưu quyết định cử cán bộ chuyên môn kỹ thuật tham gia các khóa đào tạo chuyên sâu về bảo tồn voi, quản lý xung đột (Hoạt động 16) và tiểu giáo viên (Hoạt động 14) theo đề xuất của phòng chuyên môn.</w:t>
      </w:r>
    </w:p>
    <w:p>
      <w:pPr>
        <w:spacing w:before="120" w:after="120" w:line="240" w:lineRule="auto"/>
        <w:ind w:firstLine="720"/>
        <w:jc w:val="both"/>
      </w:pPr>
      <w:r>
        <w:rPr>
          <w:rFonts w:ascii="Times New Roman" w:hAnsi="Times New Roman"/>
          <w:b/>
          <w:i w:val="0"/>
          <w:sz w:val="28"/>
        </w:rPr>
        <w:t>4. Phòng Kế hoạch, Tài chính (KHTC)</w:t>
      </w:r>
    </w:p>
    <w:p>
      <w:pPr>
        <w:spacing w:before="120" w:after="120" w:line="240" w:lineRule="auto"/>
        <w:ind w:firstLine="720"/>
        <w:jc w:val="both"/>
      </w:pPr>
      <w:r>
        <w:rPr>
          <w:rFonts w:ascii="Times New Roman" w:hAnsi="Times New Roman"/>
          <w:b w:val="0"/>
          <w:i w:val="0"/>
          <w:sz w:val="28"/>
        </w:rPr>
        <w:t>- Làm đầu mối phối hợp với WWF-Việt Nam xây dựng dự toán ngân sách chi tiết hàng năm và kế hoạch hoạt động tổng thể của dự án trình Bộ Nông nghiệp và Môi trường phê duyệt.</w:t>
      </w:r>
    </w:p>
    <w:p>
      <w:pPr>
        <w:spacing w:before="120" w:after="120" w:line="240" w:lineRule="auto"/>
        <w:ind w:firstLine="720"/>
        <w:jc w:val="both"/>
      </w:pPr>
      <w:r>
        <w:rPr>
          <w:rFonts w:ascii="Times New Roman" w:hAnsi="Times New Roman"/>
          <w:b w:val="0"/>
          <w:i w:val="0"/>
          <w:sz w:val="28"/>
        </w:rPr>
        <w:t>- Tham mưu thực hiện đầy đủ các thủ tục tiếp nhận, đăng ký nguồn vốn viện trợ không hoàn lại vào nguồn thu ngân sách nhà nước, thực hiện thủ tục ghi thu, ghi chi và quyết toán tài chính hàng năm theo quy định tại Nghị định số 313/2025/NĐ-CP và hướng dẫn của Bộ Tài chính.</w:t>
      </w:r>
    </w:p>
    <w:p>
      <w:pPr>
        <w:spacing w:before="120" w:after="120" w:line="240" w:lineRule="auto"/>
        <w:ind w:firstLine="720"/>
        <w:jc w:val="both"/>
      </w:pPr>
      <w:r>
        <w:rPr>
          <w:rFonts w:ascii="Times New Roman" w:hAnsi="Times New Roman"/>
          <w:b w:val="0"/>
          <w:i w:val="0"/>
          <w:sz w:val="28"/>
        </w:rPr>
        <w:t>- Hướng dẫn, kiểm tra và đôn đốc các phòng, đơn vị trực thuộc thực hiện thanh quyết toán kinh phí triển khai các hoạt động dự án theo đúng định mức tài chính hiện hành của Nhà nước và quy định của nhà tài trợ WWF-Việt Nam.</w:t>
      </w:r>
    </w:p>
    <w:p>
      <w:pPr>
        <w:spacing w:before="120" w:after="120" w:line="240" w:lineRule="auto"/>
        <w:ind w:firstLine="720"/>
        <w:jc w:val="both"/>
      </w:pPr>
      <w:r>
        <w:rPr>
          <w:rFonts w:ascii="Times New Roman" w:hAnsi="Times New Roman"/>
          <w:b w:val="0"/>
          <w:i w:val="0"/>
          <w:sz w:val="28"/>
        </w:rPr>
        <w:t>- Tham mưu trình Bộ phê duyệt phương án quản lý, xử lý tài sản, trang thiết bị tuần tra và giám sát được Dự án tài trợ sau khi kết thúc các giai đoạn hoặc khi dự án hoàn thành.</w:t>
      </w:r>
    </w:p>
    <w:p>
      <w:pPr>
        <w:spacing w:before="120" w:after="120" w:line="240" w:lineRule="auto"/>
        <w:ind w:firstLine="720"/>
        <w:jc w:val="both"/>
      </w:pPr>
      <w:r>
        <w:rPr>
          <w:rFonts w:ascii="Times New Roman" w:hAnsi="Times New Roman"/>
          <w:b/>
          <w:i w:val="0"/>
          <w:sz w:val="28"/>
        </w:rPr>
        <w:t>5. Trung tâm Giáo dục môi trường và Dịch vụ (TTGDMT&amp;DV)</w:t>
      </w:r>
    </w:p>
    <w:p>
      <w:pPr>
        <w:spacing w:before="120" w:after="120" w:line="240" w:lineRule="auto"/>
        <w:ind w:firstLine="720"/>
        <w:jc w:val="both"/>
      </w:pPr>
      <w:r>
        <w:rPr>
          <w:rFonts w:ascii="Times New Roman" w:hAnsi="Times New Roman"/>
          <w:b w:val="0"/>
          <w:i w:val="0"/>
          <w:sz w:val="28"/>
        </w:rPr>
        <w:t>- Phối hợp với Phòng KH&amp;HTQT, Hạt Kiểm lâm và Trung tâm Bảo tồn Voi Đắk Lắk xây dựng chiến lược truyền thông và tổ chức các sự kiện nâng cao nhận thức, xuất bản các ấn phẩm tuyên truyền về bảo tồn voi và chung sống hài hòa giữa voi và người cho cộng đồng dân cư vùng đệm (Hoạt động 14, 15).</w:t>
      </w:r>
    </w:p>
    <w:p>
      <w:pPr>
        <w:spacing w:before="120" w:after="120" w:line="240" w:lineRule="auto"/>
        <w:ind w:firstLine="720"/>
        <w:jc w:val="both"/>
      </w:pPr>
      <w:r>
        <w:rPr>
          <w:rFonts w:ascii="Times New Roman" w:hAnsi="Times New Roman"/>
          <w:b w:val="0"/>
          <w:i w:val="0"/>
          <w:sz w:val="28"/>
        </w:rPr>
        <w:t>- Phối hợp với Phòng KH&amp;HTQT triển khai thí điểm và nhân rộng các mô hình sinh kế bền vững phù hợp cho cộng đồng dân cư trong khu vực bị ảnh hưởng bởi xung đột voi-người (Hoạt động 12).</w:t>
      </w:r>
    </w:p>
    <w:p>
      <w:pPr>
        <w:spacing w:before="120" w:after="120" w:line="240" w:lineRule="auto"/>
        <w:ind w:firstLine="720"/>
        <w:jc w:val="both"/>
      </w:pPr>
      <w:r>
        <w:rPr>
          <w:rFonts w:ascii="Times New Roman" w:hAnsi="Times New Roman"/>
          <w:b w:val="0"/>
          <w:i w:val="0"/>
          <w:sz w:val="28"/>
        </w:rPr>
        <w:t>- Thiết kế, xây dựng và lồng ghép chủ đề bảo tồn voi hoang dã vào các chương trình giáo dục môi trường ngoại khóa cho học sinh tại các trường học vùng đệm của Vườn.</w:t>
      </w:r>
    </w:p>
    <w:p>
      <w:pPr>
        <w:spacing w:before="120" w:after="120" w:line="240" w:lineRule="auto"/>
        <w:ind w:firstLine="720"/>
        <w:jc w:val="both"/>
      </w:pPr>
      <w:r>
        <w:rPr>
          <w:rFonts w:ascii="Times New Roman" w:hAnsi="Times New Roman"/>
          <w:b/>
          <w:i w:val="0"/>
          <w:sz w:val="28"/>
        </w:rPr>
        <w:t>IV. BẢNG TỔNG HỢP PHÂN CÔNG NHIỆM VỤ DỰ ÁN VECAP</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567"/>
          </w:tcPr>
          <w:p>
            <w:pPr>
              <w:spacing w:before="80" w:after="80" w:line="240" w:lineRule="auto"/>
              <w:jc w:val="center"/>
            </w:pPr>
            <w:r>
              <w:rPr>
                <w:rFonts w:ascii="Times New Roman" w:hAnsi="Times New Roman"/>
                <w:b/>
                <w:i w:val="0"/>
                <w:sz w:val="24"/>
              </w:rPr>
              <w:t>TT</w:t>
            </w:r>
          </w:p>
        </w:tc>
        <w:tc>
          <w:tcPr>
            <w:tcW w:type="dxa" w:w="2948"/>
          </w:tcPr>
          <w:p>
            <w:pPr>
              <w:spacing w:before="80" w:after="80" w:line="240" w:lineRule="auto"/>
              <w:jc w:val="center"/>
            </w:pPr>
            <w:r>
              <w:rPr>
                <w:rFonts w:ascii="Times New Roman" w:hAnsi="Times New Roman"/>
                <w:b/>
                <w:i w:val="0"/>
                <w:sz w:val="24"/>
              </w:rPr>
              <w:t>Nội dung công việc (Hoạt động)</w:t>
            </w:r>
          </w:p>
        </w:tc>
        <w:tc>
          <w:tcPr>
            <w:tcW w:type="dxa" w:w="1984"/>
          </w:tcPr>
          <w:p>
            <w:pPr>
              <w:spacing w:before="80" w:after="80" w:line="240" w:lineRule="auto"/>
              <w:jc w:val="center"/>
            </w:pPr>
            <w:r>
              <w:rPr>
                <w:rFonts w:ascii="Times New Roman" w:hAnsi="Times New Roman"/>
                <w:b/>
                <w:i w:val="0"/>
                <w:sz w:val="24"/>
              </w:rPr>
              <w:t>Đơn vị chủ trì</w:t>
            </w:r>
          </w:p>
        </w:tc>
        <w:tc>
          <w:tcPr>
            <w:tcW w:type="dxa" w:w="2154"/>
          </w:tcPr>
          <w:p>
            <w:pPr>
              <w:spacing w:before="80" w:after="80" w:line="240" w:lineRule="auto"/>
              <w:jc w:val="center"/>
            </w:pPr>
            <w:r>
              <w:rPr>
                <w:rFonts w:ascii="Times New Roman" w:hAnsi="Times New Roman"/>
                <w:b/>
                <w:i w:val="0"/>
                <w:sz w:val="24"/>
              </w:rPr>
              <w:t>Đơn vị phối hợp</w:t>
            </w:r>
          </w:p>
        </w:tc>
        <w:tc>
          <w:tcPr>
            <w:tcW w:type="dxa" w:w="1701"/>
          </w:tcPr>
          <w:p>
            <w:pPr>
              <w:spacing w:before="80" w:after="80" w:line="240" w:lineRule="auto"/>
              <w:jc w:val="center"/>
            </w:pPr>
            <w:r>
              <w:rPr>
                <w:rFonts w:ascii="Times New Roman" w:hAnsi="Times New Roman"/>
                <w:b/>
                <w:i w:val="0"/>
                <w:sz w:val="24"/>
              </w:rPr>
              <w:t>Chỉ đạo trực tiếp</w:t>
            </w:r>
          </w:p>
        </w:tc>
      </w:tr>
      <w:tr>
        <w:tc>
          <w:tcPr>
            <w:tcW w:type="dxa" w:w="567"/>
          </w:tcPr>
          <w:p>
            <w:pPr>
              <w:spacing w:before="80" w:after="80" w:line="240" w:lineRule="auto"/>
              <w:jc w:val="center"/>
            </w:pPr>
            <w:r>
              <w:rPr>
                <w:rFonts w:ascii="Times New Roman" w:hAnsi="Times New Roman"/>
                <w:b w:val="0"/>
                <w:i w:val="0"/>
                <w:sz w:val="24"/>
              </w:rPr>
              <w:t>1</w:t>
            </w:r>
          </w:p>
        </w:tc>
        <w:tc>
          <w:tcPr>
            <w:tcW w:type="dxa" w:w="2948"/>
          </w:tcPr>
          <w:p>
            <w:pPr>
              <w:spacing w:before="80" w:after="80" w:line="240" w:lineRule="auto"/>
              <w:jc w:val="left"/>
            </w:pPr>
            <w:r>
              <w:rPr>
                <w:rFonts w:ascii="Times New Roman" w:hAnsi="Times New Roman"/>
                <w:b w:val="0"/>
                <w:i w:val="0"/>
                <w:sz w:val="24"/>
              </w:rPr>
              <w:t>HĐ 1: Giám sát voi bằng bẫy ảnh, lập hồ sơ cá thể</w:t>
            </w:r>
          </w:p>
        </w:tc>
        <w:tc>
          <w:tcPr>
            <w:tcW w:type="dxa" w:w="1984"/>
          </w:tcPr>
          <w:p>
            <w:pPr>
              <w:spacing w:before="80" w:after="80" w:line="240" w:lineRule="auto"/>
              <w:jc w:val="center"/>
            </w:pPr>
            <w:r>
              <w:rPr>
                <w:rFonts w:ascii="Times New Roman" w:hAnsi="Times New Roman"/>
                <w:b w:val="0"/>
                <w:i w:val="0"/>
                <w:sz w:val="24"/>
              </w:rPr>
              <w:t>Phòng KH&amp;HTQT</w:t>
            </w:r>
          </w:p>
        </w:tc>
        <w:tc>
          <w:tcPr>
            <w:tcW w:type="dxa" w:w="2154"/>
          </w:tcPr>
          <w:p>
            <w:pPr>
              <w:spacing w:before="80" w:after="80" w:line="240" w:lineRule="auto"/>
              <w:jc w:val="left"/>
            </w:pPr>
            <w:r>
              <w:rPr>
                <w:rFonts w:ascii="Times New Roman" w:hAnsi="Times New Roman"/>
                <w:b w:val="0"/>
                <w:i w:val="0"/>
                <w:sz w:val="24"/>
              </w:rPr>
              <w:t>Hạt Kiểm lâm, TTBTV, WWF</w:t>
            </w:r>
          </w:p>
        </w:tc>
        <w:tc>
          <w:tcPr>
            <w:tcW w:type="dxa" w:w="1701"/>
          </w:tcPr>
          <w:p>
            <w:pPr>
              <w:spacing w:before="80" w:after="80" w:line="240" w:lineRule="auto"/>
              <w:jc w:val="center"/>
            </w:pPr>
            <w:r>
              <w:rPr>
                <w:rFonts w:ascii="Times New Roman" w:hAnsi="Times New Roman"/>
                <w:b w:val="0"/>
                <w:i w:val="0"/>
                <w:sz w:val="24"/>
              </w:rPr>
              <w:t>PGĐ Huỳnh Nghĩa Hiệp</w:t>
            </w:r>
          </w:p>
        </w:tc>
      </w:tr>
      <w:tr>
        <w:tc>
          <w:tcPr>
            <w:tcW w:type="dxa" w:w="567"/>
          </w:tcPr>
          <w:p>
            <w:pPr>
              <w:spacing w:before="80" w:after="80" w:line="240" w:lineRule="auto"/>
              <w:jc w:val="center"/>
            </w:pPr>
            <w:r>
              <w:rPr>
                <w:rFonts w:ascii="Times New Roman" w:hAnsi="Times New Roman"/>
                <w:b w:val="0"/>
                <w:i w:val="0"/>
                <w:sz w:val="24"/>
              </w:rPr>
              <w:t>2</w:t>
            </w:r>
          </w:p>
        </w:tc>
        <w:tc>
          <w:tcPr>
            <w:tcW w:type="dxa" w:w="2948"/>
          </w:tcPr>
          <w:p>
            <w:pPr>
              <w:spacing w:before="80" w:after="80" w:line="240" w:lineRule="auto"/>
              <w:jc w:val="left"/>
            </w:pPr>
            <w:r>
              <w:rPr>
                <w:rFonts w:ascii="Times New Roman" w:hAnsi="Times New Roman"/>
                <w:b w:val="0"/>
                <w:i w:val="0"/>
                <w:sz w:val="24"/>
              </w:rPr>
              <w:t>HĐ 4: Xác định nguyên nhân voi chết, khám nghiệm tử thi</w:t>
            </w:r>
          </w:p>
        </w:tc>
        <w:tc>
          <w:tcPr>
            <w:tcW w:type="dxa" w:w="1984"/>
          </w:tcPr>
          <w:p>
            <w:pPr>
              <w:spacing w:before="80" w:after="80" w:line="240" w:lineRule="auto"/>
              <w:jc w:val="center"/>
            </w:pPr>
            <w:r>
              <w:rPr>
                <w:rFonts w:ascii="Times New Roman" w:hAnsi="Times New Roman"/>
                <w:b w:val="0"/>
                <w:i w:val="0"/>
                <w:sz w:val="24"/>
              </w:rPr>
              <w:t>Hạt Kiểm lâm</w:t>
            </w:r>
          </w:p>
        </w:tc>
        <w:tc>
          <w:tcPr>
            <w:tcW w:type="dxa" w:w="2154"/>
          </w:tcPr>
          <w:p>
            <w:pPr>
              <w:spacing w:before="80" w:after="80" w:line="240" w:lineRule="auto"/>
              <w:jc w:val="left"/>
            </w:pPr>
            <w:r>
              <w:rPr>
                <w:rFonts w:ascii="Times New Roman" w:hAnsi="Times New Roman"/>
                <w:b w:val="0"/>
                <w:i w:val="0"/>
                <w:sz w:val="24"/>
              </w:rPr>
              <w:t>Phòng KH&amp;HTQT, Tổ liên ngành</w:t>
            </w:r>
          </w:p>
        </w:tc>
        <w:tc>
          <w:tcPr>
            <w:tcW w:type="dxa" w:w="1701"/>
          </w:tcPr>
          <w:p>
            <w:pPr>
              <w:spacing w:before="80" w:after="80" w:line="240" w:lineRule="auto"/>
              <w:jc w:val="center"/>
            </w:pPr>
            <w:r>
              <w:rPr>
                <w:rFonts w:ascii="Times New Roman" w:hAnsi="Times New Roman"/>
                <w:b w:val="0"/>
                <w:i w:val="0"/>
                <w:sz w:val="24"/>
              </w:rPr>
              <w:t>PGĐ Nguyễn Thiện Hoàn</w:t>
            </w:r>
          </w:p>
        </w:tc>
      </w:tr>
      <w:tr>
        <w:tc>
          <w:tcPr>
            <w:tcW w:type="dxa" w:w="567"/>
          </w:tcPr>
          <w:p>
            <w:pPr>
              <w:spacing w:before="80" w:after="80" w:line="240" w:lineRule="auto"/>
              <w:jc w:val="center"/>
            </w:pPr>
            <w:r>
              <w:rPr>
                <w:rFonts w:ascii="Times New Roman" w:hAnsi="Times New Roman"/>
                <w:b w:val="0"/>
                <w:i w:val="0"/>
                <w:sz w:val="24"/>
              </w:rPr>
              <w:t>3</w:t>
            </w:r>
          </w:p>
        </w:tc>
        <w:tc>
          <w:tcPr>
            <w:tcW w:type="dxa" w:w="2948"/>
          </w:tcPr>
          <w:p>
            <w:pPr>
              <w:spacing w:before="80" w:after="80" w:line="240" w:lineRule="auto"/>
              <w:jc w:val="left"/>
            </w:pPr>
            <w:r>
              <w:rPr>
                <w:rFonts w:ascii="Times New Roman" w:hAnsi="Times New Roman"/>
                <w:b w:val="0"/>
                <w:i w:val="0"/>
                <w:sz w:val="24"/>
              </w:rPr>
              <w:t>HĐ 5: Thí điểm đeo vòng cổ định vị GPS cho voi (Cu Sứt)</w:t>
            </w:r>
          </w:p>
        </w:tc>
        <w:tc>
          <w:tcPr>
            <w:tcW w:type="dxa" w:w="1984"/>
          </w:tcPr>
          <w:p>
            <w:pPr>
              <w:spacing w:before="80" w:after="80" w:line="240" w:lineRule="auto"/>
              <w:jc w:val="center"/>
            </w:pPr>
            <w:r>
              <w:rPr>
                <w:rFonts w:ascii="Times New Roman" w:hAnsi="Times New Roman"/>
                <w:b w:val="0"/>
                <w:i w:val="0"/>
                <w:sz w:val="24"/>
              </w:rPr>
              <w:t>Phòng KH&amp;HTQT</w:t>
            </w:r>
          </w:p>
        </w:tc>
        <w:tc>
          <w:tcPr>
            <w:tcW w:type="dxa" w:w="2154"/>
          </w:tcPr>
          <w:p>
            <w:pPr>
              <w:spacing w:before="80" w:after="80" w:line="240" w:lineRule="auto"/>
              <w:jc w:val="left"/>
            </w:pPr>
            <w:r>
              <w:rPr>
                <w:rFonts w:ascii="Times New Roman" w:hAnsi="Times New Roman"/>
                <w:b w:val="0"/>
                <w:i w:val="0"/>
                <w:sz w:val="24"/>
              </w:rPr>
              <w:t>Hạt Kiểm lâm, TTBTV, WWF</w:t>
            </w:r>
          </w:p>
        </w:tc>
        <w:tc>
          <w:tcPr>
            <w:tcW w:type="dxa" w:w="1701"/>
          </w:tcPr>
          <w:p>
            <w:pPr>
              <w:spacing w:before="80" w:after="80" w:line="240" w:lineRule="auto"/>
              <w:jc w:val="center"/>
            </w:pPr>
            <w:r>
              <w:rPr>
                <w:rFonts w:ascii="Times New Roman" w:hAnsi="Times New Roman"/>
                <w:b w:val="0"/>
                <w:i w:val="0"/>
                <w:sz w:val="24"/>
              </w:rPr>
              <w:t>PGĐ Huỳnh Nghĩa Hiệp</w:t>
            </w:r>
          </w:p>
        </w:tc>
      </w:tr>
      <w:tr>
        <w:tc>
          <w:tcPr>
            <w:tcW w:type="dxa" w:w="567"/>
          </w:tcPr>
          <w:p>
            <w:pPr>
              <w:spacing w:before="80" w:after="80" w:line="240" w:lineRule="auto"/>
              <w:jc w:val="center"/>
            </w:pPr>
            <w:r>
              <w:rPr>
                <w:rFonts w:ascii="Times New Roman" w:hAnsi="Times New Roman"/>
                <w:b w:val="0"/>
                <w:i w:val="0"/>
                <w:sz w:val="24"/>
              </w:rPr>
              <w:t>4</w:t>
            </w:r>
          </w:p>
        </w:tc>
        <w:tc>
          <w:tcPr>
            <w:tcW w:type="dxa" w:w="2948"/>
          </w:tcPr>
          <w:p>
            <w:pPr>
              <w:spacing w:before="80" w:after="80" w:line="240" w:lineRule="auto"/>
              <w:jc w:val="left"/>
            </w:pPr>
            <w:r>
              <w:rPr>
                <w:rFonts w:ascii="Times New Roman" w:hAnsi="Times New Roman"/>
                <w:b w:val="0"/>
                <w:i w:val="0"/>
                <w:sz w:val="24"/>
              </w:rPr>
              <w:t>HĐ 6: Ký kết Quy chế phối hợp bảo vệ rừng hành lang di chuyển</w:t>
            </w:r>
          </w:p>
        </w:tc>
        <w:tc>
          <w:tcPr>
            <w:tcW w:type="dxa" w:w="1984"/>
          </w:tcPr>
          <w:p>
            <w:pPr>
              <w:spacing w:before="80" w:after="80" w:line="240" w:lineRule="auto"/>
              <w:jc w:val="center"/>
            </w:pPr>
            <w:r>
              <w:rPr>
                <w:rFonts w:ascii="Times New Roman" w:hAnsi="Times New Roman"/>
                <w:b w:val="0"/>
                <w:i w:val="0"/>
                <w:sz w:val="24"/>
              </w:rPr>
              <w:t>Hạt Kiểm lâm</w:t>
            </w:r>
          </w:p>
        </w:tc>
        <w:tc>
          <w:tcPr>
            <w:tcW w:type="dxa" w:w="2154"/>
          </w:tcPr>
          <w:p>
            <w:pPr>
              <w:spacing w:before="80" w:after="80" w:line="240" w:lineRule="auto"/>
              <w:jc w:val="left"/>
            </w:pPr>
            <w:r>
              <w:rPr>
                <w:rFonts w:ascii="Times New Roman" w:hAnsi="Times New Roman"/>
                <w:b w:val="0"/>
                <w:i w:val="0"/>
                <w:sz w:val="24"/>
              </w:rPr>
              <w:t>Phòng KH&amp;HTQT, các chủ rừng</w:t>
            </w:r>
          </w:p>
        </w:tc>
        <w:tc>
          <w:tcPr>
            <w:tcW w:type="dxa" w:w="1701"/>
          </w:tcPr>
          <w:p>
            <w:pPr>
              <w:spacing w:before="80" w:after="80" w:line="240" w:lineRule="auto"/>
              <w:jc w:val="center"/>
            </w:pPr>
            <w:r>
              <w:rPr>
                <w:rFonts w:ascii="Times New Roman" w:hAnsi="Times New Roman"/>
                <w:b w:val="0"/>
                <w:i w:val="0"/>
                <w:sz w:val="24"/>
              </w:rPr>
              <w:t>PGĐ Nguyễn Thiện Hoàn</w:t>
            </w:r>
          </w:p>
        </w:tc>
      </w:tr>
      <w:tr>
        <w:tc>
          <w:tcPr>
            <w:tcW w:type="dxa" w:w="567"/>
          </w:tcPr>
          <w:p>
            <w:pPr>
              <w:spacing w:before="80" w:after="80" w:line="240" w:lineRule="auto"/>
              <w:jc w:val="center"/>
            </w:pPr>
            <w:r>
              <w:rPr>
                <w:rFonts w:ascii="Times New Roman" w:hAnsi="Times New Roman"/>
                <w:b w:val="0"/>
                <w:i w:val="0"/>
                <w:sz w:val="24"/>
              </w:rPr>
              <w:t>5</w:t>
            </w:r>
          </w:p>
        </w:tc>
        <w:tc>
          <w:tcPr>
            <w:tcW w:type="dxa" w:w="2948"/>
          </w:tcPr>
          <w:p>
            <w:pPr>
              <w:spacing w:before="80" w:after="80" w:line="240" w:lineRule="auto"/>
              <w:jc w:val="left"/>
            </w:pPr>
            <w:r>
              <w:rPr>
                <w:rFonts w:ascii="Times New Roman" w:hAnsi="Times New Roman"/>
                <w:b w:val="0"/>
                <w:i w:val="0"/>
                <w:sz w:val="24"/>
              </w:rPr>
              <w:t>HĐ 7: Tập huấn Kiểm lâm theo Khung năng lực toàn cầu</w:t>
            </w:r>
          </w:p>
        </w:tc>
        <w:tc>
          <w:tcPr>
            <w:tcW w:type="dxa" w:w="1984"/>
          </w:tcPr>
          <w:p>
            <w:pPr>
              <w:spacing w:before="80" w:after="80" w:line="240" w:lineRule="auto"/>
              <w:jc w:val="center"/>
            </w:pPr>
            <w:r>
              <w:rPr>
                <w:rFonts w:ascii="Times New Roman" w:hAnsi="Times New Roman"/>
                <w:b w:val="0"/>
                <w:i w:val="0"/>
                <w:sz w:val="24"/>
              </w:rPr>
              <w:t>Hạt Kiểm lâm</w:t>
            </w:r>
          </w:p>
        </w:tc>
        <w:tc>
          <w:tcPr>
            <w:tcW w:type="dxa" w:w="2154"/>
          </w:tcPr>
          <w:p>
            <w:pPr>
              <w:spacing w:before="80" w:after="80" w:line="240" w:lineRule="auto"/>
              <w:jc w:val="left"/>
            </w:pPr>
            <w:r>
              <w:rPr>
                <w:rFonts w:ascii="Times New Roman" w:hAnsi="Times New Roman"/>
                <w:b w:val="0"/>
                <w:i w:val="0"/>
                <w:sz w:val="24"/>
              </w:rPr>
              <w:t>Phòng TCHC, các chủ rừng</w:t>
            </w:r>
          </w:p>
        </w:tc>
        <w:tc>
          <w:tcPr>
            <w:tcW w:type="dxa" w:w="1701"/>
          </w:tcPr>
          <w:p>
            <w:pPr>
              <w:spacing w:before="80" w:after="80" w:line="240" w:lineRule="auto"/>
              <w:jc w:val="center"/>
            </w:pPr>
            <w:r>
              <w:rPr>
                <w:rFonts w:ascii="Times New Roman" w:hAnsi="Times New Roman"/>
                <w:b w:val="0"/>
                <w:i w:val="0"/>
                <w:sz w:val="24"/>
              </w:rPr>
              <w:t>PGĐ Nguyễn Thiện Hoàn</w:t>
            </w:r>
          </w:p>
        </w:tc>
      </w:tr>
      <w:tr>
        <w:tc>
          <w:tcPr>
            <w:tcW w:type="dxa" w:w="567"/>
          </w:tcPr>
          <w:p>
            <w:pPr>
              <w:spacing w:before="80" w:after="80" w:line="240" w:lineRule="auto"/>
              <w:jc w:val="center"/>
            </w:pPr>
            <w:r>
              <w:rPr>
                <w:rFonts w:ascii="Times New Roman" w:hAnsi="Times New Roman"/>
                <w:b w:val="0"/>
                <w:i w:val="0"/>
                <w:sz w:val="24"/>
              </w:rPr>
              <w:t>6</w:t>
            </w:r>
          </w:p>
        </w:tc>
        <w:tc>
          <w:tcPr>
            <w:tcW w:type="dxa" w:w="2948"/>
          </w:tcPr>
          <w:p>
            <w:pPr>
              <w:spacing w:before="80" w:after="80" w:line="240" w:lineRule="auto"/>
              <w:jc w:val="left"/>
            </w:pPr>
            <w:r>
              <w:rPr>
                <w:rFonts w:ascii="Times New Roman" w:hAnsi="Times New Roman"/>
                <w:b w:val="0"/>
                <w:i w:val="0"/>
                <w:sz w:val="24"/>
              </w:rPr>
              <w:t>HĐ 8: Cải tạo chất lượng sinh cảnh (muối khoáng, hố nước)</w:t>
            </w:r>
          </w:p>
        </w:tc>
        <w:tc>
          <w:tcPr>
            <w:tcW w:type="dxa" w:w="1984"/>
          </w:tcPr>
          <w:p>
            <w:pPr>
              <w:spacing w:before="80" w:after="80" w:line="240" w:lineRule="auto"/>
              <w:jc w:val="center"/>
            </w:pPr>
            <w:r>
              <w:rPr>
                <w:rFonts w:ascii="Times New Roman" w:hAnsi="Times New Roman"/>
                <w:b w:val="0"/>
                <w:i w:val="0"/>
                <w:sz w:val="24"/>
              </w:rPr>
              <w:t>Phòng KH&amp;HTQT</w:t>
            </w:r>
          </w:p>
        </w:tc>
        <w:tc>
          <w:tcPr>
            <w:tcW w:type="dxa" w:w="2154"/>
          </w:tcPr>
          <w:p>
            <w:pPr>
              <w:spacing w:before="80" w:after="80" w:line="240" w:lineRule="auto"/>
              <w:jc w:val="left"/>
            </w:pPr>
            <w:r>
              <w:rPr>
                <w:rFonts w:ascii="Times New Roman" w:hAnsi="Times New Roman"/>
                <w:b w:val="0"/>
                <w:i w:val="0"/>
                <w:sz w:val="24"/>
              </w:rPr>
              <w:t>Hạt Kiểm lâm, TTBTV, WWF</w:t>
            </w:r>
          </w:p>
        </w:tc>
        <w:tc>
          <w:tcPr>
            <w:tcW w:type="dxa" w:w="1701"/>
          </w:tcPr>
          <w:p>
            <w:pPr>
              <w:spacing w:before="80" w:after="80" w:line="240" w:lineRule="auto"/>
              <w:jc w:val="center"/>
            </w:pPr>
            <w:r>
              <w:rPr>
                <w:rFonts w:ascii="Times New Roman" w:hAnsi="Times New Roman"/>
                <w:b w:val="0"/>
                <w:i w:val="0"/>
                <w:sz w:val="24"/>
              </w:rPr>
              <w:t>PGĐ Huỳnh Nghĩa Hiệp</w:t>
            </w:r>
          </w:p>
        </w:tc>
      </w:tr>
      <w:tr>
        <w:tc>
          <w:tcPr>
            <w:tcW w:type="dxa" w:w="567"/>
          </w:tcPr>
          <w:p>
            <w:pPr>
              <w:spacing w:before="80" w:after="80" w:line="240" w:lineRule="auto"/>
              <w:jc w:val="center"/>
            </w:pPr>
            <w:r>
              <w:rPr>
                <w:rFonts w:ascii="Times New Roman" w:hAnsi="Times New Roman"/>
                <w:b w:val="0"/>
                <w:i w:val="0"/>
                <w:sz w:val="24"/>
              </w:rPr>
              <w:t>7</w:t>
            </w:r>
          </w:p>
        </w:tc>
        <w:tc>
          <w:tcPr>
            <w:tcW w:type="dxa" w:w="2948"/>
          </w:tcPr>
          <w:p>
            <w:pPr>
              <w:spacing w:before="80" w:after="80" w:line="240" w:lineRule="auto"/>
              <w:jc w:val="left"/>
            </w:pPr>
            <w:r>
              <w:rPr>
                <w:rFonts w:ascii="Times New Roman" w:hAnsi="Times New Roman"/>
                <w:b w:val="0"/>
                <w:i w:val="0"/>
                <w:sz w:val="24"/>
              </w:rPr>
              <w:t>HĐ 9: Hợp tác, trao đổi kinh nghiệm bảo tồn voi biên giới</w:t>
            </w:r>
          </w:p>
        </w:tc>
        <w:tc>
          <w:tcPr>
            <w:tcW w:type="dxa" w:w="1984"/>
          </w:tcPr>
          <w:p>
            <w:pPr>
              <w:spacing w:before="80" w:after="80" w:line="240" w:lineRule="auto"/>
              <w:jc w:val="center"/>
            </w:pPr>
            <w:r>
              <w:rPr>
                <w:rFonts w:ascii="Times New Roman" w:hAnsi="Times New Roman"/>
                <w:b w:val="0"/>
                <w:i w:val="0"/>
                <w:sz w:val="24"/>
              </w:rPr>
              <w:t>Phòng KH&amp;HTQT</w:t>
            </w:r>
          </w:p>
        </w:tc>
        <w:tc>
          <w:tcPr>
            <w:tcW w:type="dxa" w:w="2154"/>
          </w:tcPr>
          <w:p>
            <w:pPr>
              <w:spacing w:before="80" w:after="80" w:line="240" w:lineRule="auto"/>
              <w:jc w:val="left"/>
            </w:pPr>
            <w:r>
              <w:rPr>
                <w:rFonts w:ascii="Times New Roman" w:hAnsi="Times New Roman"/>
                <w:b w:val="0"/>
                <w:i w:val="0"/>
                <w:sz w:val="24"/>
              </w:rPr>
              <w:t>Phòng TCHC, BQLDA</w:t>
            </w:r>
          </w:p>
        </w:tc>
        <w:tc>
          <w:tcPr>
            <w:tcW w:type="dxa" w:w="1701"/>
          </w:tcPr>
          <w:p>
            <w:pPr>
              <w:spacing w:before="80" w:after="80" w:line="240" w:lineRule="auto"/>
              <w:jc w:val="center"/>
            </w:pPr>
            <w:r>
              <w:rPr>
                <w:rFonts w:ascii="Times New Roman" w:hAnsi="Times New Roman"/>
                <w:b w:val="0"/>
                <w:i w:val="0"/>
                <w:sz w:val="24"/>
              </w:rPr>
              <w:t>PGĐ Huỳnh Nghĩa Hiệp</w:t>
            </w:r>
          </w:p>
        </w:tc>
      </w:tr>
      <w:tr>
        <w:tc>
          <w:tcPr>
            <w:tcW w:type="dxa" w:w="567"/>
          </w:tcPr>
          <w:p>
            <w:pPr>
              <w:spacing w:before="80" w:after="80" w:line="240" w:lineRule="auto"/>
              <w:jc w:val="center"/>
            </w:pPr>
            <w:r>
              <w:rPr>
                <w:rFonts w:ascii="Times New Roman" w:hAnsi="Times New Roman"/>
                <w:b w:val="0"/>
                <w:i w:val="0"/>
                <w:sz w:val="24"/>
              </w:rPr>
              <w:t>8</w:t>
            </w:r>
          </w:p>
        </w:tc>
        <w:tc>
          <w:tcPr>
            <w:tcW w:type="dxa" w:w="2948"/>
          </w:tcPr>
          <w:p>
            <w:pPr>
              <w:spacing w:before="80" w:after="80" w:line="240" w:lineRule="auto"/>
              <w:jc w:val="left"/>
            </w:pPr>
            <w:r>
              <w:rPr>
                <w:rFonts w:ascii="Times New Roman" w:hAnsi="Times New Roman"/>
                <w:b w:val="0"/>
                <w:i w:val="0"/>
                <w:sz w:val="24"/>
              </w:rPr>
              <w:t>HĐ 11: Thành lập tổ phản ứng nhanh cấp thôn (HEC)</w:t>
            </w:r>
          </w:p>
        </w:tc>
        <w:tc>
          <w:tcPr>
            <w:tcW w:type="dxa" w:w="1984"/>
          </w:tcPr>
          <w:p>
            <w:pPr>
              <w:spacing w:before="80" w:after="80" w:line="240" w:lineRule="auto"/>
              <w:jc w:val="center"/>
            </w:pPr>
            <w:r>
              <w:rPr>
                <w:rFonts w:ascii="Times New Roman" w:hAnsi="Times New Roman"/>
                <w:b w:val="0"/>
                <w:i w:val="0"/>
                <w:sz w:val="24"/>
              </w:rPr>
              <w:t>Hạt Kiểm lâm</w:t>
            </w:r>
          </w:p>
        </w:tc>
        <w:tc>
          <w:tcPr>
            <w:tcW w:type="dxa" w:w="2154"/>
          </w:tcPr>
          <w:p>
            <w:pPr>
              <w:spacing w:before="80" w:after="80" w:line="240" w:lineRule="auto"/>
              <w:jc w:val="left"/>
            </w:pPr>
            <w:r>
              <w:rPr>
                <w:rFonts w:ascii="Times New Roman" w:hAnsi="Times New Roman"/>
                <w:b w:val="0"/>
                <w:i w:val="0"/>
                <w:sz w:val="24"/>
              </w:rPr>
              <w:t>TT GDMT&amp;DV, các xã</w:t>
            </w:r>
          </w:p>
        </w:tc>
        <w:tc>
          <w:tcPr>
            <w:tcW w:type="dxa" w:w="1701"/>
          </w:tcPr>
          <w:p>
            <w:pPr>
              <w:spacing w:before="80" w:after="80" w:line="240" w:lineRule="auto"/>
              <w:jc w:val="center"/>
            </w:pPr>
            <w:r>
              <w:rPr>
                <w:rFonts w:ascii="Times New Roman" w:hAnsi="Times New Roman"/>
                <w:b w:val="0"/>
                <w:i w:val="0"/>
                <w:sz w:val="24"/>
              </w:rPr>
              <w:t>PGĐ Nguyễn Thiện Hoàn</w:t>
            </w:r>
          </w:p>
        </w:tc>
      </w:tr>
      <w:tr>
        <w:tc>
          <w:tcPr>
            <w:tcW w:type="dxa" w:w="567"/>
          </w:tcPr>
          <w:p>
            <w:pPr>
              <w:spacing w:before="80" w:after="80" w:line="240" w:lineRule="auto"/>
              <w:jc w:val="center"/>
            </w:pPr>
            <w:r>
              <w:rPr>
                <w:rFonts w:ascii="Times New Roman" w:hAnsi="Times New Roman"/>
                <w:b w:val="0"/>
                <w:i w:val="0"/>
                <w:sz w:val="24"/>
              </w:rPr>
              <w:t>9</w:t>
            </w:r>
          </w:p>
        </w:tc>
        <w:tc>
          <w:tcPr>
            <w:tcW w:type="dxa" w:w="2948"/>
          </w:tcPr>
          <w:p>
            <w:pPr>
              <w:spacing w:before="80" w:after="80" w:line="240" w:lineRule="auto"/>
              <w:jc w:val="left"/>
            </w:pPr>
            <w:r>
              <w:rPr>
                <w:rFonts w:ascii="Times New Roman" w:hAnsi="Times New Roman"/>
                <w:b w:val="0"/>
                <w:i w:val="0"/>
                <w:sz w:val="24"/>
              </w:rPr>
              <w:t>HĐ 12: Thí điểm mô hình sinh kế vùng xung đột voi-người</w:t>
            </w:r>
          </w:p>
        </w:tc>
        <w:tc>
          <w:tcPr>
            <w:tcW w:type="dxa" w:w="1984"/>
          </w:tcPr>
          <w:p>
            <w:pPr>
              <w:spacing w:before="80" w:after="80" w:line="240" w:lineRule="auto"/>
              <w:jc w:val="center"/>
            </w:pPr>
            <w:r>
              <w:rPr>
                <w:rFonts w:ascii="Times New Roman" w:hAnsi="Times New Roman"/>
                <w:b w:val="0"/>
                <w:i w:val="0"/>
                <w:sz w:val="24"/>
              </w:rPr>
              <w:t>Phòng KH&amp;HTQT</w:t>
            </w:r>
          </w:p>
        </w:tc>
        <w:tc>
          <w:tcPr>
            <w:tcW w:type="dxa" w:w="2154"/>
          </w:tcPr>
          <w:p>
            <w:pPr>
              <w:spacing w:before="80" w:after="80" w:line="240" w:lineRule="auto"/>
              <w:jc w:val="left"/>
            </w:pPr>
            <w:r>
              <w:rPr>
                <w:rFonts w:ascii="Times New Roman" w:hAnsi="Times New Roman"/>
                <w:b w:val="0"/>
                <w:i w:val="0"/>
                <w:sz w:val="24"/>
              </w:rPr>
              <w:t>TT GDMT&amp;DV, Hạt KL, các xã</w:t>
            </w:r>
          </w:p>
        </w:tc>
        <w:tc>
          <w:tcPr>
            <w:tcW w:type="dxa" w:w="1701"/>
          </w:tcPr>
          <w:p>
            <w:pPr>
              <w:spacing w:before="80" w:after="80" w:line="240" w:lineRule="auto"/>
              <w:jc w:val="center"/>
            </w:pPr>
            <w:r>
              <w:rPr>
                <w:rFonts w:ascii="Times New Roman" w:hAnsi="Times New Roman"/>
                <w:b w:val="0"/>
                <w:i w:val="0"/>
                <w:sz w:val="24"/>
              </w:rPr>
              <w:t>PGĐ Huỳnh Nghĩa Hiệp</w:t>
            </w:r>
          </w:p>
        </w:tc>
      </w:tr>
      <w:tr>
        <w:tc>
          <w:tcPr>
            <w:tcW w:type="dxa" w:w="567"/>
          </w:tcPr>
          <w:p>
            <w:pPr>
              <w:spacing w:before="80" w:after="80" w:line="240" w:lineRule="auto"/>
              <w:jc w:val="center"/>
            </w:pPr>
            <w:r>
              <w:rPr>
                <w:rFonts w:ascii="Times New Roman" w:hAnsi="Times New Roman"/>
                <w:b w:val="0"/>
                <w:i w:val="0"/>
                <w:sz w:val="24"/>
              </w:rPr>
              <w:t>10</w:t>
            </w:r>
          </w:p>
        </w:tc>
        <w:tc>
          <w:tcPr>
            <w:tcW w:type="dxa" w:w="2948"/>
          </w:tcPr>
          <w:p>
            <w:pPr>
              <w:spacing w:before="80" w:after="80" w:line="240" w:lineRule="auto"/>
              <w:jc w:val="left"/>
            </w:pPr>
            <w:r>
              <w:rPr>
                <w:rFonts w:ascii="Times New Roman" w:hAnsi="Times New Roman"/>
                <w:b w:val="0"/>
                <w:i w:val="0"/>
                <w:sz w:val="24"/>
              </w:rPr>
              <w:t>HĐ 14, 15: Tập huấn an toàn khi gặp voi và truyền thông</w:t>
            </w:r>
          </w:p>
        </w:tc>
        <w:tc>
          <w:tcPr>
            <w:tcW w:type="dxa" w:w="1984"/>
          </w:tcPr>
          <w:p>
            <w:pPr>
              <w:spacing w:before="80" w:after="80" w:line="240" w:lineRule="auto"/>
              <w:jc w:val="center"/>
            </w:pPr>
            <w:r>
              <w:rPr>
                <w:rFonts w:ascii="Times New Roman" w:hAnsi="Times New Roman"/>
                <w:b w:val="0"/>
                <w:i w:val="0"/>
                <w:sz w:val="24"/>
              </w:rPr>
              <w:t>TT GDMT&amp;DV</w:t>
            </w:r>
          </w:p>
        </w:tc>
        <w:tc>
          <w:tcPr>
            <w:tcW w:type="dxa" w:w="2154"/>
          </w:tcPr>
          <w:p>
            <w:pPr>
              <w:spacing w:before="80" w:after="80" w:line="240" w:lineRule="auto"/>
              <w:jc w:val="left"/>
            </w:pPr>
            <w:r>
              <w:rPr>
                <w:rFonts w:ascii="Times New Roman" w:hAnsi="Times New Roman"/>
                <w:b w:val="0"/>
                <w:i w:val="0"/>
                <w:sz w:val="24"/>
              </w:rPr>
              <w:t>Hạt Kiểm lâm, Phòng KH&amp;HTQT</w:t>
            </w:r>
          </w:p>
        </w:tc>
        <w:tc>
          <w:tcPr>
            <w:tcW w:type="dxa" w:w="1701"/>
          </w:tcPr>
          <w:p>
            <w:pPr>
              <w:spacing w:before="80" w:after="80" w:line="240" w:lineRule="auto"/>
              <w:jc w:val="center"/>
            </w:pPr>
            <w:r>
              <w:rPr>
                <w:rFonts w:ascii="Times New Roman" w:hAnsi="Times New Roman"/>
                <w:b w:val="0"/>
                <w:i w:val="0"/>
                <w:sz w:val="24"/>
              </w:rPr>
              <w:t>PGĐ Nguyễn Thiện Hoàn</w:t>
            </w:r>
          </w:p>
        </w:tc>
      </w:tr>
      <w:tr>
        <w:tc>
          <w:tcPr>
            <w:tcW w:type="dxa" w:w="567"/>
          </w:tcPr>
          <w:p>
            <w:pPr>
              <w:spacing w:before="80" w:after="80" w:line="240" w:lineRule="auto"/>
              <w:jc w:val="center"/>
            </w:pPr>
            <w:r>
              <w:rPr>
                <w:rFonts w:ascii="Times New Roman" w:hAnsi="Times New Roman"/>
                <w:b w:val="0"/>
                <w:i w:val="0"/>
                <w:sz w:val="24"/>
              </w:rPr>
              <w:t>11</w:t>
            </w:r>
          </w:p>
        </w:tc>
        <w:tc>
          <w:tcPr>
            <w:tcW w:type="dxa" w:w="2948"/>
          </w:tcPr>
          <w:p>
            <w:pPr>
              <w:spacing w:before="80" w:after="80" w:line="240" w:lineRule="auto"/>
              <w:jc w:val="left"/>
            </w:pPr>
            <w:r>
              <w:rPr>
                <w:rFonts w:ascii="Times New Roman" w:hAnsi="Times New Roman"/>
                <w:b w:val="0"/>
                <w:i w:val="0"/>
                <w:sz w:val="24"/>
              </w:rPr>
              <w:t>HĐ 16: Đào tạo chuyên sâu bảo tồn voi cho cán bộ Vườn</w:t>
            </w:r>
          </w:p>
        </w:tc>
        <w:tc>
          <w:tcPr>
            <w:tcW w:type="dxa" w:w="1984"/>
          </w:tcPr>
          <w:p>
            <w:pPr>
              <w:spacing w:before="80" w:after="80" w:line="240" w:lineRule="auto"/>
              <w:jc w:val="center"/>
            </w:pPr>
            <w:r>
              <w:rPr>
                <w:rFonts w:ascii="Times New Roman" w:hAnsi="Times New Roman"/>
                <w:b w:val="0"/>
                <w:i w:val="0"/>
                <w:sz w:val="24"/>
              </w:rPr>
              <w:t>Phòng KH&amp;HTQT</w:t>
            </w:r>
          </w:p>
        </w:tc>
        <w:tc>
          <w:tcPr>
            <w:tcW w:type="dxa" w:w="2154"/>
          </w:tcPr>
          <w:p>
            <w:pPr>
              <w:spacing w:before="80" w:after="80" w:line="240" w:lineRule="auto"/>
              <w:jc w:val="left"/>
            </w:pPr>
            <w:r>
              <w:rPr>
                <w:rFonts w:ascii="Times New Roman" w:hAnsi="Times New Roman"/>
                <w:b w:val="0"/>
                <w:i w:val="0"/>
                <w:sz w:val="24"/>
              </w:rPr>
              <w:t>Phòng TCHC, Hạt Kiểm lâm</w:t>
            </w:r>
          </w:p>
        </w:tc>
        <w:tc>
          <w:tcPr>
            <w:tcW w:type="dxa" w:w="1701"/>
          </w:tcPr>
          <w:p>
            <w:pPr>
              <w:spacing w:before="80" w:after="80" w:line="240" w:lineRule="auto"/>
              <w:jc w:val="center"/>
            </w:pPr>
            <w:r>
              <w:rPr>
                <w:rFonts w:ascii="Times New Roman" w:hAnsi="Times New Roman"/>
                <w:b w:val="0"/>
                <w:i w:val="0"/>
                <w:sz w:val="24"/>
              </w:rPr>
              <w:t>PGĐ Huỳnh Nghĩa Hiệp</w:t>
            </w:r>
          </w:p>
        </w:tc>
      </w:tr>
      <w:tr>
        <w:tc>
          <w:tcPr>
            <w:tcW w:type="dxa" w:w="567"/>
          </w:tcPr>
          <w:p>
            <w:pPr>
              <w:spacing w:before="80" w:after="80" w:line="240" w:lineRule="auto"/>
              <w:jc w:val="center"/>
            </w:pPr>
            <w:r>
              <w:rPr>
                <w:rFonts w:ascii="Times New Roman" w:hAnsi="Times New Roman"/>
                <w:b w:val="0"/>
                <w:i w:val="0"/>
                <w:sz w:val="24"/>
              </w:rPr>
              <w:t>12</w:t>
            </w:r>
          </w:p>
        </w:tc>
        <w:tc>
          <w:tcPr>
            <w:tcW w:type="dxa" w:w="2948"/>
          </w:tcPr>
          <w:p>
            <w:pPr>
              <w:spacing w:before="80" w:after="80" w:line="240" w:lineRule="auto"/>
              <w:jc w:val="left"/>
            </w:pPr>
            <w:r>
              <w:rPr>
                <w:rFonts w:ascii="Times New Roman" w:hAnsi="Times New Roman"/>
                <w:b w:val="0"/>
                <w:i w:val="0"/>
                <w:sz w:val="24"/>
              </w:rPr>
              <w:t>Quản lý tài chính, thủ tục ghi thu/ghi chi, quyết toán</w:t>
            </w:r>
          </w:p>
        </w:tc>
        <w:tc>
          <w:tcPr>
            <w:tcW w:type="dxa" w:w="1984"/>
          </w:tcPr>
          <w:p>
            <w:pPr>
              <w:spacing w:before="80" w:after="80" w:line="240" w:lineRule="auto"/>
              <w:jc w:val="center"/>
            </w:pPr>
            <w:r>
              <w:rPr>
                <w:rFonts w:ascii="Times New Roman" w:hAnsi="Times New Roman"/>
                <w:b w:val="0"/>
                <w:i w:val="0"/>
                <w:sz w:val="24"/>
              </w:rPr>
              <w:t>Phòng KHTC</w:t>
            </w:r>
          </w:p>
        </w:tc>
        <w:tc>
          <w:tcPr>
            <w:tcW w:type="dxa" w:w="2154"/>
          </w:tcPr>
          <w:p>
            <w:pPr>
              <w:spacing w:before="80" w:after="80" w:line="240" w:lineRule="auto"/>
              <w:jc w:val="left"/>
            </w:pPr>
            <w:r>
              <w:rPr>
                <w:rFonts w:ascii="Times New Roman" w:hAnsi="Times New Roman"/>
                <w:b w:val="0"/>
                <w:i w:val="0"/>
                <w:sz w:val="24"/>
              </w:rPr>
              <w:t>Phòng KH&amp;HTQT, WWF</w:t>
            </w:r>
          </w:p>
        </w:tc>
        <w:tc>
          <w:tcPr>
            <w:tcW w:type="dxa" w:w="1701"/>
          </w:tcPr>
          <w:p>
            <w:pPr>
              <w:spacing w:before="80" w:after="80" w:line="240" w:lineRule="auto"/>
              <w:jc w:val="center"/>
            </w:pPr>
            <w:r>
              <w:rPr>
                <w:rFonts w:ascii="Times New Roman" w:hAnsi="Times New Roman"/>
                <w:b w:val="0"/>
                <w:i w:val="0"/>
                <w:sz w:val="24"/>
              </w:rPr>
              <w:t>Giám đốc Phạm Tuấn Linh</w:t>
            </w:r>
          </w:p>
        </w:tc>
      </w:tr>
    </w:tbl>
    <w:p>
      <w:pPr>
        <w:spacing w:before="120" w:after="120" w:line="240" w:lineRule="auto"/>
      </w:pPr>
    </w:p>
    <w:p>
      <w:pPr>
        <w:spacing w:before="120" w:after="120" w:line="240" w:lineRule="auto"/>
        <w:ind w:firstLine="720"/>
        <w:jc w:val="both"/>
      </w:pPr>
      <w:r>
        <w:rPr>
          <w:rFonts w:ascii="Times New Roman" w:hAnsi="Times New Roman"/>
          <w:b/>
          <w:i w:val="0"/>
          <w:sz w:val="28"/>
        </w:rPr>
        <w:t>V. TỔ CHỨC THỰC HIỆN</w:t>
      </w:r>
    </w:p>
    <w:p>
      <w:pPr>
        <w:spacing w:before="120" w:after="120" w:line="240" w:lineRule="auto"/>
        <w:ind w:firstLine="720"/>
        <w:jc w:val="both"/>
      </w:pPr>
      <w:r>
        <w:rPr>
          <w:rFonts w:ascii="Times New Roman" w:hAnsi="Times New Roman"/>
          <w:b w:val="0"/>
          <w:i w:val="0"/>
          <w:sz w:val="28"/>
        </w:rPr>
        <w:t>1. Ban Quản lý Dự án cấp Vườn chịu trách nhiệm toàn diện trước Giám đốc Vườn về việc chỉ đạo, đôn đốc, kiểm tra tiến độ và chất lượng thực hiện các nhiệm vụ được giao tại Kế hoạch này. Định kỳ hàng quý tổ chức họp giao ban để đánh giá kết quả thực hiện và tháo gỡ kịp thời các khó khăn, vướng mắc phát sinh.</w:t>
      </w:r>
    </w:p>
    <w:p>
      <w:pPr>
        <w:spacing w:before="120" w:after="120" w:line="240" w:lineRule="auto"/>
        <w:ind w:firstLine="720"/>
        <w:jc w:val="both"/>
      </w:pPr>
      <w:r>
        <w:rPr>
          <w:rFonts w:ascii="Times New Roman" w:hAnsi="Times New Roman"/>
          <w:b w:val="0"/>
          <w:i w:val="0"/>
          <w:sz w:val="28"/>
        </w:rPr>
        <w:t>2. Trưởng các phòng chuyên môn, đơn vị trực thuộc căn cứ vào nhiệm vụ được phân công tại Kế hoạch này, chủ động phối hợp với Phòng KH&amp;HTQT và nhà tài trợ WWF-Việt Nam để xây dựng kế hoạch chi tiết cho từng hoạt động, trình BQLDA phê duyệt trước khi triển khai.</w:t>
      </w:r>
    </w:p>
    <w:p>
      <w:pPr>
        <w:spacing w:before="120" w:after="120" w:line="240" w:lineRule="auto"/>
        <w:ind w:firstLine="720"/>
        <w:jc w:val="both"/>
      </w:pPr>
      <w:r>
        <w:rPr>
          <w:rFonts w:ascii="Times New Roman" w:hAnsi="Times New Roman"/>
          <w:b w:val="0"/>
          <w:i w:val="0"/>
          <w:sz w:val="28"/>
        </w:rPr>
        <w:t>3. Trong quá trình tổ chức thực hiện, nếu có khó khăn, vướng mắc vượt thẩm quyền, các phòng, đơn vị báo cáo kịp thời bằng văn bản gửi về Thường trực Ban Quản lý Dự án (qua Phòng KH&amp;HTQT) để tổng hợp, báo cáo Giám đốc Vườn xem xét, quyết định./.</w:t>
      </w:r>
    </w:p>
    <w:p>
      <w:pPr>
        <w:spacing w:before="240" w:after="0" w:line="240" w:lineRule="auto"/>
      </w:pPr>
    </w:p>
    <w:tbl>
      <w:tblPr>
        <w:tblW w:type="auto" w:w="0"/>
        <w:jc w:val="center"/>
        <w:tblLayout w:type="fixed"/>
        <w:tblLook w:firstColumn="1" w:firstRow="1" w:lastColumn="0" w:lastRow="0" w:noHBand="0" w:noVBand="1" w:val="04A0"/>
      </w:tblPr>
      <w:tblGrid>
        <w:gridCol w:w="4394"/>
        <w:gridCol w:w="5669"/>
      </w:tblGrid>
      <w:tr>
        <w:tc>
          <w:tcPr>
            <w:tcW w:type="dxa" w:w="4677"/>
          </w:tcPr>
          <w:p>
            <w:pPr>
              <w:spacing w:before="0" w:after="0" w:line="240" w:lineRule="auto"/>
            </w:pPr>
            <w:r>
              <w:rPr>
                <w:rFonts w:ascii="Times New Roman" w:hAnsi="Times New Roman"/>
                <w:b/>
                <w:i/>
                <w:sz w:val="24"/>
              </w:rPr>
              <w:t>Nơi nhận:</w:t>
            </w:r>
          </w:p>
          <w:p>
            <w:pPr>
              <w:spacing w:before="0" w:after="0" w:line="240" w:lineRule="auto"/>
            </w:pPr>
            <w:r>
              <w:rPr>
                <w:rFonts w:ascii="Times New Roman" w:hAnsi="Times New Roman"/>
                <w:b w:val="0"/>
                <w:i w:val="0"/>
                <w:sz w:val="22"/>
              </w:rPr>
              <w:t>- Cục Lâm nghiệp và Kiểm lâm (để b/c);</w:t>
            </w:r>
          </w:p>
          <w:p>
            <w:pPr>
              <w:spacing w:before="0" w:after="0" w:line="240" w:lineRule="auto"/>
            </w:pPr>
            <w:r>
              <w:rPr>
                <w:rFonts w:ascii="Times New Roman" w:hAnsi="Times New Roman"/>
                <w:b w:val="0"/>
                <w:i w:val="0"/>
                <w:sz w:val="22"/>
              </w:rPr>
              <w:t>- BGĐ Vườn quốc gia Yok Đôn (để chỉ đạo);</w:t>
            </w:r>
          </w:p>
          <w:p>
            <w:pPr>
              <w:spacing w:before="0" w:after="0" w:line="240" w:lineRule="auto"/>
            </w:pPr>
            <w:r>
              <w:rPr>
                <w:rFonts w:ascii="Times New Roman" w:hAnsi="Times New Roman"/>
                <w:b w:val="0"/>
                <w:i w:val="0"/>
                <w:sz w:val="22"/>
              </w:rPr>
              <w:t>- Các phòng, đơn vị trực thuộc Vườn (để thực hiện);</w:t>
            </w:r>
          </w:p>
          <w:p>
            <w:pPr>
              <w:spacing w:before="0" w:after="0" w:line="240" w:lineRule="auto"/>
            </w:pPr>
            <w:r>
              <w:rPr>
                <w:rFonts w:ascii="Times New Roman" w:hAnsi="Times New Roman"/>
                <w:b w:val="0"/>
                <w:i w:val="0"/>
                <w:sz w:val="22"/>
              </w:rPr>
              <w:t>- Lưu: VT, KHHTQT.</w:t>
            </w:r>
          </w:p>
        </w:tc>
        <w:tc>
          <w:tcPr>
            <w:tcW w:type="dxa" w:w="4677"/>
          </w:tcPr>
          <w:p>
            <w:pPr>
              <w:spacing w:before="0" w:after="0" w:line="240" w:lineRule="auto"/>
              <w:jc w:val="center"/>
            </w:pPr>
            <w:r>
              <w:rPr>
                <w:rFonts w:ascii="Times New Roman" w:hAnsi="Times New Roman"/>
                <w:b/>
                <w:i w:val="0"/>
                <w:sz w:val="28"/>
              </w:rPr>
              <w:t>GIÁM ĐỐC</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i w:val="0"/>
                <w:sz w:val="28"/>
              </w:rPr>
              <w:t>Phạm Tuấn Linh</w:t>
            </w:r>
          </w:p>
        </w:tc>
      </w:tr>
    </w:tbl>
    <w:sectPr w:rsidR="00FC693F" w:rsidRPr="0006063C" w:rsidSect="00034616">
      <w:headerReference w:type="default" r:id="rId9"/>
      <w:pgSz w:w="11906" w:h="16838"/>
      <w:pgMar w:top="1134" w:right="850" w:bottom="85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val="0"/>
        <w:sz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