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F6" w:rsidRPr="00E078F6" w:rsidRDefault="00E078F6" w:rsidP="00E078F6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b/>
          <w:sz w:val="30"/>
          <w:szCs w:val="30"/>
        </w:rPr>
      </w:pPr>
      <w:r w:rsidRPr="00E078F6">
        <w:rPr>
          <w:rFonts w:ascii="Times New Roman" w:eastAsia="Calibri" w:hAnsi="Times New Roman" w:cs="Times New Roman"/>
          <w:b/>
          <w:sz w:val="30"/>
          <w:szCs w:val="30"/>
        </w:rPr>
        <w:t xml:space="preserve">Реализация графического метода в среде </w:t>
      </w:r>
      <w:proofErr w:type="spellStart"/>
      <w:r w:rsidRPr="00E078F6">
        <w:rPr>
          <w:rFonts w:ascii="Times New Roman" w:eastAsia="Calibri" w:hAnsi="Times New Roman" w:cs="Times New Roman"/>
          <w:b/>
          <w:sz w:val="30"/>
          <w:szCs w:val="30"/>
        </w:rPr>
        <w:t>Microsoft</w:t>
      </w:r>
      <w:proofErr w:type="spellEnd"/>
      <w:r w:rsidRPr="00E078F6">
        <w:rPr>
          <w:rFonts w:ascii="Times New Roman" w:eastAsia="Calibri" w:hAnsi="Times New Roman" w:cs="Times New Roman"/>
          <w:b/>
          <w:sz w:val="30"/>
          <w:szCs w:val="30"/>
        </w:rPr>
        <w:t xml:space="preserve"> </w:t>
      </w:r>
      <w:proofErr w:type="spellStart"/>
      <w:r w:rsidRPr="00E078F6">
        <w:rPr>
          <w:rFonts w:ascii="Times New Roman" w:eastAsia="Calibri" w:hAnsi="Times New Roman" w:cs="Times New Roman"/>
          <w:b/>
          <w:sz w:val="30"/>
          <w:szCs w:val="30"/>
        </w:rPr>
        <w:t>Excel</w:t>
      </w:r>
      <w:proofErr w:type="spellEnd"/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процесс решения задачи линейного программирования с двумя переменными графическим методом в среде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конкретном примере. Допустим, для некоторой задачи была построена следующая математическая модель;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3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→max</m:t>
          </m:r>
        </m:oMath>
      </m:oMathPara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≤10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≤5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≥1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 xml:space="preserve">  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 xml:space="preserve">≥0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задачи необходимо выполнить следующую последовательность действий: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Запустить </w:t>
      </w:r>
      <w:proofErr w:type="spell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результате чего по умолчанию будет создан новый документ</w:t>
      </w:r>
      <w:r w:rsidRPr="00E078F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 текущей странице сделать заглавие документа, которое в обязательном порядке должно включать ФИО и группу студента, а также постановку задачи (рис. 2.9).</w:t>
      </w:r>
    </w:p>
    <w:p w:rsidR="00E078F6" w:rsidRPr="00E078F6" w:rsidRDefault="00E078F6" w:rsidP="00E078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0B80B" wp14:editId="7DC14A0B">
            <wp:extent cx="4274675" cy="18897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65" cy="190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F6" w:rsidRPr="00E078F6" w:rsidRDefault="00E078F6" w:rsidP="00E078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Рис.2.9. Оформление работы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Сформировать столбец исходных значений для переменной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диапазоне от 0 до, например, 10 с шагом 0,5. Если потом окажется, что такого диапазона исходных данных не хватает для изображения всей области допустимых решений (ОДР), то диапазон нужно будет расширить.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следует ввести в пустую ячейку имя столбца – X</w:t>
      </w:r>
      <w:r w:rsidRPr="00E078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Допустим, что адрес этой ячейки A11. Далее в следующую ячейку столбца (A12) вводим начальное значение, равное нулю. В ячейку A13 помещаем формулу =A12+0,5. Выделяем ячейку A13 и копируем ее в буфер. Выделяем группу ячеек A14-A32 и вставляем в эту группу формулу из буфера. Таким образом, у нас получился столбец исходных данных, в каждой ячейке которого (кроме 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первой), находится значение, вычисленное по формуле Z+0,5, где Z – адрес предыдущей ячейки столбца (рис.2.10).</w:t>
      </w:r>
    </w:p>
    <w:p w:rsidR="00E078F6" w:rsidRPr="00E078F6" w:rsidRDefault="00E078F6" w:rsidP="00E078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429635" wp14:editId="4489662A">
            <wp:extent cx="5305723" cy="443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9778" t="25466" r="27993" b="11792"/>
                    <a:stretch/>
                  </pic:blipFill>
                  <pic:spPr bwMode="auto">
                    <a:xfrm>
                      <a:off x="0" y="0"/>
                      <a:ext cx="5342436" cy="446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8F6" w:rsidRPr="00E078F6" w:rsidRDefault="00E078F6" w:rsidP="00E078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Рис.2.10. Оформление матрицы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Рассматривая ограничения как равенства, выразить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сформировать для каждого уравнения столбец 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вычисляемых по соответствующим значениям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. Считая целевую функцию равной нулю, проделать аналогичную операцию также и для нее.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Столбцы со значениями должны располагаться рядом друг с другом и образовывать матрицу. Каждый столбец должен иметь имя.  В данном случае именами являются уравнения: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=(10-2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)/2</m:t>
        </m:r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= (5+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)/3</m:t>
        </m:r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= 1 – 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/2.</m:t>
        </m:r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в следующей ячейке столбца, т.е. под его именем, записываем формулу для вычисления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первого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Например, для второго столбца в ячейке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 будем иметь формулу =(10-2*A12)/2. После чего содержимое ячейки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 следует скопировать в буфер и, выделив последующие ячейки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13-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32, вставить в них содержимое буфера. Аналогичные манипуляции следует выполнить для вычисления значений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078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x</w:t>
      </w:r>
      <w:r w:rsidRPr="00E078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 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всех оставшихся выражений. В результате у вас должна получиться матрица, похожая на изображенную на рисунке 2.10.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Построить графики по имеющимся данным. Для этого следует выделить всю матрицу, включая имена столбцов, кроме первого столбца, и запустить мастера построения диаграмм. В рассматриваемом примере выделенными будут ячейки B11-E32. На закладке «Нестандартные» следует выбрать тип диаграммы «Гладкие графики» и нажать кнопку «Далее». На втором шаге построения диаграммы необходимо указать источник данных по оси абсцисс. По умолчанию это ряд чисел 1,</w:t>
      </w:r>
      <w:proofErr w:type="gram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2,3,…</w:t>
      </w:r>
      <w:proofErr w:type="gram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необходимо сменить на ряд, записанный в столбце Х</w:t>
      </w:r>
      <w:r w:rsidRPr="00E078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этого выбираем закладку «Ряд» и в поле «Подписи по оси Х» задаем диапазон адресов ячеек, в которых хранится интересующий нас ряд. Задать диапазон удобней всего при помощи специального инструмента выбора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вызвать который можно нажатием кнопки, расположенной в правой части поля ввода (рис.2. 11).</w:t>
      </w:r>
    </w:p>
    <w:p w:rsidR="00E078F6" w:rsidRPr="00E078F6" w:rsidRDefault="00E078F6" w:rsidP="00E07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13D49" wp14:editId="2439062B">
            <wp:extent cx="3974108" cy="4064000"/>
            <wp:effectExtent l="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28" cy="407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F6" w:rsidRPr="00E078F6" w:rsidRDefault="00E078F6" w:rsidP="00E078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Рис.2.11. Построение графиков по данным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нажатия на показанную кнопку диалог свернется до одного поля ввода, чтобы не мешать процессу выбора, и указатель мыши сменится на крестик. Далее необходимо выбрать ячейки, содержащие значения Х</w:t>
      </w:r>
      <w:r w:rsidRPr="00E078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нашем примере это ячейки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12-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32), за исключением ячейки с именем столбца. Адреса выбранных ячеек с учетом рабочего листа появятся в поле ввода свернувшегося диалога. Далее диалог следует развернуть, нажав кнопку, 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справа от поля ввода и перейти к третьему шагу построения диаграммы, нажав кнопку «Далее». На третьем шаге в закладке «Заголовки» следует ввести название диаграммы - «Область допустимых решений», названия оси Х – «Х1», название оси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«Х2». В других закладках диалога третьего этапа лучше ничего не менять и нажать кнопку «Далее». На четвертом шаге требуется просто подтвердить расположение создаваемой диаграммы на текущем листе, нажав кнопку «Готово».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Появившуюся диаграмму расположите под таблицей исходных данных и увеличьте в размерах в два раза (рис.2.12).</w:t>
      </w:r>
    </w:p>
    <w:p w:rsidR="00E078F6" w:rsidRPr="00E078F6" w:rsidRDefault="00E078F6" w:rsidP="00E07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E61A2" wp14:editId="4EE45EAA">
            <wp:extent cx="5834791" cy="40197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2706" t="22263" r="22093" b="10100"/>
                    <a:stretch/>
                  </pic:blipFill>
                  <pic:spPr bwMode="auto">
                    <a:xfrm>
                      <a:off x="0" y="0"/>
                      <a:ext cx="5881063" cy="405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8F6" w:rsidRPr="00E078F6" w:rsidRDefault="00E078F6" w:rsidP="00E078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Рис.2.12. Реализация диаграммы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Рассмотреть получившуюся диаграмму и определить, существует ли ОДР. Напоминаем, что ОДР должна быть выпуклой, и может представлять собой точку, отрезок, выпуклый многоугольник, полуплоскость. ОДР также может и не существовать, если ограничения несовместны. В ОДР может не существовать оптимального решения, если она не ограничена в направлении поиска оптимума. В случае несовместности ограничений или неограниченности ОДР в нужном направлении следует обратиться к преподавателю, доказать полученные выводы, внести предложения по изменению условий задачи так, чтобы оптимальное решение существовало и решить задачу при новых условиях.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Чтобы определить форму ОДР надо рассмотреть каждую из построенных прямых по отдельности и, заменив мысленно в соответствующем уравнении знак равенства на исходное неравенство, определить, с какой стороны от рассматриваемой прямой лежит ОДР. Для этого необходимо решить соответствующее неравенство относительно точки (0,0). Если неравенство истинно, то ОДР лежит в полуплоскости, которой принадлежит точка (0,0), если ложно – то в полуплоскости, которая не содержит точку (0,0). ОДР будет являться областью пересечения всех полуплоскостей, задаваемых неравенствами-ограничителями.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Определив на диаграмме область расположения ОДР, диаграмму нужно отмасштабировать таким образом, чтобы ОДР была четко видна.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Масштабирование состоит из двух этапов: изменения масштаба оси абсцисс и изменения масштаба оси ординат. 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Дважды щелкните левой кнопкой мыши на оси значений (ось ординат). В появившемся диалоге «Формат оси» выберите закладку «Шкала» и установите максимальное и минимальное значение шкалы так, чтобы получившийся диапазон был немного больше протяженности ОДР по этой оси. Также может потребоваться изменить цену основных и промежуточных делений.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рассматриваемом примере минимальное значение по оси значений было установлено равным -5, максимальное 5, цена основных делений 1, цена промежуточных делений 0,5.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Изменение формата оси абсцисс производится путем сокращения рядов данных, по которым строятся графики. Для этого необходимо вызвать диалог «Исходные данные» из всплывающего меню диаграммы и уменьшить (при необходимости) на некоторое число адрес последней ячейки с данными, а также увеличить (при необходимости) адрес начальной ячейки с данными. Указанную операцию по изменению адресов начальных и конечных ячеек с данными надо проделать для </w:t>
      </w:r>
      <w:r w:rsidRPr="00E078F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всех рядов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изображаемых на данной диаграмме, а также для разметки оси абсцисс (иначе увеличения масштаба изображения, не растягивая диаграмму до огромных размеров, достичь не удастся).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рассматриваемом примере крайняя правая точка ОДР имеет координаты (5,0), а это значит, что часть диаграммы, расположенную правее этой точки можно не рассматривать. Отсечем диаграмму справа, начиная с точки (6,0). Для этого определим адрес ячейки столбца данных Х</w:t>
      </w:r>
      <w:r w:rsidRPr="00E078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которой лежит число 6. Это ячейка A24, значит 24-я строка должна ограничивать ряд исходных данных для всех графиков. Вызываем диалог «Исходные данные» и 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закладке «Ряд» изменяем адреса последних ячеек для всех рядов с $B$32, $C$32, $D$32, $E$32 соответственно на $B$24, $C$24, $D$24, $E$24. Также изменяем адрес последней ячейки в поле «Подписи по оси Х» с $A$32 на $A$24 (рис. 2.13).</w:t>
      </w:r>
    </w:p>
    <w:p w:rsidR="00E078F6" w:rsidRPr="00E078F6" w:rsidRDefault="00E078F6" w:rsidP="00E07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E078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07F4B" wp14:editId="55F02A6D">
            <wp:extent cx="4060561" cy="4160520"/>
            <wp:effectExtent l="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30" cy="416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078F6" w:rsidRPr="00E078F6" w:rsidRDefault="00E078F6" w:rsidP="00E078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2.13. Реализация масштабирования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Нажимаем ОК. После масштабирования диаграмма выглядит как показано на рисунке 2.14.</w:t>
      </w:r>
    </w:p>
    <w:p w:rsidR="00E078F6" w:rsidRPr="00E078F6" w:rsidRDefault="00E078F6" w:rsidP="00E078F6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986AB1" wp14:editId="6741F2FF">
            <wp:extent cx="5305425" cy="3169600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0648" t="28788" r="22910" b="11238"/>
                    <a:stretch/>
                  </pic:blipFill>
                  <pic:spPr bwMode="auto">
                    <a:xfrm>
                      <a:off x="0" y="0"/>
                      <a:ext cx="5336302" cy="318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8F6" w:rsidRPr="00E078F6" w:rsidRDefault="00E078F6" w:rsidP="00E078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Рис. 2.14. Масштабированная диаграмма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Примечание: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78F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масштабирование следует проводить так, чтобы фрагменты всех прямых, включая прямую целевой функции, были видны.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построенной диаграмме выделить ОДР жирными линиями или обвести </w:t>
      </w:r>
      <w:proofErr w:type="spell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полилинией</w:t>
      </w:r>
      <w:proofErr w:type="spell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чего воспользоваться соответствующим инструментом </w:t>
      </w:r>
      <w:proofErr w:type="spell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рисования. Пример выделения ОДР </w:t>
      </w:r>
      <w:proofErr w:type="spell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полилинией</w:t>
      </w:r>
      <w:proofErr w:type="spell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 на рисунке 2.15. Здесь </w:t>
      </w:r>
      <w:proofErr w:type="spell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полилиния</w:t>
      </w:r>
      <w:proofErr w:type="spell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образовала пятиугольник, залитый белым цветом.</w:t>
      </w:r>
    </w:p>
    <w:p w:rsidR="00E078F6" w:rsidRPr="00E078F6" w:rsidRDefault="00E078F6" w:rsidP="00E078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1413A6" wp14:editId="6542C089">
            <wp:extent cx="5029200" cy="3144552"/>
            <wp:effectExtent l="0" t="0" r="0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30089" t="23990" r="19797" b="20280"/>
                    <a:stretch/>
                  </pic:blipFill>
                  <pic:spPr bwMode="auto">
                    <a:xfrm>
                      <a:off x="0" y="0"/>
                      <a:ext cx="5052026" cy="315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8F6" w:rsidRPr="00E078F6" w:rsidRDefault="00E078F6" w:rsidP="00E078F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2.15. Выделение ОДР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Найти на графике прямую целевой функции. На рис.2.15 фрагмент этой прямой обозначен отрезком AB. Найти градиент целевой функции в точке (0,0) и обозначить его направление стрелкой. В данном случае градиент имеет координаты {(0,0), (3,-2)}. Поскольку требуется найти максимум целевой функции, то начинаем мысленно сдвигать прямую целевой функции в направлении градиента (в случае поиска минимума сдвигать следует в направлении антиградиента), и определяем, что последняя точка ОДР, которая лежит на пути прямой, имеет координаты (5,0) (выделяем точку на графике), а максимум функции равен 15 (подставляем координаты точки в целевую функцию).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9.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случае, если точку оптимума по графику точно определить нельзя, то ее координаты следует находить путем решения уравнения, составленного из уравнений 2-х прямых, пересекающихся в ней. 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уравнения также можно воспользоваться возможностями </w:t>
      </w:r>
      <w:proofErr w:type="spell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Например, найдем точку пересечения прямых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= 1 – 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>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/2.</m:t>
        </m:r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приравняем правые части этих уравнений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/2= 1 – 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преобразуем данное уравнение так, чтобы оно было равным, например, нулю: 3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078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/2 + 2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078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1=0. Далее в какой либо свободной ячейке (допустим это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50) записываем формулу: =3*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50/2 + 2*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50 – 1. Здесь ячейка А50 нужна нам для хранения значения искомой переменной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Предположим, что эта переменная равна 0 и занесем 0 в ячейку А50. 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уравнений, а также для аналитического решения задач ЛП, в </w:t>
      </w:r>
      <w:proofErr w:type="spell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компонент «Поиск решения». Данный компонент вызывается из меню «Сервис» и может быть недоступен по умолчанию. Если так, то его необходимо подключить, выбрав пункт «Надстройки» из меню «Сервис». В появившемся диалоге необходимо поставить галочку напротив компонента «Поиск решения» и нажать «ОК». </w:t>
      </w:r>
    </w:p>
    <w:p w:rsidR="00E078F6" w:rsidRPr="00E078F6" w:rsidRDefault="00E078F6" w:rsidP="00E078F6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Вызываем компонент «Поиск решения» и в появившемся диалоге в качестве целевой ячейки устанавливаем ячейку, содержащую решаемое уравнение (в нашем примере это $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$50), а ячейку $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$50 устанавливаем в качестве изменяемой. ($ обозначает абсолютную адресацию ячеек) </w:t>
      </w:r>
      <w:proofErr w:type="gramStart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разделе «Параметры» рассматриваемого диалога выбираем тип модели «Линейная модель», нажимаем «ОК» и «Выполнить».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решит заданное уравнение с определенной точностью и сформирует решение в ячейке А50. В нашем случае Х</w:t>
      </w:r>
      <w:r w:rsidRPr="00E078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искомой точки равен 0,285714285714227. Чтобы узнать теперь чему равна координата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078F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точки пересечения просто корректируем формулу в ячейке </w:t>
      </w:r>
      <w:r w:rsidRPr="00E078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078F6">
        <w:rPr>
          <w:rFonts w:ascii="Times New Roman" w:eastAsia="Times New Roman" w:hAnsi="Times New Roman" w:cs="Times New Roman"/>
          <w:sz w:val="28"/>
          <w:szCs w:val="28"/>
          <w:lang w:eastAsia="ru-RU"/>
        </w:rPr>
        <w:t>50, приводя ее к виду одного из уравнений пересекающихся прямых. В нашем случае получаем, что искомая точка имеет точные координаты (0,285714285714227; 0,428571429).</w:t>
      </w:r>
    </w:p>
    <w:p w:rsidR="009A4FA7" w:rsidRDefault="009A4FA7"/>
    <w:sectPr w:rsidR="009A4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F6"/>
    <w:rsid w:val="009A4FA7"/>
    <w:rsid w:val="00E0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FB9C8-039E-4E21-B141-FAEDB4D0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1628</Words>
  <Characters>9283</Characters>
  <Application>Microsoft Office Word</Application>
  <DocSecurity>0</DocSecurity>
  <Lines>77</Lines>
  <Paragraphs>21</Paragraphs>
  <ScaleCrop>false</ScaleCrop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</cp:revision>
  <dcterms:created xsi:type="dcterms:W3CDTF">2019-10-23T10:26:00Z</dcterms:created>
  <dcterms:modified xsi:type="dcterms:W3CDTF">2019-10-23T10:28:00Z</dcterms:modified>
</cp:coreProperties>
</file>