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565FE" w14:textId="2A270007" w:rsidR="00CC1C48" w:rsidRDefault="00CC1C48" w:rsidP="00E8360C">
      <w:pPr>
        <w:spacing w:after="0" w:line="480" w:lineRule="auto"/>
        <w:rPr>
          <w:rFonts w:ascii="Times New Roman" w:eastAsia="Times New Roman" w:hAnsi="Times New Roman" w:cs="Times New Roman"/>
          <w:color w:val="000000" w:themeColor="text1"/>
          <w:sz w:val="24"/>
          <w:szCs w:val="24"/>
        </w:rPr>
      </w:pPr>
      <w:r w:rsidRPr="00CC1C48">
        <w:rPr>
          <w:rFonts w:ascii="Times New Roman" w:eastAsia="Times New Roman" w:hAnsi="Times New Roman" w:cs="Times New Roman"/>
          <w:color w:val="000000" w:themeColor="text1"/>
          <w:sz w:val="24"/>
          <w:szCs w:val="24"/>
        </w:rPr>
        <w:t>Luke Burstein, Andrew Howe, Percy Pham</w:t>
      </w:r>
      <w:r w:rsidR="00000A1E">
        <w:rPr>
          <w:rFonts w:ascii="Times New Roman" w:eastAsia="Times New Roman" w:hAnsi="Times New Roman" w:cs="Times New Roman"/>
          <w:color w:val="000000" w:themeColor="text1"/>
          <w:sz w:val="24"/>
          <w:szCs w:val="24"/>
        </w:rPr>
        <w:t xml:space="preserve"> (Group 3)</w:t>
      </w:r>
    </w:p>
    <w:p w14:paraId="183BCE80" w14:textId="19AACB52" w:rsidR="00CC1C48" w:rsidRDefault="00CC1C48" w:rsidP="00E8360C">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ECON 298: Econometrics</w:t>
      </w:r>
    </w:p>
    <w:p w14:paraId="4846B9CB" w14:textId="0A52FFDF" w:rsidR="00CC1C48" w:rsidRDefault="00CC1C48" w:rsidP="00E8360C">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Group Replication </w:t>
      </w:r>
      <w:r w:rsidR="00000A1E">
        <w:rPr>
          <w:rFonts w:ascii="Times New Roman" w:eastAsia="Times New Roman" w:hAnsi="Times New Roman" w:cs="Times New Roman"/>
          <w:color w:val="000000" w:themeColor="text1"/>
          <w:sz w:val="24"/>
          <w:szCs w:val="24"/>
        </w:rPr>
        <w:t xml:space="preserve">Project: </w:t>
      </w:r>
      <w:r w:rsidR="003A689F">
        <w:rPr>
          <w:rFonts w:ascii="Times New Roman" w:eastAsia="Times New Roman" w:hAnsi="Times New Roman" w:cs="Times New Roman"/>
          <w:color w:val="000000" w:themeColor="text1"/>
          <w:sz w:val="24"/>
          <w:szCs w:val="24"/>
        </w:rPr>
        <w:t>Lead and Mortality</w:t>
      </w:r>
      <w:bookmarkStart w:id="0" w:name="_GoBack"/>
      <w:bookmarkEnd w:id="0"/>
    </w:p>
    <w:p w14:paraId="72705860" w14:textId="77777777" w:rsidR="00CF146B" w:rsidRDefault="004B02BC" w:rsidP="00E8360C">
      <w:pPr>
        <w:pStyle w:val="ListParagraph"/>
        <w:numPr>
          <w:ilvl w:val="0"/>
          <w:numId w:val="1"/>
        </w:numPr>
        <w:spacing w:after="0" w:line="480" w:lineRule="auto"/>
        <w:ind w:left="0" w:firstLine="720"/>
        <w:rPr>
          <w:rFonts w:ascii="Times New Roman" w:eastAsia="Times New Roman" w:hAnsi="Times New Roman" w:cs="Times New Roman"/>
          <w:b/>
          <w:bCs/>
          <w:color w:val="000000" w:themeColor="text1"/>
          <w:sz w:val="24"/>
          <w:szCs w:val="24"/>
        </w:rPr>
      </w:pPr>
      <w:r w:rsidRPr="004B02BC">
        <w:rPr>
          <w:rFonts w:ascii="Times New Roman" w:eastAsia="Times New Roman" w:hAnsi="Times New Roman" w:cs="Times New Roman"/>
          <w:b/>
          <w:bCs/>
          <w:color w:val="000000" w:themeColor="text1"/>
          <w:sz w:val="24"/>
          <w:szCs w:val="24"/>
        </w:rPr>
        <w:t>PURPOSE</w:t>
      </w:r>
    </w:p>
    <w:p w14:paraId="6DF7490C" w14:textId="413E03C9" w:rsidR="00CF146B" w:rsidRDefault="007F5F3B" w:rsidP="00E8360C">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purpose of this report is to replicate the results of the paper </w:t>
      </w:r>
      <w:r w:rsidR="00351E5D">
        <w:rPr>
          <w:rFonts w:ascii="Times New Roman" w:eastAsia="Times New Roman" w:hAnsi="Times New Roman" w:cs="Times New Roman"/>
          <w:i/>
          <w:iCs/>
          <w:color w:val="000000" w:themeColor="text1"/>
          <w:sz w:val="24"/>
          <w:szCs w:val="24"/>
        </w:rPr>
        <w:t xml:space="preserve">Lead and Mortality </w:t>
      </w:r>
      <w:r w:rsidR="00351E5D">
        <w:rPr>
          <w:rFonts w:ascii="Times New Roman" w:eastAsia="Times New Roman" w:hAnsi="Times New Roman" w:cs="Times New Roman"/>
          <w:color w:val="000000" w:themeColor="text1"/>
          <w:sz w:val="24"/>
          <w:szCs w:val="24"/>
        </w:rPr>
        <w:t xml:space="preserve">written by Karen Clay, Werner Troesken, and Michael Haines </w:t>
      </w:r>
      <w:r w:rsidR="00546D89">
        <w:rPr>
          <w:rFonts w:ascii="Times New Roman" w:eastAsia="Times New Roman" w:hAnsi="Times New Roman" w:cs="Times New Roman"/>
          <w:color w:val="000000" w:themeColor="text1"/>
          <w:sz w:val="24"/>
          <w:szCs w:val="24"/>
        </w:rPr>
        <w:t xml:space="preserve">using Stata, </w:t>
      </w:r>
      <w:r w:rsidR="00812510">
        <w:rPr>
          <w:rFonts w:ascii="Times New Roman" w:eastAsia="Times New Roman" w:hAnsi="Times New Roman" w:cs="Times New Roman"/>
          <w:color w:val="000000" w:themeColor="text1"/>
          <w:sz w:val="24"/>
          <w:szCs w:val="24"/>
        </w:rPr>
        <w:t>discuss the replication results</w:t>
      </w:r>
      <w:r w:rsidR="0040391C">
        <w:rPr>
          <w:rFonts w:ascii="Times New Roman" w:eastAsia="Times New Roman" w:hAnsi="Times New Roman" w:cs="Times New Roman"/>
          <w:color w:val="000000" w:themeColor="text1"/>
          <w:sz w:val="24"/>
          <w:szCs w:val="24"/>
        </w:rPr>
        <w:t>,</w:t>
      </w:r>
      <w:r w:rsidR="00812510">
        <w:rPr>
          <w:rFonts w:ascii="Times New Roman" w:eastAsia="Times New Roman" w:hAnsi="Times New Roman" w:cs="Times New Roman"/>
          <w:color w:val="000000" w:themeColor="text1"/>
          <w:sz w:val="24"/>
          <w:szCs w:val="24"/>
        </w:rPr>
        <w:t xml:space="preserve"> and </w:t>
      </w:r>
      <w:r w:rsidR="0040391C">
        <w:rPr>
          <w:rFonts w:ascii="Times New Roman" w:eastAsia="Times New Roman" w:hAnsi="Times New Roman" w:cs="Times New Roman"/>
          <w:color w:val="000000" w:themeColor="text1"/>
          <w:sz w:val="24"/>
          <w:szCs w:val="24"/>
        </w:rPr>
        <w:t xml:space="preserve">briefly </w:t>
      </w:r>
      <w:r w:rsidR="00812510">
        <w:rPr>
          <w:rFonts w:ascii="Times New Roman" w:eastAsia="Times New Roman" w:hAnsi="Times New Roman" w:cs="Times New Roman"/>
          <w:color w:val="000000" w:themeColor="text1"/>
          <w:sz w:val="24"/>
          <w:szCs w:val="24"/>
        </w:rPr>
        <w:t xml:space="preserve">introduce </w:t>
      </w:r>
      <w:r w:rsidR="0040391C">
        <w:rPr>
          <w:rFonts w:ascii="Times New Roman" w:eastAsia="Times New Roman" w:hAnsi="Times New Roman" w:cs="Times New Roman"/>
          <w:color w:val="000000" w:themeColor="text1"/>
          <w:sz w:val="24"/>
          <w:szCs w:val="24"/>
        </w:rPr>
        <w:t xml:space="preserve">possible extensions </w:t>
      </w:r>
      <w:r w:rsidR="00BD1C2C">
        <w:rPr>
          <w:rFonts w:ascii="Times New Roman" w:eastAsia="Times New Roman" w:hAnsi="Times New Roman" w:cs="Times New Roman"/>
          <w:color w:val="000000" w:themeColor="text1"/>
          <w:sz w:val="24"/>
          <w:szCs w:val="24"/>
        </w:rPr>
        <w:t>to the phenomena in the study</w:t>
      </w:r>
    </w:p>
    <w:p w14:paraId="03240B71" w14:textId="35E6BC81" w:rsidR="00BD1C2C" w:rsidRPr="00023907" w:rsidRDefault="00023907" w:rsidP="00E8360C">
      <w:pPr>
        <w:pStyle w:val="ListParagraph"/>
        <w:numPr>
          <w:ilvl w:val="0"/>
          <w:numId w:val="2"/>
        </w:numPr>
        <w:spacing w:after="0" w:line="480" w:lineRule="auto"/>
        <w:ind w:left="0" w:firstLine="720"/>
        <w:rPr>
          <w:rFonts w:ascii="Times New Roman" w:eastAsia="Times New Roman" w:hAnsi="Times New Roman" w:cs="Times New Roman"/>
          <w:i/>
          <w:iCs/>
          <w:color w:val="000000" w:themeColor="text1"/>
          <w:sz w:val="24"/>
          <w:szCs w:val="24"/>
        </w:rPr>
      </w:pPr>
      <w:r w:rsidRPr="00023907">
        <w:rPr>
          <w:rFonts w:ascii="Times New Roman" w:eastAsia="Times New Roman" w:hAnsi="Times New Roman" w:cs="Times New Roman"/>
          <w:i/>
          <w:iCs/>
          <w:color w:val="000000" w:themeColor="text1"/>
          <w:sz w:val="24"/>
          <w:szCs w:val="24"/>
        </w:rPr>
        <w:t>Motivation</w:t>
      </w:r>
    </w:p>
    <w:p w14:paraId="5B3DC9FF" w14:textId="36641343" w:rsidR="00023907" w:rsidRDefault="15090A20" w:rsidP="00E8360C">
      <w:pPr>
        <w:spacing w:after="0" w:line="480" w:lineRule="auto"/>
        <w:ind w:firstLine="720"/>
        <w:jc w:val="both"/>
        <w:rPr>
          <w:rFonts w:ascii="Times New Roman" w:eastAsia="Times New Roman" w:hAnsi="Times New Roman" w:cs="Times New Roman"/>
          <w:b/>
          <w:bCs/>
          <w:color w:val="000000" w:themeColor="text1"/>
          <w:sz w:val="24"/>
          <w:szCs w:val="24"/>
        </w:rPr>
      </w:pPr>
      <w:r w:rsidRPr="00CF146B">
        <w:rPr>
          <w:rFonts w:ascii="Times New Roman" w:eastAsia="Times New Roman" w:hAnsi="Times New Roman" w:cs="Times New Roman"/>
          <w:color w:val="000000" w:themeColor="text1"/>
          <w:sz w:val="24"/>
          <w:szCs w:val="24"/>
        </w:rPr>
        <w:t xml:space="preserve">In </w:t>
      </w:r>
      <w:r w:rsidRPr="62AE9DE5">
        <w:rPr>
          <w:rFonts w:ascii="Times New Roman" w:eastAsia="Times New Roman" w:hAnsi="Times New Roman" w:cs="Times New Roman"/>
          <w:i/>
          <w:color w:val="000000" w:themeColor="text1"/>
          <w:sz w:val="24"/>
          <w:szCs w:val="24"/>
        </w:rPr>
        <w:t>Lead and Morality (2014)</w:t>
      </w:r>
      <w:r w:rsidRPr="00CF146B">
        <w:rPr>
          <w:rFonts w:ascii="Times New Roman" w:eastAsia="Times New Roman" w:hAnsi="Times New Roman" w:cs="Times New Roman"/>
          <w:color w:val="000000" w:themeColor="text1"/>
          <w:sz w:val="24"/>
          <w:szCs w:val="24"/>
        </w:rPr>
        <w:t>, the authors analyze how waterborne lead exposure affected the rate of infant mortality between 1900-1920 in urban centers of the USA. During this period, almost 23% of the American populous had exposure to lead through the water systems in their cities. The amount of lead</w:t>
      </w:r>
      <w:r w:rsidR="00F73B3E">
        <w:rPr>
          <w:rFonts w:ascii="Times New Roman" w:eastAsia="Times New Roman" w:hAnsi="Times New Roman" w:cs="Times New Roman"/>
          <w:color w:val="000000" w:themeColor="text1"/>
          <w:sz w:val="24"/>
          <w:szCs w:val="24"/>
        </w:rPr>
        <w:t xml:space="preserve"> that</w:t>
      </w:r>
      <w:r w:rsidRPr="00CF146B">
        <w:rPr>
          <w:rFonts w:ascii="Times New Roman" w:eastAsia="Times New Roman" w:hAnsi="Times New Roman" w:cs="Times New Roman"/>
          <w:color w:val="000000" w:themeColor="text1"/>
          <w:sz w:val="24"/>
          <w:szCs w:val="24"/>
        </w:rPr>
        <w:t xml:space="preserve"> an individual</w:t>
      </w:r>
      <w:r w:rsidR="2B6611B6" w:rsidRPr="00CF146B">
        <w:rPr>
          <w:rFonts w:ascii="Times New Roman" w:eastAsia="Times New Roman" w:hAnsi="Times New Roman" w:cs="Times New Roman"/>
          <w:color w:val="000000" w:themeColor="text1"/>
          <w:sz w:val="24"/>
          <w:szCs w:val="24"/>
        </w:rPr>
        <w:t xml:space="preserve"> in one of these cities</w:t>
      </w:r>
      <w:r w:rsidRPr="00CF146B">
        <w:rPr>
          <w:rFonts w:ascii="Times New Roman" w:eastAsia="Times New Roman" w:hAnsi="Times New Roman" w:cs="Times New Roman"/>
          <w:color w:val="000000" w:themeColor="text1"/>
          <w:sz w:val="24"/>
          <w:szCs w:val="24"/>
        </w:rPr>
        <w:t xml:space="preserve"> was exposed to was the result of the chemical properties of their city’s respective water source. For example, areas with water having higher acidity (lower pH) had lead leach into their water systems. The authors choose to look at infant mortality because it is a strong and measurable proxy for general population health. Lead exposure during the prenatal stage and infancy is more likely to result in death. Adult exposure more often results in sickness making it harder to quantify.  Until the 1970s, high concentrations of lead in water was thought to be mostly safe. While the negative health effects of lead exposure are evident today, very little retroactively research has been done on leads impact during the early 20</w:t>
      </w:r>
      <w:r w:rsidRPr="00CF146B">
        <w:rPr>
          <w:rFonts w:ascii="Times New Roman" w:eastAsia="Times New Roman" w:hAnsi="Times New Roman" w:cs="Times New Roman"/>
          <w:color w:val="000000" w:themeColor="text1"/>
          <w:sz w:val="24"/>
          <w:szCs w:val="24"/>
          <w:vertAlign w:val="superscript"/>
        </w:rPr>
        <w:t>th</w:t>
      </w:r>
      <w:r w:rsidRPr="00CF146B">
        <w:rPr>
          <w:rFonts w:ascii="Times New Roman" w:eastAsia="Times New Roman" w:hAnsi="Times New Roman" w:cs="Times New Roman"/>
          <w:color w:val="000000" w:themeColor="text1"/>
          <w:sz w:val="24"/>
          <w:szCs w:val="24"/>
        </w:rPr>
        <w:t xml:space="preserve"> century on a national scale. The research done in this paper is important for two primary reasons. One, it generally adds to the existing literature on the adverse health effects lead has for the population. While lead piping in cities is no longer a major issue today, this work could help prompt policy aimed at limiting other sources of lead exposure. For example, lead-</w:t>
      </w:r>
      <w:r w:rsidRPr="00CF146B">
        <w:rPr>
          <w:rFonts w:ascii="Times New Roman" w:eastAsia="Times New Roman" w:hAnsi="Times New Roman" w:cs="Times New Roman"/>
          <w:color w:val="000000" w:themeColor="text1"/>
          <w:sz w:val="24"/>
          <w:szCs w:val="24"/>
        </w:rPr>
        <w:lastRenderedPageBreak/>
        <w:t>based paint is still a widespread issue in the United States. Second, the finding</w:t>
      </w:r>
      <w:r w:rsidR="00023907">
        <w:rPr>
          <w:rFonts w:ascii="Times New Roman" w:eastAsia="Times New Roman" w:hAnsi="Times New Roman" w:cs="Times New Roman"/>
          <w:color w:val="000000" w:themeColor="text1"/>
          <w:sz w:val="24"/>
          <w:szCs w:val="24"/>
        </w:rPr>
        <w:t>s</w:t>
      </w:r>
      <w:r w:rsidRPr="00CF146B">
        <w:rPr>
          <w:rFonts w:ascii="Times New Roman" w:eastAsia="Times New Roman" w:hAnsi="Times New Roman" w:cs="Times New Roman"/>
          <w:color w:val="000000" w:themeColor="text1"/>
          <w:sz w:val="24"/>
          <w:szCs w:val="24"/>
        </w:rPr>
        <w:t xml:space="preserve"> are a valuable extension of literature that explains the declining rates of infant mortality rates in the United States over the 20</w:t>
      </w:r>
      <w:r w:rsidRPr="00CF146B">
        <w:rPr>
          <w:rFonts w:ascii="Times New Roman" w:eastAsia="Times New Roman" w:hAnsi="Times New Roman" w:cs="Times New Roman"/>
          <w:color w:val="000000" w:themeColor="text1"/>
          <w:sz w:val="24"/>
          <w:szCs w:val="24"/>
          <w:vertAlign w:val="superscript"/>
        </w:rPr>
        <w:t>th</w:t>
      </w:r>
      <w:r w:rsidRPr="00CF146B">
        <w:rPr>
          <w:rFonts w:ascii="Times New Roman" w:eastAsia="Times New Roman" w:hAnsi="Times New Roman" w:cs="Times New Roman"/>
          <w:color w:val="000000" w:themeColor="text1"/>
          <w:sz w:val="24"/>
          <w:szCs w:val="24"/>
        </w:rPr>
        <w:t xml:space="preserve"> century.</w:t>
      </w:r>
    </w:p>
    <w:p w14:paraId="4CD36E60" w14:textId="53FEF798" w:rsidR="00023907" w:rsidRPr="00BB1F90" w:rsidRDefault="00BB1F90" w:rsidP="00E8360C">
      <w:pPr>
        <w:pStyle w:val="ListParagraph"/>
        <w:numPr>
          <w:ilvl w:val="0"/>
          <w:numId w:val="2"/>
        </w:numPr>
        <w:spacing w:after="0" w:line="480" w:lineRule="auto"/>
        <w:ind w:left="0" w:firstLine="720"/>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Data and Methods</w:t>
      </w:r>
    </w:p>
    <w:p w14:paraId="0F074371" w14:textId="48EEB11C" w:rsidR="00A824ED" w:rsidRDefault="15090A20" w:rsidP="00E8360C">
      <w:pPr>
        <w:spacing w:after="0" w:line="480" w:lineRule="auto"/>
        <w:ind w:firstLine="720"/>
        <w:jc w:val="both"/>
        <w:rPr>
          <w:rFonts w:ascii="Times New Roman" w:eastAsia="Times New Roman" w:hAnsi="Times New Roman" w:cs="Times New Roman"/>
          <w:color w:val="000000" w:themeColor="text1"/>
          <w:sz w:val="24"/>
          <w:szCs w:val="24"/>
        </w:rPr>
      </w:pPr>
      <w:r w:rsidRPr="561A2F1A">
        <w:rPr>
          <w:rFonts w:ascii="Times New Roman" w:eastAsia="Times New Roman" w:hAnsi="Times New Roman" w:cs="Times New Roman"/>
          <w:color w:val="000000" w:themeColor="text1"/>
          <w:sz w:val="24"/>
          <w:szCs w:val="24"/>
        </w:rPr>
        <w:t>The study looks at data from 172 cities, home to nearly 84% of America’s urban population. Infant mortality statistics were collected every 5 years from the majority of these cities. Data on water characteristics was collected from a number of different sources</w:t>
      </w:r>
      <w:r w:rsidR="00883748">
        <w:rPr>
          <w:rFonts w:ascii="Times New Roman" w:eastAsia="Times New Roman" w:hAnsi="Times New Roman" w:cs="Times New Roman"/>
          <w:color w:val="000000" w:themeColor="text1"/>
          <w:sz w:val="24"/>
          <w:szCs w:val="24"/>
        </w:rPr>
        <w:t xml:space="preserve"> </w:t>
      </w:r>
      <w:r w:rsidR="004E17D7">
        <w:rPr>
          <w:rFonts w:ascii="Times New Roman" w:eastAsia="Times New Roman" w:hAnsi="Times New Roman" w:cs="Times New Roman"/>
          <w:color w:val="000000" w:themeColor="text1"/>
          <w:sz w:val="24"/>
          <w:szCs w:val="24"/>
        </w:rPr>
        <w:t>including but not limited to</w:t>
      </w:r>
      <w:r w:rsidR="004E17D7" w:rsidRPr="004E17D7">
        <w:rPr>
          <w:rFonts w:ascii="Times New Roman" w:eastAsia="Times New Roman" w:hAnsi="Times New Roman" w:cs="Times New Roman"/>
          <w:color w:val="000000" w:themeColor="text1"/>
          <w:sz w:val="24"/>
          <w:szCs w:val="24"/>
        </w:rPr>
        <w:t xml:space="preserve"> IPUMs</w:t>
      </w:r>
      <w:r w:rsidR="00E54DA4">
        <w:rPr>
          <w:rFonts w:ascii="Times New Roman" w:eastAsia="Times New Roman" w:hAnsi="Times New Roman" w:cs="Times New Roman"/>
          <w:color w:val="000000" w:themeColor="text1"/>
          <w:sz w:val="24"/>
          <w:szCs w:val="24"/>
        </w:rPr>
        <w:t>,</w:t>
      </w:r>
      <w:r w:rsidR="004E17D7">
        <w:rPr>
          <w:rFonts w:ascii="Times New Roman" w:eastAsia="Times New Roman" w:hAnsi="Times New Roman" w:cs="Times New Roman"/>
          <w:color w:val="000000" w:themeColor="text1"/>
          <w:sz w:val="24"/>
          <w:szCs w:val="24"/>
        </w:rPr>
        <w:t xml:space="preserve"> U.S. Geological Survey</w:t>
      </w:r>
      <w:r w:rsidR="00E54DA4">
        <w:rPr>
          <w:rFonts w:ascii="Times New Roman" w:eastAsia="Times New Roman" w:hAnsi="Times New Roman" w:cs="Times New Roman"/>
          <w:color w:val="000000" w:themeColor="text1"/>
          <w:sz w:val="24"/>
          <w:szCs w:val="24"/>
        </w:rPr>
        <w:t>, or local resources</w:t>
      </w:r>
      <w:r w:rsidRPr="561A2F1A">
        <w:rPr>
          <w:rFonts w:ascii="Times New Roman" w:eastAsia="Times New Roman" w:hAnsi="Times New Roman" w:cs="Times New Roman"/>
          <w:color w:val="000000" w:themeColor="text1"/>
          <w:sz w:val="24"/>
          <w:szCs w:val="24"/>
        </w:rPr>
        <w:t xml:space="preserve">. The most important of these measurements was the level of acidity or pH in a city’s water. For the analysis, cities with only lead pipes were divided into groups based on their pH level quartile and compared to average infant mortality in those areas. As part of this analysis, the authors factor in other variables such as changes in milk quality, which would influence infant mortality. The author’s further divide the sample by city size. </w:t>
      </w:r>
      <w:r w:rsidR="001678C2">
        <w:rPr>
          <w:rFonts w:ascii="Times New Roman" w:eastAsia="Times New Roman" w:hAnsi="Times New Roman" w:cs="Times New Roman"/>
          <w:color w:val="000000" w:themeColor="text1"/>
          <w:sz w:val="24"/>
          <w:szCs w:val="24"/>
        </w:rPr>
        <w:t xml:space="preserve">The authors then use regression analysis </w:t>
      </w:r>
      <w:r w:rsidR="004B65A4">
        <w:rPr>
          <w:rFonts w:ascii="Times New Roman" w:eastAsia="Times New Roman" w:hAnsi="Times New Roman" w:cs="Times New Roman"/>
          <w:color w:val="000000" w:themeColor="text1"/>
          <w:sz w:val="24"/>
          <w:szCs w:val="24"/>
        </w:rPr>
        <w:t>to find out the correlation between variables.</w:t>
      </w:r>
    </w:p>
    <w:p w14:paraId="7D0966B2" w14:textId="1EFF7C72" w:rsidR="00A824ED" w:rsidRPr="00A824ED" w:rsidRDefault="00A824ED" w:rsidP="00E8360C">
      <w:pPr>
        <w:pStyle w:val="ListParagraph"/>
        <w:numPr>
          <w:ilvl w:val="0"/>
          <w:numId w:val="2"/>
        </w:numPr>
        <w:spacing w:after="0" w:line="480" w:lineRule="auto"/>
        <w:ind w:left="0" w:firstLine="720"/>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Results and Conclusions</w:t>
      </w:r>
    </w:p>
    <w:p w14:paraId="7B2B1000" w14:textId="77777777" w:rsidR="00FA0E69" w:rsidRDefault="15090A20" w:rsidP="00E8360C">
      <w:pPr>
        <w:spacing w:after="0" w:line="480" w:lineRule="auto"/>
        <w:ind w:firstLine="720"/>
        <w:jc w:val="both"/>
        <w:rPr>
          <w:rFonts w:ascii="Times New Roman" w:eastAsia="Times New Roman" w:hAnsi="Times New Roman" w:cs="Times New Roman"/>
          <w:color w:val="000000" w:themeColor="text1"/>
          <w:sz w:val="24"/>
          <w:szCs w:val="24"/>
        </w:rPr>
      </w:pPr>
      <w:r w:rsidRPr="561A2F1A">
        <w:rPr>
          <w:rFonts w:ascii="Times New Roman" w:eastAsia="Times New Roman" w:hAnsi="Times New Roman" w:cs="Times New Roman"/>
          <w:color w:val="000000" w:themeColor="text1"/>
          <w:sz w:val="24"/>
          <w:szCs w:val="24"/>
        </w:rPr>
        <w:t xml:space="preserve">The authors found that cities with lead-pipes had higher infant mortality than those without. Furthermore, regression analysis shows that lower pH in cities with lead piping was associated with higher mortality in 1900. Additionally, the results seem to indicate that lead levels in water increased quickly in cities with pH levels below 7.3. Introducing a “time” variable to the regression evidences this causality further. Between 1900-1920, the author expected that the corrosiveness of lead piping would diminish, improvements would be made in water treatment, and lead piping would be phased out by safer alternatives. As a result, if lead was a causal factor, infant mortality rates would be expected to decline. The results corroborate this hypothesis. The authors observed </w:t>
      </w:r>
      <w:r w:rsidRPr="561A2F1A">
        <w:rPr>
          <w:rFonts w:ascii="Times New Roman" w:eastAsia="Times New Roman" w:hAnsi="Times New Roman" w:cs="Times New Roman"/>
          <w:color w:val="000000" w:themeColor="text1"/>
          <w:sz w:val="24"/>
          <w:szCs w:val="24"/>
        </w:rPr>
        <w:lastRenderedPageBreak/>
        <w:t>child mortality rates between 1900-1920 falling faster in cities with lead pipes than in those without.</w:t>
      </w:r>
      <w:r w:rsidR="00B90364">
        <w:rPr>
          <w:rFonts w:ascii="Times New Roman" w:eastAsia="Times New Roman" w:hAnsi="Times New Roman" w:cs="Times New Roman"/>
          <w:color w:val="000000" w:themeColor="text1"/>
          <w:sz w:val="24"/>
          <w:szCs w:val="24"/>
        </w:rPr>
        <w:t xml:space="preserve"> </w:t>
      </w:r>
      <w:r w:rsidRPr="561A2F1A">
        <w:rPr>
          <w:rFonts w:ascii="Times New Roman" w:eastAsia="Times New Roman" w:hAnsi="Times New Roman" w:cs="Times New Roman"/>
          <w:color w:val="000000" w:themeColor="text1"/>
          <w:sz w:val="24"/>
          <w:szCs w:val="24"/>
        </w:rPr>
        <w:t>Overall, the study concludes that between 1900 and 1920 water leeching into the water supply was directly related to increases in the rate of infant mortality. The level of pH was an important variable in this relationship. Cities with lead pipes and lower levels of water acidity had significantly lower levels of infant mortality than those cities with lead pipes and higher levels of water acidity.</w:t>
      </w:r>
    </w:p>
    <w:p w14:paraId="69D4A805" w14:textId="235201F5" w:rsidR="15090A20" w:rsidRDefault="15090A20" w:rsidP="00E8360C">
      <w:pPr>
        <w:spacing w:after="0" w:line="480" w:lineRule="auto"/>
        <w:ind w:firstLine="720"/>
        <w:jc w:val="both"/>
        <w:rPr>
          <w:rFonts w:ascii="Times New Roman" w:eastAsia="Times New Roman" w:hAnsi="Times New Roman" w:cs="Times New Roman"/>
          <w:color w:val="000000" w:themeColor="text1"/>
          <w:sz w:val="24"/>
          <w:szCs w:val="24"/>
        </w:rPr>
      </w:pPr>
      <w:r w:rsidRPr="561A2F1A">
        <w:rPr>
          <w:rFonts w:ascii="Times New Roman" w:eastAsia="Times New Roman" w:hAnsi="Times New Roman" w:cs="Times New Roman"/>
          <w:color w:val="000000" w:themeColor="text1"/>
          <w:sz w:val="24"/>
          <w:szCs w:val="24"/>
        </w:rPr>
        <w:t>Our group will attempt to replicate these results</w:t>
      </w:r>
      <w:r w:rsidR="00791081">
        <w:rPr>
          <w:rFonts w:ascii="Times New Roman" w:eastAsia="Times New Roman" w:hAnsi="Times New Roman" w:cs="Times New Roman"/>
          <w:color w:val="000000" w:themeColor="text1"/>
          <w:sz w:val="24"/>
          <w:szCs w:val="24"/>
        </w:rPr>
        <w:t xml:space="preserve"> to identify the determinants of cities with lead pipes in 1900</w:t>
      </w:r>
      <w:r w:rsidR="004F715D">
        <w:rPr>
          <w:rFonts w:ascii="Times New Roman" w:eastAsia="Times New Roman" w:hAnsi="Times New Roman" w:cs="Times New Roman"/>
          <w:color w:val="000000" w:themeColor="text1"/>
          <w:sz w:val="24"/>
          <w:szCs w:val="24"/>
        </w:rPr>
        <w:t xml:space="preserve"> and</w:t>
      </w:r>
      <w:r w:rsidR="00791081">
        <w:rPr>
          <w:rFonts w:ascii="Times New Roman" w:eastAsia="Times New Roman" w:hAnsi="Times New Roman" w:cs="Times New Roman"/>
          <w:color w:val="000000" w:themeColor="text1"/>
          <w:sz w:val="24"/>
          <w:szCs w:val="24"/>
        </w:rPr>
        <w:t xml:space="preserve"> </w:t>
      </w:r>
      <w:r w:rsidR="00E04E60">
        <w:rPr>
          <w:rFonts w:ascii="Times New Roman" w:eastAsia="Times New Roman" w:hAnsi="Times New Roman" w:cs="Times New Roman"/>
          <w:color w:val="000000" w:themeColor="text1"/>
          <w:sz w:val="24"/>
          <w:szCs w:val="24"/>
        </w:rPr>
        <w:t>the effects of lead</w:t>
      </w:r>
      <w:r w:rsidR="0037788D">
        <w:rPr>
          <w:rFonts w:ascii="Times New Roman" w:eastAsia="Times New Roman" w:hAnsi="Times New Roman" w:cs="Times New Roman"/>
          <w:color w:val="000000" w:themeColor="text1"/>
          <w:sz w:val="24"/>
          <w:szCs w:val="24"/>
        </w:rPr>
        <w:t>,</w:t>
      </w:r>
      <w:r w:rsidR="00E04E60">
        <w:rPr>
          <w:rFonts w:ascii="Times New Roman" w:eastAsia="Times New Roman" w:hAnsi="Times New Roman" w:cs="Times New Roman"/>
          <w:color w:val="000000" w:themeColor="text1"/>
          <w:sz w:val="24"/>
          <w:szCs w:val="24"/>
        </w:rPr>
        <w:t xml:space="preserve"> pH</w:t>
      </w:r>
      <w:r w:rsidR="0037788D">
        <w:rPr>
          <w:rFonts w:ascii="Times New Roman" w:eastAsia="Times New Roman" w:hAnsi="Times New Roman" w:cs="Times New Roman"/>
          <w:color w:val="000000" w:themeColor="text1"/>
          <w:sz w:val="24"/>
          <w:szCs w:val="24"/>
        </w:rPr>
        <w:t>, and hardness</w:t>
      </w:r>
      <w:r w:rsidR="00E04E60">
        <w:rPr>
          <w:rFonts w:ascii="Times New Roman" w:eastAsia="Times New Roman" w:hAnsi="Times New Roman" w:cs="Times New Roman"/>
          <w:color w:val="000000" w:themeColor="text1"/>
          <w:sz w:val="24"/>
          <w:szCs w:val="24"/>
        </w:rPr>
        <w:t xml:space="preserve"> </w:t>
      </w:r>
      <w:r w:rsidR="0037788D">
        <w:rPr>
          <w:rFonts w:ascii="Times New Roman" w:eastAsia="Times New Roman" w:hAnsi="Times New Roman" w:cs="Times New Roman"/>
          <w:color w:val="000000" w:themeColor="text1"/>
          <w:sz w:val="24"/>
          <w:szCs w:val="24"/>
        </w:rPr>
        <w:t>on</w:t>
      </w:r>
      <w:r w:rsidR="00E04E60">
        <w:rPr>
          <w:rFonts w:ascii="Times New Roman" w:eastAsia="Times New Roman" w:hAnsi="Times New Roman" w:cs="Times New Roman"/>
          <w:color w:val="000000" w:themeColor="text1"/>
          <w:sz w:val="24"/>
          <w:szCs w:val="24"/>
        </w:rPr>
        <w:t xml:space="preserve"> infant mortality in 1900</w:t>
      </w:r>
      <w:r w:rsidR="009B41F0">
        <w:rPr>
          <w:rFonts w:ascii="Times New Roman" w:eastAsia="Times New Roman" w:hAnsi="Times New Roman" w:cs="Times New Roman"/>
          <w:color w:val="000000" w:themeColor="text1"/>
          <w:sz w:val="24"/>
          <w:szCs w:val="24"/>
        </w:rPr>
        <w:t>.</w:t>
      </w:r>
    </w:p>
    <w:p w14:paraId="1C21D143" w14:textId="463D21FD" w:rsidR="00482C09" w:rsidRDefault="003979D7" w:rsidP="00E8360C">
      <w:pPr>
        <w:pStyle w:val="ListParagraph"/>
        <w:numPr>
          <w:ilvl w:val="0"/>
          <w:numId w:val="1"/>
        </w:numPr>
        <w:spacing w:after="0" w:line="480" w:lineRule="auto"/>
        <w:ind w:left="0" w:firstLine="72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Replication Data and Methods</w:t>
      </w:r>
    </w:p>
    <w:p w14:paraId="324DD116" w14:textId="499D68D8" w:rsidR="00E32976" w:rsidRDefault="00E32976" w:rsidP="00E8360C">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data provided for replication is only a sub</w:t>
      </w:r>
      <w:r w:rsidR="004D4440">
        <w:rPr>
          <w:rFonts w:ascii="Times New Roman" w:eastAsia="Times New Roman" w:hAnsi="Times New Roman" w:cs="Times New Roman"/>
          <w:color w:val="000000" w:themeColor="text1"/>
          <w:sz w:val="24"/>
          <w:szCs w:val="24"/>
        </w:rPr>
        <w:t xml:space="preserve">set of the original data </w:t>
      </w:r>
      <w:r w:rsidR="005164BE">
        <w:rPr>
          <w:rFonts w:ascii="Times New Roman" w:eastAsia="Times New Roman" w:hAnsi="Times New Roman" w:cs="Times New Roman"/>
          <w:color w:val="000000" w:themeColor="text1"/>
          <w:sz w:val="24"/>
          <w:szCs w:val="24"/>
        </w:rPr>
        <w:t>used in the original study</w:t>
      </w:r>
      <w:r w:rsidR="003F6758">
        <w:rPr>
          <w:rFonts w:ascii="Times New Roman" w:eastAsia="Times New Roman" w:hAnsi="Times New Roman" w:cs="Times New Roman"/>
          <w:color w:val="000000" w:themeColor="text1"/>
          <w:sz w:val="24"/>
          <w:szCs w:val="24"/>
        </w:rPr>
        <w:t xml:space="preserve">. </w:t>
      </w:r>
      <w:r w:rsidR="00723DE8">
        <w:rPr>
          <w:rFonts w:ascii="Times New Roman" w:eastAsia="Times New Roman" w:hAnsi="Times New Roman" w:cs="Times New Roman"/>
          <w:color w:val="000000" w:themeColor="text1"/>
          <w:sz w:val="24"/>
          <w:szCs w:val="24"/>
        </w:rPr>
        <w:t xml:space="preserve">The replication data </w:t>
      </w:r>
      <w:r w:rsidR="00144FFB">
        <w:rPr>
          <w:rFonts w:ascii="Times New Roman" w:eastAsia="Times New Roman" w:hAnsi="Times New Roman" w:cs="Times New Roman"/>
          <w:color w:val="000000" w:themeColor="text1"/>
          <w:sz w:val="24"/>
          <w:szCs w:val="24"/>
        </w:rPr>
        <w:t>contains data of 172 U.S cities in 1900, instead of</w:t>
      </w:r>
      <w:r w:rsidR="00A926CD">
        <w:rPr>
          <w:rFonts w:ascii="Times New Roman" w:eastAsia="Times New Roman" w:hAnsi="Times New Roman" w:cs="Times New Roman"/>
          <w:color w:val="000000" w:themeColor="text1"/>
          <w:sz w:val="24"/>
          <w:szCs w:val="24"/>
        </w:rPr>
        <w:t xml:space="preserve"> data</w:t>
      </w:r>
      <w:r w:rsidR="00144FFB">
        <w:rPr>
          <w:rFonts w:ascii="Times New Roman" w:eastAsia="Times New Roman" w:hAnsi="Times New Roman" w:cs="Times New Roman"/>
          <w:color w:val="000000" w:themeColor="text1"/>
          <w:sz w:val="24"/>
          <w:szCs w:val="24"/>
        </w:rPr>
        <w:t xml:space="preserve"> </w:t>
      </w:r>
      <w:r w:rsidR="00A926CD">
        <w:rPr>
          <w:rFonts w:ascii="Times New Roman" w:eastAsia="Times New Roman" w:hAnsi="Times New Roman" w:cs="Times New Roman"/>
          <w:color w:val="000000" w:themeColor="text1"/>
          <w:sz w:val="24"/>
          <w:szCs w:val="24"/>
        </w:rPr>
        <w:t xml:space="preserve">of </w:t>
      </w:r>
      <w:r w:rsidR="00144FFB">
        <w:rPr>
          <w:rFonts w:ascii="Times New Roman" w:eastAsia="Times New Roman" w:hAnsi="Times New Roman" w:cs="Times New Roman"/>
          <w:color w:val="000000" w:themeColor="text1"/>
          <w:sz w:val="24"/>
          <w:szCs w:val="24"/>
        </w:rPr>
        <w:t xml:space="preserve">cities </w:t>
      </w:r>
      <w:r w:rsidR="00A926CD">
        <w:rPr>
          <w:rFonts w:ascii="Times New Roman" w:eastAsia="Times New Roman" w:hAnsi="Times New Roman" w:cs="Times New Roman"/>
          <w:color w:val="000000" w:themeColor="text1"/>
          <w:sz w:val="24"/>
          <w:szCs w:val="24"/>
        </w:rPr>
        <w:t xml:space="preserve">from 1900 to 1920 </w:t>
      </w:r>
      <w:r w:rsidR="00E565F8">
        <w:rPr>
          <w:rFonts w:ascii="Times New Roman" w:eastAsia="Times New Roman" w:hAnsi="Times New Roman" w:cs="Times New Roman"/>
          <w:color w:val="000000" w:themeColor="text1"/>
          <w:sz w:val="24"/>
          <w:szCs w:val="24"/>
        </w:rPr>
        <w:t xml:space="preserve">like the original data. Therefore, it is impossible to replicate </w:t>
      </w:r>
      <w:r w:rsidR="005151F5">
        <w:rPr>
          <w:rFonts w:ascii="Times New Roman" w:eastAsia="Times New Roman" w:hAnsi="Times New Roman" w:cs="Times New Roman"/>
          <w:color w:val="000000" w:themeColor="text1"/>
          <w:sz w:val="24"/>
          <w:szCs w:val="24"/>
        </w:rPr>
        <w:t>the regression analysis used to identify the effects of lead and pH on infant mortality from 1900-1920.</w:t>
      </w:r>
      <w:r w:rsidR="008F41D3">
        <w:rPr>
          <w:rFonts w:ascii="Times New Roman" w:eastAsia="Times New Roman" w:hAnsi="Times New Roman" w:cs="Times New Roman"/>
          <w:color w:val="000000" w:themeColor="text1"/>
          <w:sz w:val="24"/>
          <w:szCs w:val="24"/>
        </w:rPr>
        <w:t xml:space="preserve"> </w:t>
      </w:r>
      <w:r w:rsidR="00CE1758">
        <w:rPr>
          <w:rFonts w:ascii="Times New Roman" w:eastAsia="Times New Roman" w:hAnsi="Times New Roman" w:cs="Times New Roman"/>
          <w:color w:val="000000" w:themeColor="text1"/>
          <w:sz w:val="24"/>
          <w:szCs w:val="24"/>
        </w:rPr>
        <w:t>Also, t</w:t>
      </w:r>
      <w:r w:rsidR="0064781F">
        <w:rPr>
          <w:rFonts w:ascii="Times New Roman" w:eastAsia="Times New Roman" w:hAnsi="Times New Roman" w:cs="Times New Roman"/>
          <w:color w:val="000000" w:themeColor="text1"/>
          <w:sz w:val="24"/>
          <w:szCs w:val="24"/>
        </w:rPr>
        <w:t xml:space="preserve">he replication data </w:t>
      </w:r>
      <w:r w:rsidR="00CE1758">
        <w:rPr>
          <w:rFonts w:ascii="Times New Roman" w:eastAsia="Times New Roman" w:hAnsi="Times New Roman" w:cs="Times New Roman"/>
          <w:color w:val="000000" w:themeColor="text1"/>
          <w:sz w:val="24"/>
          <w:szCs w:val="24"/>
        </w:rPr>
        <w:t>does not have data for noninfant rate</w:t>
      </w:r>
      <w:r w:rsidR="001A7A89">
        <w:rPr>
          <w:rFonts w:ascii="Times New Roman" w:eastAsia="Times New Roman" w:hAnsi="Times New Roman" w:cs="Times New Roman"/>
          <w:color w:val="000000" w:themeColor="text1"/>
          <w:sz w:val="24"/>
          <w:szCs w:val="24"/>
        </w:rPr>
        <w:t xml:space="preserve"> and</w:t>
      </w:r>
      <w:r w:rsidR="00CE1758">
        <w:rPr>
          <w:rFonts w:ascii="Times New Roman" w:eastAsia="Times New Roman" w:hAnsi="Times New Roman" w:cs="Times New Roman"/>
          <w:color w:val="000000" w:themeColor="text1"/>
          <w:sz w:val="24"/>
          <w:szCs w:val="24"/>
        </w:rPr>
        <w:t xml:space="preserve"> </w:t>
      </w:r>
      <w:r w:rsidR="009578D3">
        <w:rPr>
          <w:rFonts w:ascii="Times New Roman" w:eastAsia="Times New Roman" w:hAnsi="Times New Roman" w:cs="Times New Roman"/>
          <w:color w:val="000000" w:themeColor="text1"/>
          <w:sz w:val="24"/>
          <w:szCs w:val="24"/>
        </w:rPr>
        <w:t>percent white</w:t>
      </w:r>
      <w:r w:rsidR="00383089">
        <w:rPr>
          <w:rFonts w:ascii="Times New Roman" w:eastAsia="Times New Roman" w:hAnsi="Times New Roman" w:cs="Times New Roman"/>
          <w:color w:val="000000" w:themeColor="text1"/>
          <w:sz w:val="24"/>
          <w:szCs w:val="24"/>
        </w:rPr>
        <w:t>; therefore, it is impossible to replicate the regression analysis</w:t>
      </w:r>
      <w:r w:rsidR="00D17E3B">
        <w:rPr>
          <w:rFonts w:ascii="Times New Roman" w:eastAsia="Times New Roman" w:hAnsi="Times New Roman" w:cs="Times New Roman"/>
          <w:color w:val="000000" w:themeColor="text1"/>
          <w:sz w:val="24"/>
          <w:szCs w:val="24"/>
        </w:rPr>
        <w:t xml:space="preserve"> to identify the effects of lead and pH on noninfant mortality in 1900</w:t>
      </w:r>
      <w:r w:rsidR="005A7858">
        <w:rPr>
          <w:rFonts w:ascii="Times New Roman" w:eastAsia="Times New Roman" w:hAnsi="Times New Roman" w:cs="Times New Roman"/>
          <w:color w:val="000000" w:themeColor="text1"/>
          <w:sz w:val="24"/>
          <w:szCs w:val="24"/>
        </w:rPr>
        <w:t xml:space="preserve"> and percent white cannot be included in </w:t>
      </w:r>
      <w:r w:rsidR="001A5FAE">
        <w:rPr>
          <w:rFonts w:ascii="Times New Roman" w:eastAsia="Times New Roman" w:hAnsi="Times New Roman" w:cs="Times New Roman"/>
          <w:color w:val="000000" w:themeColor="text1"/>
          <w:sz w:val="24"/>
          <w:szCs w:val="24"/>
        </w:rPr>
        <w:t>other replications.</w:t>
      </w:r>
    </w:p>
    <w:p w14:paraId="36CC1284" w14:textId="76B9AAFC" w:rsidR="001A5FAE" w:rsidRDefault="004A580F" w:rsidP="00E8360C">
      <w:pPr>
        <w:spacing w:after="0" w:line="480" w:lineRule="auto"/>
        <w:ind w:firstLine="720"/>
        <w:jc w:val="both"/>
        <w:rPr>
          <w:rFonts w:ascii="Times New Roman" w:eastAsia="Times New Roman" w:hAnsi="Times New Roman" w:cs="Times New Roman"/>
          <w:color w:val="000000" w:themeColor="text1"/>
          <w:sz w:val="24"/>
          <w:szCs w:val="24"/>
        </w:rPr>
      </w:pPr>
      <w:r w:rsidRPr="47D3130D">
        <w:rPr>
          <w:rFonts w:ascii="Times New Roman" w:eastAsia="Times New Roman" w:hAnsi="Times New Roman" w:cs="Times New Roman"/>
          <w:color w:val="000000" w:themeColor="text1"/>
          <w:sz w:val="24"/>
          <w:szCs w:val="24"/>
        </w:rPr>
        <w:t xml:space="preserve">The data </w:t>
      </w:r>
      <w:r w:rsidR="008303C9" w:rsidRPr="47D3130D">
        <w:rPr>
          <w:rFonts w:ascii="Times New Roman" w:eastAsia="Times New Roman" w:hAnsi="Times New Roman" w:cs="Times New Roman"/>
          <w:color w:val="000000" w:themeColor="text1"/>
          <w:sz w:val="24"/>
          <w:szCs w:val="24"/>
        </w:rPr>
        <w:t xml:space="preserve">for lead pipes is not divided the same way as the original data – in the original data, </w:t>
      </w:r>
      <w:r w:rsidR="00EB3FDA" w:rsidRPr="47D3130D">
        <w:rPr>
          <w:rFonts w:ascii="Times New Roman" w:eastAsia="Times New Roman" w:hAnsi="Times New Roman" w:cs="Times New Roman"/>
          <w:color w:val="000000" w:themeColor="text1"/>
          <w:sz w:val="24"/>
          <w:szCs w:val="24"/>
        </w:rPr>
        <w:t xml:space="preserve">it is divided into 3 </w:t>
      </w:r>
      <w:r w:rsidR="1E51B38D" w:rsidRPr="47D3130D">
        <w:rPr>
          <w:rFonts w:ascii="Times New Roman" w:eastAsia="Times New Roman" w:hAnsi="Times New Roman" w:cs="Times New Roman"/>
          <w:color w:val="000000" w:themeColor="text1"/>
          <w:sz w:val="24"/>
          <w:szCs w:val="24"/>
        </w:rPr>
        <w:t>categories</w:t>
      </w:r>
      <w:r w:rsidR="00EB3FDA" w:rsidRPr="47D3130D">
        <w:rPr>
          <w:rFonts w:ascii="Times New Roman" w:eastAsia="Times New Roman" w:hAnsi="Times New Roman" w:cs="Times New Roman"/>
          <w:color w:val="000000" w:themeColor="text1"/>
          <w:sz w:val="24"/>
          <w:szCs w:val="24"/>
        </w:rPr>
        <w:t xml:space="preserve"> – lead only, mixed lead, and no lead, w</w:t>
      </w:r>
      <w:r w:rsidR="004111BF" w:rsidRPr="47D3130D">
        <w:rPr>
          <w:rFonts w:ascii="Times New Roman" w:eastAsia="Times New Roman" w:hAnsi="Times New Roman" w:cs="Times New Roman"/>
          <w:color w:val="000000" w:themeColor="text1"/>
          <w:sz w:val="24"/>
          <w:szCs w:val="24"/>
        </w:rPr>
        <w:t>hereas in the replication data,</w:t>
      </w:r>
      <w:r w:rsidR="004415D3" w:rsidRPr="47D3130D">
        <w:rPr>
          <w:rFonts w:ascii="Times New Roman" w:eastAsia="Times New Roman" w:hAnsi="Times New Roman" w:cs="Times New Roman"/>
          <w:color w:val="000000" w:themeColor="text1"/>
          <w:sz w:val="24"/>
          <w:szCs w:val="24"/>
        </w:rPr>
        <w:t xml:space="preserve"> it is divided into 2 </w:t>
      </w:r>
      <w:r w:rsidR="377B97BB" w:rsidRPr="47D3130D">
        <w:rPr>
          <w:rFonts w:ascii="Times New Roman" w:eastAsia="Times New Roman" w:hAnsi="Times New Roman" w:cs="Times New Roman"/>
          <w:color w:val="000000" w:themeColor="text1"/>
          <w:sz w:val="24"/>
          <w:szCs w:val="24"/>
        </w:rPr>
        <w:t>categories</w:t>
      </w:r>
      <w:r w:rsidR="004415D3" w:rsidRPr="47D3130D">
        <w:rPr>
          <w:rFonts w:ascii="Times New Roman" w:eastAsia="Times New Roman" w:hAnsi="Times New Roman" w:cs="Times New Roman"/>
          <w:color w:val="000000" w:themeColor="text1"/>
          <w:sz w:val="24"/>
          <w:szCs w:val="24"/>
        </w:rPr>
        <w:t xml:space="preserve"> only – no lead and have lead pipes (</w:t>
      </w:r>
      <w:r w:rsidR="002B7F94" w:rsidRPr="47D3130D">
        <w:rPr>
          <w:rFonts w:ascii="Times New Roman" w:eastAsia="Times New Roman" w:hAnsi="Times New Roman" w:cs="Times New Roman"/>
          <w:color w:val="000000" w:themeColor="text1"/>
          <w:sz w:val="24"/>
          <w:szCs w:val="24"/>
        </w:rPr>
        <w:t>combining both mixed lead and lead only together). The replication data has da</w:t>
      </w:r>
      <w:r w:rsidR="009E35CC" w:rsidRPr="47D3130D">
        <w:rPr>
          <w:rFonts w:ascii="Times New Roman" w:eastAsia="Times New Roman" w:hAnsi="Times New Roman" w:cs="Times New Roman"/>
          <w:color w:val="000000" w:themeColor="text1"/>
          <w:sz w:val="24"/>
          <w:szCs w:val="24"/>
        </w:rPr>
        <w:t xml:space="preserve">ta for the </w:t>
      </w:r>
      <w:r w:rsidR="00241254" w:rsidRPr="47D3130D">
        <w:rPr>
          <w:rFonts w:ascii="Times New Roman" w:eastAsia="Times New Roman" w:hAnsi="Times New Roman" w:cs="Times New Roman"/>
          <w:color w:val="000000" w:themeColor="text1"/>
          <w:sz w:val="24"/>
          <w:szCs w:val="24"/>
        </w:rPr>
        <w:t xml:space="preserve">name of the </w:t>
      </w:r>
      <w:r w:rsidR="00CC3EC1" w:rsidRPr="47D3130D">
        <w:rPr>
          <w:rFonts w:ascii="Times New Roman" w:eastAsia="Times New Roman" w:hAnsi="Times New Roman" w:cs="Times New Roman"/>
          <w:color w:val="000000" w:themeColor="text1"/>
          <w:sz w:val="24"/>
          <w:szCs w:val="24"/>
        </w:rPr>
        <w:t>cities;</w:t>
      </w:r>
      <w:r w:rsidR="00241254" w:rsidRPr="47D3130D">
        <w:rPr>
          <w:rFonts w:ascii="Times New Roman" w:eastAsia="Times New Roman" w:hAnsi="Times New Roman" w:cs="Times New Roman"/>
          <w:color w:val="000000" w:themeColor="text1"/>
          <w:sz w:val="24"/>
          <w:szCs w:val="24"/>
        </w:rPr>
        <w:t xml:space="preserve"> however, it is not divided into different regions (</w:t>
      </w:r>
      <w:r w:rsidR="00394A36" w:rsidRPr="47D3130D">
        <w:rPr>
          <w:rFonts w:ascii="Times New Roman" w:eastAsia="Times New Roman" w:hAnsi="Times New Roman" w:cs="Times New Roman"/>
          <w:color w:val="000000" w:themeColor="text1"/>
          <w:sz w:val="24"/>
          <w:szCs w:val="24"/>
        </w:rPr>
        <w:t xml:space="preserve">e.g. </w:t>
      </w:r>
      <w:r w:rsidR="00241254" w:rsidRPr="47D3130D">
        <w:rPr>
          <w:rFonts w:ascii="Times New Roman" w:eastAsia="Times New Roman" w:hAnsi="Times New Roman" w:cs="Times New Roman"/>
          <w:color w:val="000000" w:themeColor="text1"/>
          <w:sz w:val="24"/>
          <w:szCs w:val="24"/>
        </w:rPr>
        <w:t xml:space="preserve">Mid-Atlantic, East North Central, </w:t>
      </w:r>
      <w:r w:rsidR="00394A36" w:rsidRPr="47D3130D">
        <w:rPr>
          <w:rFonts w:ascii="Times New Roman" w:eastAsia="Times New Roman" w:hAnsi="Times New Roman" w:cs="Times New Roman"/>
          <w:color w:val="000000" w:themeColor="text1"/>
          <w:sz w:val="24"/>
          <w:szCs w:val="24"/>
        </w:rPr>
        <w:t>New England)</w:t>
      </w:r>
      <w:r w:rsidR="00241254" w:rsidRPr="47D3130D">
        <w:rPr>
          <w:rFonts w:ascii="Times New Roman" w:eastAsia="Times New Roman" w:hAnsi="Times New Roman" w:cs="Times New Roman"/>
          <w:color w:val="000000" w:themeColor="text1"/>
          <w:sz w:val="24"/>
          <w:szCs w:val="24"/>
        </w:rPr>
        <w:t xml:space="preserve"> so that</w:t>
      </w:r>
      <w:r w:rsidR="00394A36" w:rsidRPr="47D3130D">
        <w:rPr>
          <w:rFonts w:ascii="Times New Roman" w:eastAsia="Times New Roman" w:hAnsi="Times New Roman" w:cs="Times New Roman"/>
          <w:color w:val="000000" w:themeColor="text1"/>
          <w:sz w:val="24"/>
          <w:szCs w:val="24"/>
        </w:rPr>
        <w:t xml:space="preserve"> the effect of those variables can be easily </w:t>
      </w:r>
      <w:r w:rsidR="57BEC2D8" w:rsidRPr="47D3130D">
        <w:rPr>
          <w:rFonts w:ascii="Times New Roman" w:eastAsia="Times New Roman" w:hAnsi="Times New Roman" w:cs="Times New Roman"/>
          <w:color w:val="000000" w:themeColor="text1"/>
          <w:sz w:val="24"/>
          <w:szCs w:val="24"/>
        </w:rPr>
        <w:t>analyzed</w:t>
      </w:r>
      <w:r w:rsidR="00CC3EC1" w:rsidRPr="47D3130D">
        <w:rPr>
          <w:rFonts w:ascii="Times New Roman" w:eastAsia="Times New Roman" w:hAnsi="Times New Roman" w:cs="Times New Roman"/>
          <w:color w:val="000000" w:themeColor="text1"/>
          <w:sz w:val="24"/>
          <w:szCs w:val="24"/>
        </w:rPr>
        <w:t xml:space="preserve"> in the replicated regression.</w:t>
      </w:r>
    </w:p>
    <w:p w14:paraId="339C81E4" w14:textId="24723AE4" w:rsidR="001C7938" w:rsidRDefault="001C7938" w:rsidP="00E8360C">
      <w:pPr>
        <w:spacing w:after="0"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themeColor="text1"/>
          <w:sz w:val="24"/>
          <w:szCs w:val="24"/>
        </w:rPr>
        <w:lastRenderedPageBreak/>
        <w:t>The rest of the</w:t>
      </w:r>
      <w:r w:rsidR="00894504">
        <w:rPr>
          <w:rFonts w:ascii="Times New Roman" w:eastAsia="Times New Roman" w:hAnsi="Times New Roman" w:cs="Times New Roman"/>
          <w:color w:val="000000" w:themeColor="text1"/>
          <w:sz w:val="24"/>
          <w:szCs w:val="24"/>
        </w:rPr>
        <w:t xml:space="preserve"> replication</w:t>
      </w:r>
      <w:r>
        <w:rPr>
          <w:rFonts w:ascii="Times New Roman" w:eastAsia="Times New Roman" w:hAnsi="Times New Roman" w:cs="Times New Roman"/>
          <w:color w:val="000000" w:themeColor="text1"/>
          <w:sz w:val="24"/>
          <w:szCs w:val="24"/>
        </w:rPr>
        <w:t xml:space="preserve"> data is similar </w:t>
      </w:r>
      <w:r w:rsidR="00894504">
        <w:rPr>
          <w:rFonts w:ascii="Times New Roman" w:eastAsia="Times New Roman" w:hAnsi="Times New Roman" w:cs="Times New Roman"/>
          <w:color w:val="000000" w:themeColor="text1"/>
          <w:sz w:val="24"/>
          <w:szCs w:val="24"/>
        </w:rPr>
        <w:t>to the original data, and there are 172 observations in the replication data</w:t>
      </w:r>
      <w:r w:rsidR="004C6ED7">
        <w:rPr>
          <w:rFonts w:ascii="Times New Roman" w:eastAsia="Times New Roman" w:hAnsi="Times New Roman" w:cs="Times New Roman"/>
          <w:color w:val="000000" w:themeColor="text1"/>
          <w:sz w:val="24"/>
          <w:szCs w:val="24"/>
        </w:rPr>
        <w:t xml:space="preserve">, the same as in the original data. </w:t>
      </w:r>
      <w:r w:rsidR="004C6ED7" w:rsidRPr="00EF2DBF">
        <w:rPr>
          <w:rFonts w:ascii="Times New Roman" w:eastAsia="Times New Roman" w:hAnsi="Times New Roman" w:cs="Times New Roman"/>
          <w:sz w:val="24"/>
          <w:szCs w:val="24"/>
        </w:rPr>
        <w:t>The table below</w:t>
      </w:r>
      <w:r w:rsidR="00025DF1" w:rsidRPr="00EF2DBF">
        <w:rPr>
          <w:rFonts w:ascii="Times New Roman" w:eastAsia="Times New Roman" w:hAnsi="Times New Roman" w:cs="Times New Roman"/>
          <w:sz w:val="24"/>
          <w:szCs w:val="24"/>
        </w:rPr>
        <w:t xml:space="preserve"> shows the summary statistics of the replication data</w:t>
      </w:r>
      <w:r w:rsidR="00E55F80">
        <w:rPr>
          <w:rFonts w:ascii="Times New Roman" w:eastAsia="Times New Roman" w:hAnsi="Times New Roman" w:cs="Times New Roman"/>
          <w:sz w:val="24"/>
          <w:szCs w:val="24"/>
        </w:rPr>
        <w:t xml:space="preserve"> (excluded year, city, state, and age)</w:t>
      </w:r>
      <w:r w:rsidR="00025DF1" w:rsidRPr="00EF2DBF">
        <w:rPr>
          <w:rFonts w:ascii="Times New Roman" w:eastAsia="Times New Roman" w:hAnsi="Times New Roman" w:cs="Times New Roman"/>
          <w:sz w:val="24"/>
          <w:szCs w:val="24"/>
        </w:rPr>
        <w:t>:</w:t>
      </w:r>
    </w:p>
    <w:tbl>
      <w:tblPr>
        <w:tblStyle w:val="TableGrid"/>
        <w:tblW w:w="9355" w:type="dxa"/>
        <w:tblLook w:val="04A0" w:firstRow="1" w:lastRow="0" w:firstColumn="1" w:lastColumn="0" w:noHBand="0" w:noVBand="1"/>
      </w:tblPr>
      <w:tblGrid>
        <w:gridCol w:w="1615"/>
        <w:gridCol w:w="1260"/>
        <w:gridCol w:w="1170"/>
        <w:gridCol w:w="1260"/>
        <w:gridCol w:w="4050"/>
      </w:tblGrid>
      <w:tr w:rsidR="00DB692E" w14:paraId="64F85EEF" w14:textId="77777777" w:rsidTr="00B469E4">
        <w:trPr>
          <w:trHeight w:val="404"/>
        </w:trPr>
        <w:tc>
          <w:tcPr>
            <w:tcW w:w="1615" w:type="dxa"/>
            <w:vAlign w:val="center"/>
          </w:tcPr>
          <w:p w14:paraId="5EEAF0BF" w14:textId="57EB5B8C" w:rsidR="00DB692E" w:rsidRPr="00DE00D8" w:rsidRDefault="00DB692E" w:rsidP="00E8360C">
            <w:pPr>
              <w:jc w:val="both"/>
              <w:rPr>
                <w:rStyle w:val="fontstyle01"/>
                <w:b/>
                <w:bCs/>
              </w:rPr>
            </w:pPr>
            <w:r w:rsidRPr="00867DAD">
              <w:rPr>
                <w:rStyle w:val="fontstyle01"/>
                <w:b/>
                <w:bCs/>
              </w:rPr>
              <w:t>Variable</w:t>
            </w:r>
          </w:p>
        </w:tc>
        <w:tc>
          <w:tcPr>
            <w:tcW w:w="1260" w:type="dxa"/>
            <w:vAlign w:val="center"/>
          </w:tcPr>
          <w:p w14:paraId="5AD03FB3" w14:textId="0736C393" w:rsidR="00DB692E" w:rsidRPr="00DE00D8" w:rsidRDefault="00DB692E" w:rsidP="00E8360C">
            <w:pPr>
              <w:ind w:hanging="18"/>
              <w:jc w:val="both"/>
              <w:rPr>
                <w:rStyle w:val="fontstyle01"/>
                <w:b/>
                <w:bCs/>
              </w:rPr>
            </w:pPr>
            <w:r w:rsidRPr="00867DAD">
              <w:rPr>
                <w:rStyle w:val="fontstyle01"/>
                <w:b/>
                <w:bCs/>
              </w:rPr>
              <w:t>Mean</w:t>
            </w:r>
          </w:p>
        </w:tc>
        <w:tc>
          <w:tcPr>
            <w:tcW w:w="1170" w:type="dxa"/>
            <w:vAlign w:val="center"/>
          </w:tcPr>
          <w:p w14:paraId="02289A96" w14:textId="5AF99E64" w:rsidR="00DB692E" w:rsidRPr="00DE00D8" w:rsidRDefault="00DB692E" w:rsidP="00812DAD">
            <w:pPr>
              <w:ind w:firstLine="36"/>
              <w:jc w:val="both"/>
              <w:rPr>
                <w:rStyle w:val="fontstyle01"/>
                <w:b/>
                <w:bCs/>
              </w:rPr>
            </w:pPr>
            <w:r w:rsidRPr="00867DAD">
              <w:rPr>
                <w:rStyle w:val="fontstyle01"/>
                <w:b/>
                <w:bCs/>
              </w:rPr>
              <w:t>Min</w:t>
            </w:r>
          </w:p>
        </w:tc>
        <w:tc>
          <w:tcPr>
            <w:tcW w:w="1260" w:type="dxa"/>
            <w:vAlign w:val="center"/>
          </w:tcPr>
          <w:p w14:paraId="6ABF16D3" w14:textId="353E40D0" w:rsidR="00DB692E" w:rsidRPr="00DE00D8" w:rsidRDefault="00DB692E" w:rsidP="00812DAD">
            <w:pPr>
              <w:jc w:val="both"/>
              <w:rPr>
                <w:rStyle w:val="fontstyle01"/>
                <w:b/>
                <w:bCs/>
              </w:rPr>
            </w:pPr>
            <w:r w:rsidRPr="00867DAD">
              <w:rPr>
                <w:rStyle w:val="fontstyle01"/>
                <w:b/>
                <w:bCs/>
              </w:rPr>
              <w:t>Max</w:t>
            </w:r>
          </w:p>
        </w:tc>
        <w:tc>
          <w:tcPr>
            <w:tcW w:w="4050" w:type="dxa"/>
            <w:vAlign w:val="center"/>
          </w:tcPr>
          <w:p w14:paraId="3FDB8E8C" w14:textId="30494747" w:rsidR="00DB692E" w:rsidRPr="00DE00D8" w:rsidRDefault="00DB692E" w:rsidP="002E462E">
            <w:pPr>
              <w:jc w:val="both"/>
              <w:rPr>
                <w:rStyle w:val="fontstyle01"/>
                <w:b/>
                <w:bCs/>
              </w:rPr>
            </w:pPr>
            <w:r w:rsidRPr="00867DAD">
              <w:rPr>
                <w:rStyle w:val="fontstyle01"/>
                <w:b/>
                <w:bCs/>
              </w:rPr>
              <w:t>Label</w:t>
            </w:r>
          </w:p>
        </w:tc>
      </w:tr>
      <w:tr w:rsidR="00DB692E" w14:paraId="1265F63E" w14:textId="77777777" w:rsidTr="00B469E4">
        <w:trPr>
          <w:trHeight w:val="359"/>
        </w:trPr>
        <w:tc>
          <w:tcPr>
            <w:tcW w:w="1615" w:type="dxa"/>
            <w:vAlign w:val="center"/>
          </w:tcPr>
          <w:p w14:paraId="16BB36FD" w14:textId="6CA46DD4" w:rsidR="00DB692E" w:rsidRPr="00DB692E" w:rsidRDefault="00DB692E" w:rsidP="00E8360C">
            <w:pPr>
              <w:jc w:val="both"/>
              <w:rPr>
                <w:rStyle w:val="fontstyle01"/>
              </w:rPr>
            </w:pPr>
            <w:r w:rsidRPr="00867DAD">
              <w:rPr>
                <w:rStyle w:val="fontstyle01"/>
              </w:rPr>
              <w:t>hardness</w:t>
            </w:r>
          </w:p>
        </w:tc>
        <w:tc>
          <w:tcPr>
            <w:tcW w:w="1260" w:type="dxa"/>
            <w:vAlign w:val="center"/>
          </w:tcPr>
          <w:p w14:paraId="3457F8FE" w14:textId="423597EF" w:rsidR="00DB692E" w:rsidRPr="00DB692E" w:rsidRDefault="00DB692E" w:rsidP="00E8360C">
            <w:pPr>
              <w:ind w:hanging="18"/>
              <w:jc w:val="both"/>
              <w:rPr>
                <w:rStyle w:val="fontstyle01"/>
              </w:rPr>
            </w:pPr>
            <w:r w:rsidRPr="00867DAD">
              <w:rPr>
                <w:rStyle w:val="fontstyle01"/>
              </w:rPr>
              <w:t>113.436</w:t>
            </w:r>
          </w:p>
        </w:tc>
        <w:tc>
          <w:tcPr>
            <w:tcW w:w="1170" w:type="dxa"/>
            <w:vAlign w:val="center"/>
          </w:tcPr>
          <w:p w14:paraId="2DF7F946" w14:textId="1D128464" w:rsidR="00DB692E" w:rsidRPr="00DB692E" w:rsidRDefault="00DB692E" w:rsidP="00812DAD">
            <w:pPr>
              <w:ind w:firstLine="36"/>
              <w:jc w:val="both"/>
              <w:rPr>
                <w:rStyle w:val="fontstyle01"/>
              </w:rPr>
            </w:pPr>
            <w:r w:rsidRPr="00867DAD">
              <w:rPr>
                <w:rStyle w:val="fontstyle01"/>
              </w:rPr>
              <w:t>2</w:t>
            </w:r>
          </w:p>
        </w:tc>
        <w:tc>
          <w:tcPr>
            <w:tcW w:w="1260" w:type="dxa"/>
            <w:vAlign w:val="center"/>
          </w:tcPr>
          <w:p w14:paraId="1D22B378" w14:textId="6A6DBEA0" w:rsidR="00DB692E" w:rsidRPr="00DB692E" w:rsidRDefault="00DB692E" w:rsidP="00812DAD">
            <w:pPr>
              <w:jc w:val="both"/>
              <w:rPr>
                <w:rStyle w:val="fontstyle01"/>
              </w:rPr>
            </w:pPr>
            <w:r w:rsidRPr="00867DAD">
              <w:rPr>
                <w:rStyle w:val="fontstyle01"/>
              </w:rPr>
              <w:t>445</w:t>
            </w:r>
          </w:p>
        </w:tc>
        <w:tc>
          <w:tcPr>
            <w:tcW w:w="4050" w:type="dxa"/>
            <w:vAlign w:val="center"/>
          </w:tcPr>
          <w:p w14:paraId="574BCF8B" w14:textId="54C465FC" w:rsidR="00DB692E" w:rsidRPr="00DB692E" w:rsidRDefault="00DB692E" w:rsidP="002E462E">
            <w:pPr>
              <w:jc w:val="both"/>
              <w:rPr>
                <w:rStyle w:val="fontstyle01"/>
              </w:rPr>
            </w:pPr>
            <w:r w:rsidRPr="00DB692E">
              <w:rPr>
                <w:rStyle w:val="fontstyle01"/>
              </w:rPr>
              <w:t>Water hardness index</w:t>
            </w:r>
          </w:p>
        </w:tc>
      </w:tr>
      <w:tr w:rsidR="00DB692E" w14:paraId="1DB932D2" w14:textId="77777777" w:rsidTr="00B469E4">
        <w:trPr>
          <w:trHeight w:val="341"/>
        </w:trPr>
        <w:tc>
          <w:tcPr>
            <w:tcW w:w="1615" w:type="dxa"/>
            <w:vAlign w:val="center"/>
          </w:tcPr>
          <w:p w14:paraId="55BBF49A" w14:textId="64DF6B1E" w:rsidR="00DB692E" w:rsidRPr="00DB692E" w:rsidRDefault="00DB692E" w:rsidP="00E8360C">
            <w:pPr>
              <w:jc w:val="both"/>
              <w:rPr>
                <w:rStyle w:val="fontstyle01"/>
              </w:rPr>
            </w:pPr>
            <w:r w:rsidRPr="00867DAD">
              <w:rPr>
                <w:rStyle w:val="fontstyle01"/>
              </w:rPr>
              <w:t>ph</w:t>
            </w:r>
          </w:p>
        </w:tc>
        <w:tc>
          <w:tcPr>
            <w:tcW w:w="1260" w:type="dxa"/>
            <w:vAlign w:val="center"/>
          </w:tcPr>
          <w:p w14:paraId="015421B6" w14:textId="560C5237" w:rsidR="00DB692E" w:rsidRPr="00DB692E" w:rsidRDefault="00DB692E" w:rsidP="00E8360C">
            <w:pPr>
              <w:ind w:hanging="18"/>
              <w:jc w:val="both"/>
              <w:rPr>
                <w:rStyle w:val="fontstyle01"/>
              </w:rPr>
            </w:pPr>
            <w:r w:rsidRPr="00867DAD">
              <w:rPr>
                <w:rStyle w:val="fontstyle01"/>
              </w:rPr>
              <w:t>7.322674</w:t>
            </w:r>
          </w:p>
        </w:tc>
        <w:tc>
          <w:tcPr>
            <w:tcW w:w="1170" w:type="dxa"/>
            <w:vAlign w:val="center"/>
          </w:tcPr>
          <w:p w14:paraId="139DEE81" w14:textId="31BAF3E1" w:rsidR="00DB692E" w:rsidRPr="00DB692E" w:rsidRDefault="00DB692E" w:rsidP="00812DAD">
            <w:pPr>
              <w:ind w:firstLine="36"/>
              <w:jc w:val="both"/>
              <w:rPr>
                <w:rStyle w:val="fontstyle01"/>
              </w:rPr>
            </w:pPr>
            <w:r w:rsidRPr="00867DAD">
              <w:rPr>
                <w:rStyle w:val="fontstyle01"/>
              </w:rPr>
              <w:t>5.7</w:t>
            </w:r>
          </w:p>
        </w:tc>
        <w:tc>
          <w:tcPr>
            <w:tcW w:w="1260" w:type="dxa"/>
            <w:vAlign w:val="center"/>
          </w:tcPr>
          <w:p w14:paraId="2CD384DC" w14:textId="6C2AD341" w:rsidR="00DB692E" w:rsidRPr="00DB692E" w:rsidRDefault="00DB692E" w:rsidP="00812DAD">
            <w:pPr>
              <w:jc w:val="both"/>
              <w:rPr>
                <w:rStyle w:val="fontstyle01"/>
              </w:rPr>
            </w:pPr>
            <w:r w:rsidRPr="00867DAD">
              <w:rPr>
                <w:rStyle w:val="fontstyle01"/>
              </w:rPr>
              <w:t>8.9</w:t>
            </w:r>
          </w:p>
        </w:tc>
        <w:tc>
          <w:tcPr>
            <w:tcW w:w="4050" w:type="dxa"/>
            <w:vAlign w:val="center"/>
          </w:tcPr>
          <w:p w14:paraId="499CC187" w14:textId="47CB1D2C" w:rsidR="00DB692E" w:rsidRPr="00DB692E" w:rsidRDefault="00DB692E" w:rsidP="002E462E">
            <w:pPr>
              <w:jc w:val="both"/>
              <w:rPr>
                <w:rStyle w:val="fontstyle01"/>
              </w:rPr>
            </w:pPr>
            <w:r w:rsidRPr="00DB692E">
              <w:rPr>
                <w:rStyle w:val="fontstyle01"/>
              </w:rPr>
              <w:t>Water pH</w:t>
            </w:r>
          </w:p>
        </w:tc>
      </w:tr>
      <w:tr w:rsidR="00DB692E" w14:paraId="533FCCDE" w14:textId="77777777" w:rsidTr="00B469E4">
        <w:trPr>
          <w:trHeight w:val="629"/>
        </w:trPr>
        <w:tc>
          <w:tcPr>
            <w:tcW w:w="1615" w:type="dxa"/>
            <w:vAlign w:val="center"/>
          </w:tcPr>
          <w:p w14:paraId="11846A67" w14:textId="51A33431" w:rsidR="00DB692E" w:rsidRPr="00DB692E" w:rsidRDefault="00DB692E" w:rsidP="00E8360C">
            <w:pPr>
              <w:jc w:val="both"/>
              <w:rPr>
                <w:rStyle w:val="fontstyle01"/>
              </w:rPr>
            </w:pPr>
            <w:r w:rsidRPr="00867DAD">
              <w:rPr>
                <w:rStyle w:val="fontstyle01"/>
              </w:rPr>
              <w:t>infrate</w:t>
            </w:r>
          </w:p>
        </w:tc>
        <w:tc>
          <w:tcPr>
            <w:tcW w:w="1260" w:type="dxa"/>
            <w:vAlign w:val="center"/>
          </w:tcPr>
          <w:p w14:paraId="49B26716" w14:textId="700BB715" w:rsidR="00DB692E" w:rsidRPr="00DB692E" w:rsidRDefault="00DB692E" w:rsidP="00E8360C">
            <w:pPr>
              <w:ind w:hanging="18"/>
              <w:jc w:val="both"/>
              <w:rPr>
                <w:rStyle w:val="fontstyle01"/>
              </w:rPr>
            </w:pPr>
            <w:r w:rsidRPr="00867DAD">
              <w:rPr>
                <w:rStyle w:val="fontstyle01"/>
              </w:rPr>
              <w:t>.396194</w:t>
            </w:r>
          </w:p>
        </w:tc>
        <w:tc>
          <w:tcPr>
            <w:tcW w:w="1170" w:type="dxa"/>
            <w:vAlign w:val="center"/>
          </w:tcPr>
          <w:p w14:paraId="5C299E8B" w14:textId="0C7B8EA1" w:rsidR="00DB692E" w:rsidRPr="00DB692E" w:rsidRDefault="00DB692E" w:rsidP="00812DAD">
            <w:pPr>
              <w:ind w:firstLine="36"/>
              <w:jc w:val="both"/>
              <w:rPr>
                <w:rStyle w:val="fontstyle01"/>
              </w:rPr>
            </w:pPr>
            <w:r w:rsidRPr="00867DAD">
              <w:rPr>
                <w:rStyle w:val="fontstyle01"/>
              </w:rPr>
              <w:t>.1097561</w:t>
            </w:r>
          </w:p>
        </w:tc>
        <w:tc>
          <w:tcPr>
            <w:tcW w:w="1260" w:type="dxa"/>
            <w:vAlign w:val="center"/>
          </w:tcPr>
          <w:p w14:paraId="43B41562" w14:textId="7B1B5C79" w:rsidR="00DB692E" w:rsidRPr="00DB692E" w:rsidRDefault="00DB692E" w:rsidP="00812DAD">
            <w:pPr>
              <w:jc w:val="both"/>
              <w:rPr>
                <w:rStyle w:val="fontstyle01"/>
              </w:rPr>
            </w:pPr>
            <w:r w:rsidRPr="00867DAD">
              <w:rPr>
                <w:rStyle w:val="fontstyle01"/>
              </w:rPr>
              <w:t>.8444657</w:t>
            </w:r>
          </w:p>
        </w:tc>
        <w:tc>
          <w:tcPr>
            <w:tcW w:w="4050" w:type="dxa"/>
            <w:vAlign w:val="center"/>
          </w:tcPr>
          <w:p w14:paraId="6EA5371A" w14:textId="5B6EF4E6" w:rsidR="00DB692E" w:rsidRPr="00DB692E" w:rsidRDefault="00DB692E" w:rsidP="002E462E">
            <w:pPr>
              <w:jc w:val="both"/>
              <w:rPr>
                <w:rStyle w:val="fontstyle01"/>
              </w:rPr>
            </w:pPr>
            <w:r>
              <w:rPr>
                <w:rStyle w:val="fontstyle01"/>
              </w:rPr>
              <w:t>Infant mortality rate (deaths per 100 in population)</w:t>
            </w:r>
          </w:p>
        </w:tc>
      </w:tr>
      <w:tr w:rsidR="00DB692E" w14:paraId="62E215F5" w14:textId="77777777" w:rsidTr="00B469E4">
        <w:trPr>
          <w:trHeight w:val="341"/>
        </w:trPr>
        <w:tc>
          <w:tcPr>
            <w:tcW w:w="1615" w:type="dxa"/>
            <w:vAlign w:val="center"/>
          </w:tcPr>
          <w:p w14:paraId="1067BD78" w14:textId="167145ED" w:rsidR="00DB692E" w:rsidRPr="00DB692E" w:rsidRDefault="00DB692E" w:rsidP="00E8360C">
            <w:pPr>
              <w:jc w:val="both"/>
              <w:rPr>
                <w:rStyle w:val="fontstyle01"/>
              </w:rPr>
            </w:pPr>
            <w:r w:rsidRPr="00867DAD">
              <w:rPr>
                <w:rStyle w:val="fontstyle01"/>
              </w:rPr>
              <w:t>typhoid_rate</w:t>
            </w:r>
          </w:p>
        </w:tc>
        <w:tc>
          <w:tcPr>
            <w:tcW w:w="1260" w:type="dxa"/>
            <w:vAlign w:val="center"/>
          </w:tcPr>
          <w:p w14:paraId="305A74F8" w14:textId="5E3FEB29" w:rsidR="00DB692E" w:rsidRPr="00DB692E" w:rsidRDefault="00DB692E" w:rsidP="00E8360C">
            <w:pPr>
              <w:ind w:hanging="18"/>
              <w:jc w:val="both"/>
              <w:rPr>
                <w:rStyle w:val="fontstyle01"/>
              </w:rPr>
            </w:pPr>
            <w:r w:rsidRPr="00867DAD">
              <w:rPr>
                <w:rStyle w:val="fontstyle01"/>
              </w:rPr>
              <w:t>.0410789</w:t>
            </w:r>
          </w:p>
        </w:tc>
        <w:tc>
          <w:tcPr>
            <w:tcW w:w="1170" w:type="dxa"/>
            <w:vAlign w:val="center"/>
          </w:tcPr>
          <w:p w14:paraId="19461A26" w14:textId="552D5EEE" w:rsidR="00DB692E" w:rsidRPr="00DB692E" w:rsidRDefault="00DB692E" w:rsidP="00812DAD">
            <w:pPr>
              <w:ind w:firstLine="36"/>
              <w:jc w:val="both"/>
              <w:rPr>
                <w:rStyle w:val="fontstyle01"/>
              </w:rPr>
            </w:pPr>
            <w:r w:rsidRPr="00867DAD">
              <w:rPr>
                <w:rStyle w:val="fontstyle01"/>
              </w:rPr>
              <w:t>0</w:t>
            </w:r>
          </w:p>
        </w:tc>
        <w:tc>
          <w:tcPr>
            <w:tcW w:w="1260" w:type="dxa"/>
            <w:vAlign w:val="center"/>
          </w:tcPr>
          <w:p w14:paraId="3165E54B" w14:textId="489FC4E6" w:rsidR="00DB692E" w:rsidRPr="00DB692E" w:rsidRDefault="00DB692E" w:rsidP="00812DAD">
            <w:pPr>
              <w:jc w:val="both"/>
              <w:rPr>
                <w:rStyle w:val="fontstyle01"/>
              </w:rPr>
            </w:pPr>
            <w:r w:rsidRPr="00867DAD">
              <w:rPr>
                <w:rStyle w:val="fontstyle01"/>
              </w:rPr>
              <w:t>.1442786</w:t>
            </w:r>
          </w:p>
        </w:tc>
        <w:tc>
          <w:tcPr>
            <w:tcW w:w="4050" w:type="dxa"/>
            <w:vAlign w:val="center"/>
          </w:tcPr>
          <w:p w14:paraId="2D1A3EA5" w14:textId="0D635A68" w:rsidR="00DB692E" w:rsidRPr="00DB692E" w:rsidRDefault="00DB692E" w:rsidP="002E462E">
            <w:pPr>
              <w:jc w:val="both"/>
              <w:rPr>
                <w:rStyle w:val="fontstyle01"/>
              </w:rPr>
            </w:pPr>
            <w:r w:rsidRPr="00DB692E">
              <w:rPr>
                <w:rStyle w:val="fontstyle01"/>
              </w:rPr>
              <w:t>Typhoid death rate</w:t>
            </w:r>
          </w:p>
        </w:tc>
      </w:tr>
      <w:tr w:rsidR="00DB692E" w14:paraId="788E80AD" w14:textId="77777777" w:rsidTr="00B469E4">
        <w:trPr>
          <w:trHeight w:val="350"/>
        </w:trPr>
        <w:tc>
          <w:tcPr>
            <w:tcW w:w="1615" w:type="dxa"/>
            <w:vAlign w:val="center"/>
          </w:tcPr>
          <w:p w14:paraId="2476BD3B" w14:textId="0DEB7658" w:rsidR="00DB692E" w:rsidRPr="00DB692E" w:rsidRDefault="00DB692E" w:rsidP="00E8360C">
            <w:pPr>
              <w:jc w:val="both"/>
              <w:rPr>
                <w:rStyle w:val="fontstyle01"/>
              </w:rPr>
            </w:pPr>
            <w:r w:rsidRPr="00867DAD">
              <w:rPr>
                <w:rStyle w:val="fontstyle01"/>
              </w:rPr>
              <w:t>np_tub_rate</w:t>
            </w:r>
          </w:p>
        </w:tc>
        <w:tc>
          <w:tcPr>
            <w:tcW w:w="1260" w:type="dxa"/>
            <w:vAlign w:val="center"/>
          </w:tcPr>
          <w:p w14:paraId="55017C8B" w14:textId="0DECC7E4" w:rsidR="00DB692E" w:rsidRPr="00DB692E" w:rsidRDefault="00DB692E" w:rsidP="00E8360C">
            <w:pPr>
              <w:ind w:hanging="18"/>
              <w:jc w:val="both"/>
              <w:rPr>
                <w:rStyle w:val="fontstyle01"/>
              </w:rPr>
            </w:pPr>
            <w:r w:rsidRPr="00867DAD">
              <w:rPr>
                <w:rStyle w:val="fontstyle01"/>
              </w:rPr>
              <w:t>.0204759</w:t>
            </w:r>
          </w:p>
        </w:tc>
        <w:tc>
          <w:tcPr>
            <w:tcW w:w="1170" w:type="dxa"/>
            <w:vAlign w:val="center"/>
          </w:tcPr>
          <w:p w14:paraId="3513B4F1" w14:textId="4FBD3345" w:rsidR="00DB692E" w:rsidRPr="00DB692E" w:rsidRDefault="00DB692E" w:rsidP="00812DAD">
            <w:pPr>
              <w:ind w:firstLine="36"/>
              <w:jc w:val="both"/>
              <w:rPr>
                <w:rStyle w:val="fontstyle01"/>
              </w:rPr>
            </w:pPr>
            <w:r w:rsidRPr="00867DAD">
              <w:rPr>
                <w:rStyle w:val="fontstyle01"/>
              </w:rPr>
              <w:t>0</w:t>
            </w:r>
          </w:p>
        </w:tc>
        <w:tc>
          <w:tcPr>
            <w:tcW w:w="1260" w:type="dxa"/>
            <w:vAlign w:val="center"/>
          </w:tcPr>
          <w:p w14:paraId="5011503A" w14:textId="2864B5CF" w:rsidR="00DB692E" w:rsidRPr="00DB692E" w:rsidRDefault="00DB692E" w:rsidP="00812DAD">
            <w:pPr>
              <w:jc w:val="both"/>
              <w:rPr>
                <w:rStyle w:val="fontstyle01"/>
              </w:rPr>
            </w:pPr>
            <w:r w:rsidRPr="00867DAD">
              <w:rPr>
                <w:rStyle w:val="fontstyle01"/>
              </w:rPr>
              <w:t>.0574163</w:t>
            </w:r>
          </w:p>
        </w:tc>
        <w:tc>
          <w:tcPr>
            <w:tcW w:w="4050" w:type="dxa"/>
            <w:vAlign w:val="center"/>
          </w:tcPr>
          <w:p w14:paraId="433F9045" w14:textId="28B54C06" w:rsidR="00DB692E" w:rsidRPr="00DB692E" w:rsidRDefault="00DB692E" w:rsidP="002E462E">
            <w:pPr>
              <w:jc w:val="both"/>
              <w:rPr>
                <w:rStyle w:val="fontstyle01"/>
              </w:rPr>
            </w:pPr>
            <w:r>
              <w:rPr>
                <w:rStyle w:val="fontstyle01"/>
              </w:rPr>
              <w:t>Non-pulmonary tuberculosis death rate</w:t>
            </w:r>
          </w:p>
        </w:tc>
      </w:tr>
      <w:tr w:rsidR="00DB692E" w14:paraId="681375B2" w14:textId="77777777" w:rsidTr="00B469E4">
        <w:trPr>
          <w:trHeight w:val="620"/>
        </w:trPr>
        <w:tc>
          <w:tcPr>
            <w:tcW w:w="1615" w:type="dxa"/>
            <w:vAlign w:val="center"/>
          </w:tcPr>
          <w:p w14:paraId="2E0D0AFE" w14:textId="4D972A58" w:rsidR="00DB692E" w:rsidRPr="00DB692E" w:rsidRDefault="00DB692E" w:rsidP="00E8360C">
            <w:pPr>
              <w:jc w:val="both"/>
              <w:rPr>
                <w:rStyle w:val="fontstyle01"/>
              </w:rPr>
            </w:pPr>
            <w:r w:rsidRPr="00867DAD">
              <w:rPr>
                <w:rStyle w:val="fontstyle01"/>
              </w:rPr>
              <w:t>mom_rate</w:t>
            </w:r>
          </w:p>
        </w:tc>
        <w:tc>
          <w:tcPr>
            <w:tcW w:w="1260" w:type="dxa"/>
            <w:vAlign w:val="center"/>
          </w:tcPr>
          <w:p w14:paraId="2B453B00" w14:textId="10EDD769" w:rsidR="00DB692E" w:rsidRPr="00DB692E" w:rsidRDefault="00DB692E" w:rsidP="00E8360C">
            <w:pPr>
              <w:ind w:hanging="18"/>
              <w:jc w:val="both"/>
              <w:rPr>
                <w:rStyle w:val="fontstyle01"/>
              </w:rPr>
            </w:pPr>
            <w:r w:rsidRPr="00867DAD">
              <w:rPr>
                <w:rStyle w:val="fontstyle01"/>
              </w:rPr>
              <w:t>.1989602</w:t>
            </w:r>
          </w:p>
        </w:tc>
        <w:tc>
          <w:tcPr>
            <w:tcW w:w="1170" w:type="dxa"/>
            <w:vAlign w:val="center"/>
          </w:tcPr>
          <w:p w14:paraId="19F53942" w14:textId="0F6D889A" w:rsidR="00DB692E" w:rsidRPr="00DB692E" w:rsidRDefault="00DB692E" w:rsidP="00812DAD">
            <w:pPr>
              <w:ind w:firstLine="36"/>
              <w:jc w:val="both"/>
              <w:rPr>
                <w:rStyle w:val="fontstyle01"/>
              </w:rPr>
            </w:pPr>
            <w:r w:rsidRPr="00867DAD">
              <w:rPr>
                <w:rStyle w:val="fontstyle01"/>
              </w:rPr>
              <w:t>.1308901</w:t>
            </w:r>
          </w:p>
        </w:tc>
        <w:tc>
          <w:tcPr>
            <w:tcW w:w="1260" w:type="dxa"/>
            <w:vAlign w:val="center"/>
          </w:tcPr>
          <w:p w14:paraId="6FA24CAD" w14:textId="781E2AEC" w:rsidR="00DB692E" w:rsidRPr="00DB692E" w:rsidRDefault="00DB692E" w:rsidP="00812DAD">
            <w:pPr>
              <w:jc w:val="both"/>
              <w:rPr>
                <w:rStyle w:val="fontstyle01"/>
              </w:rPr>
            </w:pPr>
            <w:r w:rsidRPr="00867DAD">
              <w:rPr>
                <w:rStyle w:val="fontstyle01"/>
              </w:rPr>
              <w:t>.323741</w:t>
            </w:r>
          </w:p>
        </w:tc>
        <w:tc>
          <w:tcPr>
            <w:tcW w:w="4050" w:type="dxa"/>
            <w:vAlign w:val="center"/>
          </w:tcPr>
          <w:p w14:paraId="40646F6D" w14:textId="20E719FC" w:rsidR="00DB692E" w:rsidRPr="00DB692E" w:rsidRDefault="00DB692E" w:rsidP="002E462E">
            <w:pPr>
              <w:jc w:val="both"/>
              <w:rPr>
                <w:rStyle w:val="fontstyle01"/>
              </w:rPr>
            </w:pPr>
            <w:r>
              <w:rPr>
                <w:rStyle w:val="fontstyle01"/>
              </w:rPr>
              <w:t>Fraction of population who are women of child-bearing age</w:t>
            </w:r>
          </w:p>
        </w:tc>
      </w:tr>
      <w:tr w:rsidR="00DB692E" w14:paraId="1E23646E" w14:textId="77777777" w:rsidTr="00B469E4">
        <w:trPr>
          <w:trHeight w:val="359"/>
        </w:trPr>
        <w:tc>
          <w:tcPr>
            <w:tcW w:w="1615" w:type="dxa"/>
            <w:vAlign w:val="center"/>
          </w:tcPr>
          <w:p w14:paraId="41FC3BA8" w14:textId="4ED083A9" w:rsidR="00DB692E" w:rsidRPr="00DB692E" w:rsidRDefault="00DB692E" w:rsidP="00E8360C">
            <w:pPr>
              <w:jc w:val="both"/>
              <w:rPr>
                <w:rStyle w:val="fontstyle01"/>
              </w:rPr>
            </w:pPr>
            <w:r w:rsidRPr="00867DAD">
              <w:rPr>
                <w:rStyle w:val="fontstyle01"/>
              </w:rPr>
              <w:t>population</w:t>
            </w:r>
          </w:p>
        </w:tc>
        <w:tc>
          <w:tcPr>
            <w:tcW w:w="1260" w:type="dxa"/>
            <w:vAlign w:val="center"/>
          </w:tcPr>
          <w:p w14:paraId="44103A6A" w14:textId="66243D65" w:rsidR="00DB692E" w:rsidRPr="00DB692E" w:rsidRDefault="00DB692E" w:rsidP="00E8360C">
            <w:pPr>
              <w:ind w:hanging="18"/>
              <w:jc w:val="both"/>
              <w:rPr>
                <w:rStyle w:val="fontstyle01"/>
              </w:rPr>
            </w:pPr>
            <w:r w:rsidRPr="00867DAD">
              <w:rPr>
                <w:rStyle w:val="fontstyle01"/>
              </w:rPr>
              <w:t>1087.962</w:t>
            </w:r>
          </w:p>
        </w:tc>
        <w:tc>
          <w:tcPr>
            <w:tcW w:w="1170" w:type="dxa"/>
            <w:vAlign w:val="center"/>
          </w:tcPr>
          <w:p w14:paraId="3D9DC5E1" w14:textId="1754333F" w:rsidR="00DB692E" w:rsidRPr="00DB692E" w:rsidRDefault="00DB692E" w:rsidP="00812DAD">
            <w:pPr>
              <w:ind w:firstLine="36"/>
              <w:jc w:val="both"/>
              <w:rPr>
                <w:rStyle w:val="fontstyle01"/>
              </w:rPr>
            </w:pPr>
            <w:r w:rsidRPr="00867DAD">
              <w:rPr>
                <w:rStyle w:val="fontstyle01"/>
              </w:rPr>
              <w:t>85</w:t>
            </w:r>
          </w:p>
        </w:tc>
        <w:tc>
          <w:tcPr>
            <w:tcW w:w="1260" w:type="dxa"/>
            <w:vAlign w:val="center"/>
          </w:tcPr>
          <w:p w14:paraId="68BD2C9E" w14:textId="143EAC6A" w:rsidR="00DB692E" w:rsidRPr="00DB692E" w:rsidRDefault="00DB692E" w:rsidP="00812DAD">
            <w:pPr>
              <w:jc w:val="both"/>
              <w:rPr>
                <w:rStyle w:val="fontstyle01"/>
              </w:rPr>
            </w:pPr>
            <w:r w:rsidRPr="00867DAD">
              <w:rPr>
                <w:rStyle w:val="fontstyle01"/>
              </w:rPr>
              <w:t>34355.54</w:t>
            </w:r>
          </w:p>
        </w:tc>
        <w:tc>
          <w:tcPr>
            <w:tcW w:w="4050" w:type="dxa"/>
            <w:vAlign w:val="center"/>
          </w:tcPr>
          <w:p w14:paraId="3C65881C" w14:textId="44FCA94C" w:rsidR="00DB692E" w:rsidRPr="00DB692E" w:rsidRDefault="00DB692E" w:rsidP="002E462E">
            <w:pPr>
              <w:jc w:val="both"/>
              <w:rPr>
                <w:rStyle w:val="fontstyle01"/>
              </w:rPr>
            </w:pPr>
            <w:r>
              <w:rPr>
                <w:rStyle w:val="fontstyle01"/>
              </w:rPr>
              <w:t>City population (in 100s)</w:t>
            </w:r>
          </w:p>
        </w:tc>
      </w:tr>
      <w:tr w:rsidR="00DB692E" w14:paraId="1EF212D3" w14:textId="77777777" w:rsidTr="00B469E4">
        <w:trPr>
          <w:trHeight w:val="341"/>
        </w:trPr>
        <w:tc>
          <w:tcPr>
            <w:tcW w:w="1615" w:type="dxa"/>
            <w:vAlign w:val="center"/>
          </w:tcPr>
          <w:p w14:paraId="38C0E35C" w14:textId="022D1515" w:rsidR="00DB692E" w:rsidRPr="00DB692E" w:rsidRDefault="00DB692E" w:rsidP="00E8360C">
            <w:pPr>
              <w:jc w:val="both"/>
              <w:rPr>
                <w:rStyle w:val="fontstyle01"/>
              </w:rPr>
            </w:pPr>
            <w:r w:rsidRPr="00867DAD">
              <w:rPr>
                <w:rStyle w:val="fontstyle01"/>
              </w:rPr>
              <w:t>precipitat</w:t>
            </w:r>
            <w:r w:rsidRPr="00DB692E">
              <w:rPr>
                <w:rStyle w:val="fontstyle01"/>
              </w:rPr>
              <w:t>io</w:t>
            </w:r>
            <w:r w:rsidRPr="00867DAD">
              <w:rPr>
                <w:rStyle w:val="fontstyle01"/>
              </w:rPr>
              <w:t>n</w:t>
            </w:r>
          </w:p>
        </w:tc>
        <w:tc>
          <w:tcPr>
            <w:tcW w:w="1260" w:type="dxa"/>
            <w:vAlign w:val="center"/>
          </w:tcPr>
          <w:p w14:paraId="5DFB1B7B" w14:textId="3EF29873" w:rsidR="00DB692E" w:rsidRPr="00DB692E" w:rsidRDefault="00DB692E" w:rsidP="00E8360C">
            <w:pPr>
              <w:ind w:hanging="18"/>
              <w:jc w:val="both"/>
              <w:rPr>
                <w:rStyle w:val="fontstyle01"/>
              </w:rPr>
            </w:pPr>
            <w:r w:rsidRPr="00867DAD">
              <w:rPr>
                <w:rStyle w:val="fontstyle01"/>
              </w:rPr>
              <w:t>3.328629</w:t>
            </w:r>
          </w:p>
        </w:tc>
        <w:tc>
          <w:tcPr>
            <w:tcW w:w="1170" w:type="dxa"/>
            <w:vAlign w:val="center"/>
          </w:tcPr>
          <w:p w14:paraId="055A23E4" w14:textId="7BCF4226" w:rsidR="00DB692E" w:rsidRPr="00DB692E" w:rsidRDefault="00DB692E" w:rsidP="00812DAD">
            <w:pPr>
              <w:ind w:firstLine="36"/>
              <w:jc w:val="both"/>
              <w:rPr>
                <w:rStyle w:val="fontstyle01"/>
              </w:rPr>
            </w:pPr>
            <w:r w:rsidRPr="00867DAD">
              <w:rPr>
                <w:rStyle w:val="fontstyle01"/>
              </w:rPr>
              <w:t>.9546053</w:t>
            </w:r>
          </w:p>
        </w:tc>
        <w:tc>
          <w:tcPr>
            <w:tcW w:w="1260" w:type="dxa"/>
            <w:vAlign w:val="center"/>
          </w:tcPr>
          <w:p w14:paraId="6E1F8C03" w14:textId="5929ABDB" w:rsidR="00DB692E" w:rsidRPr="00DB692E" w:rsidRDefault="00DB692E" w:rsidP="00812DAD">
            <w:pPr>
              <w:jc w:val="both"/>
              <w:rPr>
                <w:rStyle w:val="fontstyle01"/>
              </w:rPr>
            </w:pPr>
            <w:r w:rsidRPr="00867DAD">
              <w:rPr>
                <w:rStyle w:val="fontstyle01"/>
              </w:rPr>
              <w:t>4.754057</w:t>
            </w:r>
          </w:p>
        </w:tc>
        <w:tc>
          <w:tcPr>
            <w:tcW w:w="4050" w:type="dxa"/>
            <w:vAlign w:val="center"/>
          </w:tcPr>
          <w:p w14:paraId="4B4B330B" w14:textId="1DCF329E" w:rsidR="00DB692E" w:rsidRPr="00DB692E" w:rsidRDefault="00DB692E" w:rsidP="002E462E">
            <w:pPr>
              <w:jc w:val="both"/>
              <w:rPr>
                <w:rStyle w:val="fontstyle01"/>
              </w:rPr>
            </w:pPr>
            <w:r>
              <w:rPr>
                <w:rStyle w:val="fontstyle01"/>
              </w:rPr>
              <w:t>Average precipitation in state</w:t>
            </w:r>
          </w:p>
        </w:tc>
      </w:tr>
      <w:tr w:rsidR="00DB692E" w14:paraId="502CFE50" w14:textId="77777777" w:rsidTr="00B469E4">
        <w:trPr>
          <w:trHeight w:val="359"/>
        </w:trPr>
        <w:tc>
          <w:tcPr>
            <w:tcW w:w="1615" w:type="dxa"/>
            <w:vAlign w:val="center"/>
          </w:tcPr>
          <w:p w14:paraId="4F698302" w14:textId="692521EB" w:rsidR="00DB692E" w:rsidRPr="00DB692E" w:rsidRDefault="00DB692E" w:rsidP="00E8360C">
            <w:pPr>
              <w:jc w:val="both"/>
              <w:rPr>
                <w:rStyle w:val="fontstyle01"/>
              </w:rPr>
            </w:pPr>
            <w:r w:rsidRPr="00867DAD">
              <w:rPr>
                <w:rStyle w:val="fontstyle01"/>
              </w:rPr>
              <w:t>temperature</w:t>
            </w:r>
          </w:p>
        </w:tc>
        <w:tc>
          <w:tcPr>
            <w:tcW w:w="1260" w:type="dxa"/>
            <w:vAlign w:val="center"/>
          </w:tcPr>
          <w:p w14:paraId="3260EC03" w14:textId="65D941B2" w:rsidR="00DB692E" w:rsidRPr="00DB692E" w:rsidRDefault="00DB692E" w:rsidP="00E8360C">
            <w:pPr>
              <w:ind w:hanging="18"/>
              <w:jc w:val="both"/>
              <w:rPr>
                <w:rStyle w:val="fontstyle01"/>
              </w:rPr>
            </w:pPr>
            <w:r w:rsidRPr="00867DAD">
              <w:rPr>
                <w:rStyle w:val="fontstyle01"/>
              </w:rPr>
              <w:t>49.32409</w:t>
            </w:r>
          </w:p>
        </w:tc>
        <w:tc>
          <w:tcPr>
            <w:tcW w:w="1170" w:type="dxa"/>
            <w:vAlign w:val="center"/>
          </w:tcPr>
          <w:p w14:paraId="4B4B0542" w14:textId="5ABA3602" w:rsidR="00DB692E" w:rsidRPr="00DB692E" w:rsidRDefault="00DB692E" w:rsidP="00812DAD">
            <w:pPr>
              <w:ind w:firstLine="36"/>
              <w:jc w:val="both"/>
              <w:rPr>
                <w:rStyle w:val="fontstyle01"/>
              </w:rPr>
            </w:pPr>
            <w:r w:rsidRPr="00867DAD">
              <w:rPr>
                <w:rStyle w:val="fontstyle01"/>
              </w:rPr>
              <w:t>40.81126</w:t>
            </w:r>
          </w:p>
        </w:tc>
        <w:tc>
          <w:tcPr>
            <w:tcW w:w="1260" w:type="dxa"/>
            <w:vAlign w:val="center"/>
          </w:tcPr>
          <w:p w14:paraId="18158A79" w14:textId="34B6DD98" w:rsidR="00DB692E" w:rsidRPr="00DB692E" w:rsidRDefault="00DB692E" w:rsidP="00812DAD">
            <w:pPr>
              <w:jc w:val="both"/>
              <w:rPr>
                <w:rStyle w:val="fontstyle01"/>
              </w:rPr>
            </w:pPr>
            <w:r w:rsidRPr="00867DAD">
              <w:rPr>
                <w:rStyle w:val="fontstyle01"/>
              </w:rPr>
              <w:t>70.62281</w:t>
            </w:r>
          </w:p>
        </w:tc>
        <w:tc>
          <w:tcPr>
            <w:tcW w:w="4050" w:type="dxa"/>
            <w:vAlign w:val="center"/>
          </w:tcPr>
          <w:p w14:paraId="0D6E011A" w14:textId="192FC276" w:rsidR="00DB692E" w:rsidRPr="00DB692E" w:rsidRDefault="00DB692E" w:rsidP="002E462E">
            <w:pPr>
              <w:jc w:val="both"/>
              <w:rPr>
                <w:rStyle w:val="fontstyle01"/>
              </w:rPr>
            </w:pPr>
            <w:r>
              <w:rPr>
                <w:rStyle w:val="fontstyle01"/>
              </w:rPr>
              <w:t>Average temperature in state</w:t>
            </w:r>
          </w:p>
        </w:tc>
      </w:tr>
      <w:tr w:rsidR="00DB692E" w14:paraId="132AC1CA" w14:textId="77777777" w:rsidTr="00B469E4">
        <w:trPr>
          <w:trHeight w:val="341"/>
        </w:trPr>
        <w:tc>
          <w:tcPr>
            <w:tcW w:w="1615" w:type="dxa"/>
            <w:vAlign w:val="center"/>
          </w:tcPr>
          <w:p w14:paraId="79738C16" w14:textId="6A5920CC" w:rsidR="00DB692E" w:rsidRPr="00DB692E" w:rsidRDefault="00DB692E" w:rsidP="00E8360C">
            <w:pPr>
              <w:jc w:val="both"/>
              <w:rPr>
                <w:rStyle w:val="fontstyle01"/>
              </w:rPr>
            </w:pPr>
            <w:r w:rsidRPr="00867DAD">
              <w:rPr>
                <w:rStyle w:val="fontstyle01"/>
              </w:rPr>
              <w:t>lead</w:t>
            </w:r>
          </w:p>
        </w:tc>
        <w:tc>
          <w:tcPr>
            <w:tcW w:w="1260" w:type="dxa"/>
            <w:vAlign w:val="center"/>
          </w:tcPr>
          <w:p w14:paraId="5E188746" w14:textId="38D84694" w:rsidR="00DB692E" w:rsidRPr="00DB692E" w:rsidRDefault="00DB692E" w:rsidP="00E8360C">
            <w:pPr>
              <w:ind w:hanging="18"/>
              <w:jc w:val="both"/>
              <w:rPr>
                <w:rStyle w:val="fontstyle01"/>
              </w:rPr>
            </w:pPr>
            <w:r w:rsidRPr="00867DAD">
              <w:rPr>
                <w:rStyle w:val="fontstyle01"/>
              </w:rPr>
              <w:t>.6802326</w:t>
            </w:r>
          </w:p>
        </w:tc>
        <w:tc>
          <w:tcPr>
            <w:tcW w:w="1170" w:type="dxa"/>
            <w:vAlign w:val="center"/>
          </w:tcPr>
          <w:p w14:paraId="6E0A7526" w14:textId="5C185F0D" w:rsidR="00DB692E" w:rsidRPr="00DB692E" w:rsidRDefault="00DB692E" w:rsidP="00812DAD">
            <w:pPr>
              <w:ind w:firstLine="36"/>
              <w:jc w:val="both"/>
              <w:rPr>
                <w:rStyle w:val="fontstyle01"/>
              </w:rPr>
            </w:pPr>
            <w:r w:rsidRPr="00867DAD">
              <w:rPr>
                <w:rStyle w:val="fontstyle01"/>
              </w:rPr>
              <w:t>0</w:t>
            </w:r>
          </w:p>
        </w:tc>
        <w:tc>
          <w:tcPr>
            <w:tcW w:w="1260" w:type="dxa"/>
            <w:vAlign w:val="center"/>
          </w:tcPr>
          <w:p w14:paraId="223D2226" w14:textId="2E0353E9" w:rsidR="00DB692E" w:rsidRPr="00DB692E" w:rsidRDefault="00DB692E" w:rsidP="00812DAD">
            <w:pPr>
              <w:jc w:val="both"/>
              <w:rPr>
                <w:rStyle w:val="fontstyle01"/>
              </w:rPr>
            </w:pPr>
            <w:r w:rsidRPr="00867DAD">
              <w:rPr>
                <w:rStyle w:val="fontstyle01"/>
              </w:rPr>
              <w:t>1</w:t>
            </w:r>
          </w:p>
        </w:tc>
        <w:tc>
          <w:tcPr>
            <w:tcW w:w="4050" w:type="dxa"/>
            <w:vAlign w:val="center"/>
          </w:tcPr>
          <w:p w14:paraId="1E53E2A6" w14:textId="0DA3A832" w:rsidR="00DB692E" w:rsidRPr="00DB692E" w:rsidRDefault="00DB692E" w:rsidP="002E462E">
            <w:pPr>
              <w:jc w:val="both"/>
              <w:rPr>
                <w:rStyle w:val="fontstyle01"/>
              </w:rPr>
            </w:pPr>
            <w:r>
              <w:rPr>
                <w:rStyle w:val="fontstyle01"/>
              </w:rPr>
              <w:t>Indicator =1 if city had lead pipes</w:t>
            </w:r>
          </w:p>
        </w:tc>
      </w:tr>
      <w:tr w:rsidR="00DB692E" w14:paraId="1085CB5D" w14:textId="77777777" w:rsidTr="00B469E4">
        <w:trPr>
          <w:trHeight w:val="359"/>
        </w:trPr>
        <w:tc>
          <w:tcPr>
            <w:tcW w:w="1615" w:type="dxa"/>
            <w:vAlign w:val="center"/>
          </w:tcPr>
          <w:p w14:paraId="47603E22" w14:textId="1A82534C" w:rsidR="00DB692E" w:rsidRPr="00DB692E" w:rsidRDefault="00DB692E" w:rsidP="00E8360C">
            <w:pPr>
              <w:jc w:val="both"/>
              <w:rPr>
                <w:rStyle w:val="fontstyle01"/>
              </w:rPr>
            </w:pPr>
            <w:r w:rsidRPr="00867DAD">
              <w:rPr>
                <w:rStyle w:val="fontstyle01"/>
              </w:rPr>
              <w:t>foreign_sh</w:t>
            </w:r>
            <w:r w:rsidRPr="00DB692E">
              <w:rPr>
                <w:rStyle w:val="fontstyle01"/>
              </w:rPr>
              <w:t>ar</w:t>
            </w:r>
            <w:r w:rsidRPr="00867DAD">
              <w:rPr>
                <w:rStyle w:val="fontstyle01"/>
              </w:rPr>
              <w:t>e</w:t>
            </w:r>
          </w:p>
        </w:tc>
        <w:tc>
          <w:tcPr>
            <w:tcW w:w="1260" w:type="dxa"/>
            <w:vAlign w:val="center"/>
          </w:tcPr>
          <w:p w14:paraId="4F649AB7" w14:textId="7CEF4523" w:rsidR="00DB692E" w:rsidRPr="00DB692E" w:rsidRDefault="00DB692E" w:rsidP="00E8360C">
            <w:pPr>
              <w:ind w:hanging="18"/>
              <w:jc w:val="both"/>
              <w:rPr>
                <w:rStyle w:val="fontstyle01"/>
              </w:rPr>
            </w:pPr>
            <w:r w:rsidRPr="00867DAD">
              <w:rPr>
                <w:rStyle w:val="fontstyle01"/>
              </w:rPr>
              <w:t>.2169771</w:t>
            </w:r>
          </w:p>
        </w:tc>
        <w:tc>
          <w:tcPr>
            <w:tcW w:w="1170" w:type="dxa"/>
            <w:vAlign w:val="center"/>
          </w:tcPr>
          <w:p w14:paraId="61903A91" w14:textId="023C3BFE" w:rsidR="00DB692E" w:rsidRPr="00DB692E" w:rsidRDefault="00DB692E" w:rsidP="00812DAD">
            <w:pPr>
              <w:ind w:firstLine="36"/>
              <w:jc w:val="both"/>
              <w:rPr>
                <w:rStyle w:val="fontstyle01"/>
              </w:rPr>
            </w:pPr>
            <w:r w:rsidRPr="00867DAD">
              <w:rPr>
                <w:rStyle w:val="fontstyle01"/>
              </w:rPr>
              <w:t>0</w:t>
            </w:r>
          </w:p>
        </w:tc>
        <w:tc>
          <w:tcPr>
            <w:tcW w:w="1260" w:type="dxa"/>
            <w:vAlign w:val="center"/>
          </w:tcPr>
          <w:p w14:paraId="7523AF94" w14:textId="5BD61E84" w:rsidR="00DB692E" w:rsidRPr="00DB692E" w:rsidRDefault="00DB692E" w:rsidP="00812DAD">
            <w:pPr>
              <w:jc w:val="both"/>
              <w:rPr>
                <w:rStyle w:val="fontstyle01"/>
              </w:rPr>
            </w:pPr>
            <w:r w:rsidRPr="00867DAD">
              <w:rPr>
                <w:rStyle w:val="fontstyle01"/>
              </w:rPr>
              <w:t>.5822222</w:t>
            </w:r>
          </w:p>
        </w:tc>
        <w:tc>
          <w:tcPr>
            <w:tcW w:w="4050" w:type="dxa"/>
            <w:vAlign w:val="center"/>
          </w:tcPr>
          <w:p w14:paraId="7513B7F9" w14:textId="4AC8095C" w:rsidR="00DB692E" w:rsidRPr="00DB692E" w:rsidRDefault="00DB692E" w:rsidP="002E462E">
            <w:pPr>
              <w:jc w:val="both"/>
              <w:rPr>
                <w:rStyle w:val="fontstyle01"/>
              </w:rPr>
            </w:pPr>
            <w:r>
              <w:rPr>
                <w:rStyle w:val="fontstyle01"/>
              </w:rPr>
              <w:t>Fraction of population who are foreign born</w:t>
            </w:r>
          </w:p>
        </w:tc>
      </w:tr>
    </w:tbl>
    <w:p w14:paraId="2AC8591B" w14:textId="3925C064" w:rsidR="0037732B" w:rsidRDefault="0037732B" w:rsidP="00E8360C">
      <w:pPr>
        <w:spacing w:after="0" w:line="480" w:lineRule="auto"/>
        <w:ind w:firstLine="720"/>
        <w:jc w:val="both"/>
        <w:rPr>
          <w:rFonts w:ascii="Times New Roman" w:eastAsia="Times New Roman" w:hAnsi="Times New Roman" w:cs="Times New Roman"/>
          <w:color w:val="000000" w:themeColor="text1"/>
          <w:sz w:val="24"/>
          <w:szCs w:val="24"/>
        </w:rPr>
      </w:pPr>
    </w:p>
    <w:p w14:paraId="488EC686" w14:textId="28A47AA7" w:rsidR="009D22B9" w:rsidRPr="009D22B9" w:rsidRDefault="00120787" w:rsidP="002E462E">
      <w:pPr>
        <w:pStyle w:val="ListParagraph"/>
        <w:numPr>
          <w:ilvl w:val="0"/>
          <w:numId w:val="1"/>
        </w:numPr>
        <w:spacing w:after="0" w:line="480" w:lineRule="auto"/>
        <w:ind w:left="0" w:firstLine="720"/>
        <w:jc w:val="both"/>
        <w:rPr>
          <w:rFonts w:ascii="Times New Roman" w:eastAsia="Times New Roman" w:hAnsi="Times New Roman" w:cs="Times New Roman"/>
          <w:b/>
          <w:bCs/>
          <w:color w:val="000000" w:themeColor="text1"/>
          <w:sz w:val="24"/>
          <w:szCs w:val="24"/>
        </w:rPr>
      </w:pPr>
      <w:r w:rsidRPr="6209BDDA">
        <w:rPr>
          <w:rFonts w:ascii="Times New Roman" w:eastAsia="Times New Roman" w:hAnsi="Times New Roman" w:cs="Times New Roman"/>
          <w:b/>
          <w:bCs/>
          <w:color w:val="000000" w:themeColor="text1"/>
          <w:sz w:val="24"/>
          <w:szCs w:val="24"/>
        </w:rPr>
        <w:t>Replication Results</w:t>
      </w:r>
    </w:p>
    <w:p w14:paraId="4366D619" w14:textId="2732FC9E" w:rsidR="05EAC7EE" w:rsidRDefault="05EAC7EE" w:rsidP="00BA5AD4">
      <w:pPr>
        <w:spacing w:after="0" w:line="480" w:lineRule="auto"/>
        <w:ind w:firstLine="720"/>
        <w:jc w:val="both"/>
        <w:rPr>
          <w:rFonts w:ascii="Times New Roman" w:eastAsia="Times New Roman" w:hAnsi="Times New Roman" w:cs="Times New Roman"/>
          <w:color w:val="000000" w:themeColor="text1"/>
          <w:sz w:val="24"/>
          <w:szCs w:val="24"/>
        </w:rPr>
      </w:pPr>
      <w:r w:rsidRPr="1470DACA">
        <w:rPr>
          <w:rFonts w:ascii="Times New Roman" w:eastAsia="Times New Roman" w:hAnsi="Times New Roman" w:cs="Times New Roman"/>
          <w:color w:val="000000" w:themeColor="text1"/>
          <w:sz w:val="24"/>
          <w:szCs w:val="24"/>
        </w:rPr>
        <w:t>The replication results address the research question of whether</w:t>
      </w:r>
      <w:r w:rsidR="7976918D" w:rsidRPr="1470DACA">
        <w:rPr>
          <w:rFonts w:ascii="Times New Roman" w:eastAsia="Times New Roman" w:hAnsi="Times New Roman" w:cs="Times New Roman"/>
          <w:color w:val="000000" w:themeColor="text1"/>
          <w:sz w:val="24"/>
          <w:szCs w:val="24"/>
        </w:rPr>
        <w:t xml:space="preserve"> waterborne lead exposure </w:t>
      </w:r>
      <w:r w:rsidR="0C5939F3" w:rsidRPr="1470DACA">
        <w:rPr>
          <w:rFonts w:ascii="Times New Roman" w:eastAsia="Times New Roman" w:hAnsi="Times New Roman" w:cs="Times New Roman"/>
          <w:color w:val="000000" w:themeColor="text1"/>
          <w:sz w:val="24"/>
          <w:szCs w:val="24"/>
        </w:rPr>
        <w:t>influences</w:t>
      </w:r>
      <w:r w:rsidR="7976918D" w:rsidRPr="1470DACA">
        <w:rPr>
          <w:rFonts w:ascii="Times New Roman" w:eastAsia="Times New Roman" w:hAnsi="Times New Roman" w:cs="Times New Roman"/>
          <w:color w:val="000000" w:themeColor="text1"/>
          <w:sz w:val="24"/>
          <w:szCs w:val="24"/>
        </w:rPr>
        <w:t xml:space="preserve"> infant mortality</w:t>
      </w:r>
      <w:r w:rsidR="057801A7" w:rsidRPr="1470DACA">
        <w:rPr>
          <w:rFonts w:ascii="Times New Roman" w:eastAsia="Times New Roman" w:hAnsi="Times New Roman" w:cs="Times New Roman"/>
          <w:color w:val="000000" w:themeColor="text1"/>
          <w:sz w:val="24"/>
          <w:szCs w:val="24"/>
        </w:rPr>
        <w:t>. A linear regression of</w:t>
      </w:r>
      <w:r w:rsidR="1EC36644" w:rsidRPr="1470DACA">
        <w:rPr>
          <w:rFonts w:ascii="Times New Roman" w:eastAsia="Times New Roman" w:hAnsi="Times New Roman" w:cs="Times New Roman"/>
          <w:color w:val="000000" w:themeColor="text1"/>
          <w:sz w:val="24"/>
          <w:szCs w:val="24"/>
        </w:rPr>
        <w:t xml:space="preserve"> the natural log of</w:t>
      </w:r>
      <w:r w:rsidR="057801A7" w:rsidRPr="1470DACA">
        <w:rPr>
          <w:rFonts w:ascii="Times New Roman" w:eastAsia="Times New Roman" w:hAnsi="Times New Roman" w:cs="Times New Roman"/>
          <w:color w:val="000000" w:themeColor="text1"/>
          <w:sz w:val="24"/>
          <w:szCs w:val="24"/>
        </w:rPr>
        <w:t xml:space="preserve"> </w:t>
      </w:r>
      <w:r w:rsidR="12654051" w:rsidRPr="1470DACA">
        <w:rPr>
          <w:rFonts w:ascii="Times New Roman" w:eastAsia="Times New Roman" w:hAnsi="Times New Roman" w:cs="Times New Roman"/>
          <w:color w:val="000000" w:themeColor="text1"/>
          <w:sz w:val="24"/>
          <w:szCs w:val="24"/>
        </w:rPr>
        <w:t>(</w:t>
      </w:r>
      <w:r w:rsidR="057801A7" w:rsidRPr="1470DACA">
        <w:rPr>
          <w:rFonts w:ascii="Times New Roman" w:eastAsia="Times New Roman" w:hAnsi="Times New Roman" w:cs="Times New Roman"/>
          <w:color w:val="000000" w:themeColor="text1"/>
          <w:sz w:val="24"/>
          <w:szCs w:val="24"/>
        </w:rPr>
        <w:t>pH</w:t>
      </w:r>
      <w:r w:rsidR="50B23FE1" w:rsidRPr="1470DACA">
        <w:rPr>
          <w:rFonts w:ascii="Times New Roman" w:eastAsia="Times New Roman" w:hAnsi="Times New Roman" w:cs="Times New Roman"/>
          <w:color w:val="000000" w:themeColor="text1"/>
          <w:sz w:val="24"/>
          <w:szCs w:val="24"/>
        </w:rPr>
        <w:t>-5.675)</w:t>
      </w:r>
      <w:r w:rsidR="057801A7" w:rsidRPr="1470DACA">
        <w:rPr>
          <w:rFonts w:ascii="Times New Roman" w:eastAsia="Times New Roman" w:hAnsi="Times New Roman" w:cs="Times New Roman"/>
          <w:color w:val="000000" w:themeColor="text1"/>
          <w:sz w:val="24"/>
          <w:szCs w:val="24"/>
        </w:rPr>
        <w:t xml:space="preserve"> on infant mortality rate based o</w:t>
      </w:r>
      <w:r w:rsidR="56847557" w:rsidRPr="1470DACA">
        <w:rPr>
          <w:rFonts w:ascii="Times New Roman" w:eastAsia="Times New Roman" w:hAnsi="Times New Roman" w:cs="Times New Roman"/>
          <w:color w:val="000000" w:themeColor="text1"/>
          <w:sz w:val="24"/>
          <w:szCs w:val="24"/>
        </w:rPr>
        <w:t>n data of 172 U.S cities in 1900</w:t>
      </w:r>
      <w:r w:rsidR="0C5613A7" w:rsidRPr="1470DACA">
        <w:rPr>
          <w:rFonts w:ascii="Times New Roman" w:eastAsia="Times New Roman" w:hAnsi="Times New Roman" w:cs="Times New Roman"/>
          <w:color w:val="000000" w:themeColor="text1"/>
          <w:sz w:val="24"/>
          <w:szCs w:val="24"/>
        </w:rPr>
        <w:t xml:space="preserve"> is shown in the following figure.</w:t>
      </w:r>
      <w:r w:rsidR="3B93DDFB" w:rsidRPr="1470DACA">
        <w:rPr>
          <w:rFonts w:ascii="Times New Roman" w:eastAsia="Times New Roman" w:hAnsi="Times New Roman" w:cs="Times New Roman"/>
          <w:color w:val="000000" w:themeColor="text1"/>
          <w:sz w:val="24"/>
          <w:szCs w:val="24"/>
        </w:rPr>
        <w:t xml:space="preserve"> </w:t>
      </w:r>
      <w:r w:rsidR="124C2658" w:rsidRPr="1470DACA">
        <w:rPr>
          <w:rFonts w:ascii="Times New Roman" w:eastAsia="Times New Roman" w:hAnsi="Times New Roman" w:cs="Times New Roman"/>
          <w:color w:val="000000" w:themeColor="text1"/>
          <w:sz w:val="24"/>
          <w:szCs w:val="24"/>
        </w:rPr>
        <w:t xml:space="preserve">It shows that pH, which is negatively associated with lead concentration in water, is also negatively </w:t>
      </w:r>
      <w:r w:rsidR="6E5B60C5" w:rsidRPr="1470DACA">
        <w:rPr>
          <w:rFonts w:ascii="Times New Roman" w:eastAsia="Times New Roman" w:hAnsi="Times New Roman" w:cs="Times New Roman"/>
          <w:color w:val="000000" w:themeColor="text1"/>
          <w:sz w:val="24"/>
          <w:szCs w:val="24"/>
        </w:rPr>
        <w:t xml:space="preserve">associated with child morality. </w:t>
      </w:r>
      <w:r w:rsidR="316D27FB" w:rsidRPr="1470DACA">
        <w:rPr>
          <w:rFonts w:ascii="Times New Roman" w:eastAsia="Times New Roman" w:hAnsi="Times New Roman" w:cs="Times New Roman"/>
          <w:color w:val="000000" w:themeColor="text1"/>
          <w:sz w:val="24"/>
          <w:szCs w:val="24"/>
        </w:rPr>
        <w:t xml:space="preserve">The variable ln(pH-5.675) is used to </w:t>
      </w:r>
      <w:r w:rsidR="098741C6" w:rsidRPr="2BC65BC9">
        <w:rPr>
          <w:rFonts w:ascii="Times New Roman" w:eastAsia="Times New Roman" w:hAnsi="Times New Roman" w:cs="Times New Roman"/>
          <w:color w:val="000000" w:themeColor="text1"/>
          <w:sz w:val="24"/>
          <w:szCs w:val="24"/>
        </w:rPr>
        <w:t>ensure</w:t>
      </w:r>
      <w:r w:rsidR="316D27FB" w:rsidRPr="1470DACA">
        <w:rPr>
          <w:rFonts w:ascii="Times New Roman" w:eastAsia="Times New Roman" w:hAnsi="Times New Roman" w:cs="Times New Roman"/>
          <w:color w:val="000000" w:themeColor="text1"/>
          <w:sz w:val="24"/>
          <w:szCs w:val="24"/>
        </w:rPr>
        <w:t xml:space="preserve"> the results are evaluated within the sample range</w:t>
      </w:r>
      <w:r w:rsidR="2D78DA5D" w:rsidRPr="1470DACA">
        <w:rPr>
          <w:rFonts w:ascii="Times New Roman" w:eastAsia="Times New Roman" w:hAnsi="Times New Roman" w:cs="Times New Roman"/>
          <w:color w:val="000000" w:themeColor="text1"/>
          <w:sz w:val="24"/>
          <w:szCs w:val="24"/>
        </w:rPr>
        <w:t xml:space="preserve"> and </w:t>
      </w:r>
      <w:r w:rsidR="1C209A29" w:rsidRPr="76B75EB9">
        <w:rPr>
          <w:rFonts w:ascii="Times New Roman" w:eastAsia="Times New Roman" w:hAnsi="Times New Roman" w:cs="Times New Roman"/>
          <w:color w:val="000000" w:themeColor="text1"/>
          <w:sz w:val="24"/>
          <w:szCs w:val="24"/>
        </w:rPr>
        <w:t>the</w:t>
      </w:r>
      <w:r w:rsidR="2D78DA5D" w:rsidRPr="76B75EB9">
        <w:rPr>
          <w:rFonts w:ascii="Times New Roman" w:eastAsia="Times New Roman" w:hAnsi="Times New Roman" w:cs="Times New Roman"/>
          <w:color w:val="000000" w:themeColor="text1"/>
          <w:sz w:val="24"/>
          <w:szCs w:val="24"/>
        </w:rPr>
        <w:t xml:space="preserve"> </w:t>
      </w:r>
      <w:r w:rsidR="1E492AEB" w:rsidRPr="451928E9">
        <w:rPr>
          <w:rFonts w:ascii="Times New Roman" w:eastAsia="Times New Roman" w:hAnsi="Times New Roman" w:cs="Times New Roman"/>
          <w:color w:val="000000" w:themeColor="text1"/>
          <w:sz w:val="24"/>
          <w:szCs w:val="24"/>
        </w:rPr>
        <w:t>data is normalized</w:t>
      </w:r>
      <w:r w:rsidR="6B533B86" w:rsidRPr="451928E9">
        <w:rPr>
          <w:rFonts w:ascii="Times New Roman" w:eastAsia="Times New Roman" w:hAnsi="Times New Roman" w:cs="Times New Roman"/>
          <w:color w:val="000000" w:themeColor="text1"/>
          <w:sz w:val="24"/>
          <w:szCs w:val="24"/>
        </w:rPr>
        <w:t>.</w:t>
      </w:r>
      <w:r w:rsidR="316D27FB" w:rsidRPr="1470DACA">
        <w:rPr>
          <w:rFonts w:ascii="Times New Roman" w:eastAsia="Times New Roman" w:hAnsi="Times New Roman" w:cs="Times New Roman"/>
          <w:color w:val="000000" w:themeColor="text1"/>
          <w:sz w:val="24"/>
          <w:szCs w:val="24"/>
        </w:rPr>
        <w:t xml:space="preserve"> </w:t>
      </w:r>
      <w:r w:rsidR="48132086" w:rsidRPr="1470DACA">
        <w:rPr>
          <w:rFonts w:ascii="Times New Roman" w:eastAsia="Times New Roman" w:hAnsi="Times New Roman" w:cs="Times New Roman"/>
          <w:color w:val="000000" w:themeColor="text1"/>
          <w:sz w:val="24"/>
          <w:szCs w:val="24"/>
        </w:rPr>
        <w:t>For example, a</w:t>
      </w:r>
      <w:r w:rsidR="316D27FB" w:rsidRPr="1470DACA">
        <w:rPr>
          <w:rFonts w:ascii="Times New Roman" w:eastAsia="Times New Roman" w:hAnsi="Times New Roman" w:cs="Times New Roman"/>
          <w:color w:val="000000" w:themeColor="text1"/>
          <w:sz w:val="24"/>
          <w:szCs w:val="24"/>
        </w:rPr>
        <w:t xml:space="preserve"> pH of 6.6</w:t>
      </w:r>
      <w:r w:rsidR="454DBDFC" w:rsidRPr="1470DACA">
        <w:rPr>
          <w:rFonts w:ascii="Times New Roman" w:eastAsia="Times New Roman" w:hAnsi="Times New Roman" w:cs="Times New Roman"/>
          <w:color w:val="000000" w:themeColor="text1"/>
          <w:sz w:val="24"/>
          <w:szCs w:val="24"/>
        </w:rPr>
        <w:t xml:space="preserve">75, </w:t>
      </w:r>
      <w:r w:rsidR="2AF7AA25" w:rsidRPr="1470DACA">
        <w:rPr>
          <w:rFonts w:ascii="Times New Roman" w:eastAsia="Times New Roman" w:hAnsi="Times New Roman" w:cs="Times New Roman"/>
          <w:color w:val="000000" w:themeColor="text1"/>
          <w:sz w:val="24"/>
          <w:szCs w:val="24"/>
        </w:rPr>
        <w:t>the 25</w:t>
      </w:r>
      <w:r w:rsidR="2AF7AA25" w:rsidRPr="1470DACA">
        <w:rPr>
          <w:rFonts w:ascii="Times New Roman" w:eastAsia="Times New Roman" w:hAnsi="Times New Roman" w:cs="Times New Roman"/>
          <w:color w:val="000000" w:themeColor="text1"/>
          <w:sz w:val="24"/>
          <w:szCs w:val="24"/>
          <w:vertAlign w:val="superscript"/>
        </w:rPr>
        <w:t>th</w:t>
      </w:r>
      <w:r w:rsidR="2AF7AA25" w:rsidRPr="1470DACA">
        <w:rPr>
          <w:rFonts w:ascii="Times New Roman" w:eastAsia="Times New Roman" w:hAnsi="Times New Roman" w:cs="Times New Roman"/>
          <w:color w:val="000000" w:themeColor="text1"/>
          <w:sz w:val="24"/>
          <w:szCs w:val="24"/>
        </w:rPr>
        <w:t xml:space="preserve"> percentile, would results i</w:t>
      </w:r>
      <w:r w:rsidR="591700BD" w:rsidRPr="1470DACA">
        <w:rPr>
          <w:rFonts w:ascii="Times New Roman" w:eastAsia="Times New Roman" w:hAnsi="Times New Roman" w:cs="Times New Roman"/>
          <w:color w:val="000000" w:themeColor="text1"/>
          <w:sz w:val="24"/>
          <w:szCs w:val="24"/>
        </w:rPr>
        <w:t xml:space="preserve">n an ln(pH-5675) of 0. </w:t>
      </w:r>
    </w:p>
    <w:p w14:paraId="12742B2A" w14:textId="0B6C1941" w:rsidR="7976918D" w:rsidRDefault="006807E4" w:rsidP="006807E4">
      <w:pPr>
        <w:spacing w:after="0" w:line="480" w:lineRule="auto"/>
        <w:jc w:val="center"/>
      </w:pPr>
      <w:r>
        <w:rPr>
          <w:noProof/>
        </w:rPr>
        <w:lastRenderedPageBreak/>
        <w:drawing>
          <wp:inline distT="0" distB="0" distL="0" distR="0" wp14:anchorId="079F08BE" wp14:editId="40A60C4D">
            <wp:extent cx="4945382" cy="3599525"/>
            <wp:effectExtent l="0" t="0" r="7620" b="1270"/>
            <wp:docPr id="694312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45382" cy="3599525"/>
                    </a:xfrm>
                    <a:prstGeom prst="rect">
                      <a:avLst/>
                    </a:prstGeom>
                  </pic:spPr>
                </pic:pic>
              </a:graphicData>
            </a:graphic>
          </wp:inline>
        </w:drawing>
      </w:r>
    </w:p>
    <w:p w14:paraId="07F85EE0" w14:textId="0197115D" w:rsidR="008F14CE" w:rsidRPr="001E7019" w:rsidRDefault="00A01FC4" w:rsidP="5B406E0B">
      <w:pPr>
        <w:spacing w:after="0" w:line="480" w:lineRule="auto"/>
        <w:jc w:val="center"/>
        <w:rPr>
          <w:rFonts w:ascii="Times New Roman" w:hAnsi="Times New Roman" w:cs="Times New Roman"/>
          <w:i/>
          <w:iCs/>
        </w:rPr>
      </w:pPr>
      <w:r w:rsidRPr="001E7019">
        <w:rPr>
          <w:rFonts w:ascii="Times New Roman" w:hAnsi="Times New Roman" w:cs="Times New Roman"/>
          <w:i/>
          <w:iCs/>
        </w:rPr>
        <w:t xml:space="preserve">Figure 1 </w:t>
      </w:r>
      <w:r w:rsidR="00C3714B" w:rsidRPr="001E7019">
        <w:rPr>
          <w:rFonts w:ascii="Times New Roman" w:hAnsi="Times New Roman" w:cs="Times New Roman"/>
          <w:i/>
          <w:iCs/>
        </w:rPr>
        <w:t>–</w:t>
      </w:r>
      <w:r w:rsidRPr="001E7019">
        <w:rPr>
          <w:rFonts w:ascii="Times New Roman" w:hAnsi="Times New Roman" w:cs="Times New Roman"/>
          <w:i/>
          <w:iCs/>
        </w:rPr>
        <w:t xml:space="preserve"> </w:t>
      </w:r>
      <w:r w:rsidR="00C3714B" w:rsidRPr="001E7019">
        <w:rPr>
          <w:rFonts w:ascii="Times New Roman" w:hAnsi="Times New Roman" w:cs="Times New Roman"/>
          <w:i/>
          <w:iCs/>
        </w:rPr>
        <w:t xml:space="preserve">A scatterplot </w:t>
      </w:r>
      <w:r w:rsidR="004F55A9" w:rsidRPr="001E7019">
        <w:rPr>
          <w:rFonts w:ascii="Times New Roman" w:hAnsi="Times New Roman" w:cs="Times New Roman"/>
          <w:i/>
          <w:iCs/>
        </w:rPr>
        <w:t xml:space="preserve">for </w:t>
      </w:r>
      <w:r w:rsidR="000E03F5" w:rsidRPr="001E7019">
        <w:rPr>
          <w:rFonts w:ascii="Times New Roman" w:hAnsi="Times New Roman" w:cs="Times New Roman"/>
          <w:i/>
          <w:iCs/>
        </w:rPr>
        <w:t xml:space="preserve">Infant Mortality Rate and </w:t>
      </w:r>
      <w:r w:rsidR="00E4572B" w:rsidRPr="001E7019">
        <w:rPr>
          <w:rFonts w:ascii="Times New Roman" w:hAnsi="Times New Roman" w:cs="Times New Roman"/>
          <w:i/>
          <w:iCs/>
        </w:rPr>
        <w:t>ln(pH</w:t>
      </w:r>
      <w:r w:rsidR="00C51AE4">
        <w:rPr>
          <w:rFonts w:ascii="Times New Roman" w:hAnsi="Times New Roman" w:cs="Times New Roman"/>
          <w:i/>
          <w:iCs/>
        </w:rPr>
        <w:t>-5.</w:t>
      </w:r>
      <w:r w:rsidR="00E12BEE">
        <w:rPr>
          <w:rFonts w:ascii="Times New Roman" w:hAnsi="Times New Roman" w:cs="Times New Roman"/>
          <w:i/>
          <w:iCs/>
        </w:rPr>
        <w:t>675</w:t>
      </w:r>
      <w:r w:rsidR="00E4572B" w:rsidRPr="001E7019">
        <w:rPr>
          <w:rFonts w:ascii="Times New Roman" w:hAnsi="Times New Roman" w:cs="Times New Roman"/>
          <w:i/>
          <w:iCs/>
        </w:rPr>
        <w:t xml:space="preserve">) </w:t>
      </w:r>
      <w:r w:rsidR="00AD0214">
        <w:rPr>
          <w:rFonts w:ascii="Times New Roman" w:hAnsi="Times New Roman" w:cs="Times New Roman"/>
          <w:i/>
          <w:iCs/>
        </w:rPr>
        <w:t>of the cities</w:t>
      </w:r>
    </w:p>
    <w:p w14:paraId="5876428C" w14:textId="3699D840" w:rsidR="001E7019" w:rsidRDefault="493206E7" w:rsidP="008911C2">
      <w:pPr>
        <w:spacing w:after="0" w:line="480" w:lineRule="auto"/>
        <w:ind w:firstLine="720"/>
        <w:jc w:val="both"/>
        <w:rPr>
          <w:rFonts w:ascii="Times New Roman" w:eastAsia="Times New Roman" w:hAnsi="Times New Roman" w:cs="Times New Roman"/>
          <w:color w:val="000000" w:themeColor="text1"/>
          <w:sz w:val="24"/>
          <w:szCs w:val="24"/>
        </w:rPr>
      </w:pPr>
      <w:r w:rsidRPr="1470DACA">
        <w:rPr>
          <w:rFonts w:ascii="Times New Roman" w:eastAsia="Times New Roman" w:hAnsi="Times New Roman" w:cs="Times New Roman"/>
          <w:color w:val="000000" w:themeColor="text1"/>
          <w:sz w:val="24"/>
          <w:szCs w:val="24"/>
        </w:rPr>
        <w:t>T</w:t>
      </w:r>
      <w:r w:rsidR="22D0547A" w:rsidRPr="1470DACA">
        <w:rPr>
          <w:rFonts w:ascii="Times New Roman" w:eastAsia="Times New Roman" w:hAnsi="Times New Roman" w:cs="Times New Roman"/>
          <w:color w:val="000000" w:themeColor="text1"/>
          <w:sz w:val="24"/>
          <w:szCs w:val="24"/>
        </w:rPr>
        <w:t>he</w:t>
      </w:r>
      <w:r w:rsidR="00560E87" w:rsidRPr="1470DACA">
        <w:rPr>
          <w:rFonts w:ascii="Times New Roman" w:eastAsia="Times New Roman" w:hAnsi="Times New Roman" w:cs="Times New Roman"/>
          <w:color w:val="000000" w:themeColor="text1"/>
          <w:sz w:val="24"/>
          <w:szCs w:val="24"/>
        </w:rPr>
        <w:t xml:space="preserve"> replication</w:t>
      </w:r>
      <w:r w:rsidRPr="1470DACA">
        <w:rPr>
          <w:rFonts w:ascii="Times New Roman" w:eastAsia="Times New Roman" w:hAnsi="Times New Roman" w:cs="Times New Roman"/>
          <w:color w:val="000000" w:themeColor="text1"/>
          <w:sz w:val="24"/>
          <w:szCs w:val="24"/>
        </w:rPr>
        <w:t xml:space="preserve"> </w:t>
      </w:r>
      <w:r w:rsidR="00560E87" w:rsidRPr="1470DACA">
        <w:rPr>
          <w:rFonts w:ascii="Times New Roman" w:eastAsia="Times New Roman" w:hAnsi="Times New Roman" w:cs="Times New Roman"/>
          <w:color w:val="000000" w:themeColor="text1"/>
          <w:sz w:val="24"/>
          <w:szCs w:val="24"/>
        </w:rPr>
        <w:t>regression analysis</w:t>
      </w:r>
      <w:r w:rsidRPr="1470DACA">
        <w:rPr>
          <w:rFonts w:ascii="Times New Roman" w:eastAsia="Times New Roman" w:hAnsi="Times New Roman" w:cs="Times New Roman"/>
          <w:color w:val="000000" w:themeColor="text1"/>
          <w:sz w:val="24"/>
          <w:szCs w:val="24"/>
        </w:rPr>
        <w:t xml:space="preserve"> is </w:t>
      </w:r>
      <w:r w:rsidR="726DF507" w:rsidRPr="1470DACA">
        <w:rPr>
          <w:rFonts w:ascii="Times New Roman" w:eastAsia="Times New Roman" w:hAnsi="Times New Roman" w:cs="Times New Roman"/>
          <w:color w:val="000000" w:themeColor="text1"/>
          <w:sz w:val="24"/>
          <w:szCs w:val="24"/>
        </w:rPr>
        <w:t xml:space="preserve">summarized </w:t>
      </w:r>
      <w:r w:rsidR="1DB55522" w:rsidRPr="1470DACA">
        <w:rPr>
          <w:rFonts w:ascii="Times New Roman" w:eastAsia="Times New Roman" w:hAnsi="Times New Roman" w:cs="Times New Roman"/>
          <w:color w:val="000000" w:themeColor="text1"/>
          <w:sz w:val="24"/>
          <w:szCs w:val="24"/>
        </w:rPr>
        <w:t xml:space="preserve">in </w:t>
      </w:r>
      <w:r w:rsidR="726DF507" w:rsidRPr="1470DACA">
        <w:rPr>
          <w:rFonts w:ascii="Times New Roman" w:eastAsia="Times New Roman" w:hAnsi="Times New Roman" w:cs="Times New Roman"/>
          <w:color w:val="000000" w:themeColor="text1"/>
          <w:sz w:val="24"/>
          <w:szCs w:val="24"/>
        </w:rPr>
        <w:t xml:space="preserve">the </w:t>
      </w:r>
      <w:r w:rsidR="00560E87" w:rsidRPr="1470DACA">
        <w:rPr>
          <w:rFonts w:ascii="Times New Roman" w:eastAsia="Times New Roman" w:hAnsi="Times New Roman" w:cs="Times New Roman"/>
          <w:color w:val="000000" w:themeColor="text1"/>
          <w:sz w:val="24"/>
          <w:szCs w:val="24"/>
        </w:rPr>
        <w:t>tables</w:t>
      </w:r>
      <w:r w:rsidR="1CA2C173" w:rsidRPr="1470DACA">
        <w:rPr>
          <w:rFonts w:ascii="Times New Roman" w:eastAsia="Times New Roman" w:hAnsi="Times New Roman" w:cs="Times New Roman"/>
          <w:color w:val="000000" w:themeColor="text1"/>
          <w:sz w:val="24"/>
          <w:szCs w:val="24"/>
        </w:rPr>
        <w:t xml:space="preserve"> below</w:t>
      </w:r>
      <w:r w:rsidR="00162278" w:rsidRPr="1470DACA">
        <w:rPr>
          <w:rFonts w:ascii="Times New Roman" w:eastAsia="Times New Roman" w:hAnsi="Times New Roman" w:cs="Times New Roman"/>
          <w:color w:val="000000" w:themeColor="text1"/>
          <w:sz w:val="24"/>
          <w:szCs w:val="24"/>
        </w:rPr>
        <w:t>. The tables are</w:t>
      </w:r>
      <w:r w:rsidR="008911C2" w:rsidRPr="1470DACA">
        <w:rPr>
          <w:rFonts w:ascii="Times New Roman" w:eastAsia="Times New Roman" w:hAnsi="Times New Roman" w:cs="Times New Roman"/>
          <w:color w:val="000000" w:themeColor="text1"/>
          <w:sz w:val="24"/>
          <w:szCs w:val="24"/>
        </w:rPr>
        <w:t xml:space="preserve"> </w:t>
      </w:r>
      <w:r w:rsidR="00162278" w:rsidRPr="1470DACA">
        <w:rPr>
          <w:rFonts w:ascii="Times New Roman" w:eastAsia="Times New Roman" w:hAnsi="Times New Roman" w:cs="Times New Roman"/>
          <w:color w:val="000000" w:themeColor="text1"/>
          <w:sz w:val="24"/>
          <w:szCs w:val="24"/>
        </w:rPr>
        <w:t>labeled to</w:t>
      </w:r>
      <w:r w:rsidR="00B263B9">
        <w:rPr>
          <w:rFonts w:ascii="Times New Roman" w:eastAsia="Times New Roman" w:hAnsi="Times New Roman" w:cs="Times New Roman"/>
          <w:color w:val="000000" w:themeColor="text1"/>
          <w:sz w:val="24"/>
          <w:szCs w:val="24"/>
        </w:rPr>
        <w:t xml:space="preserve"> loosely</w:t>
      </w:r>
      <w:r w:rsidR="00162278" w:rsidRPr="1470DACA">
        <w:rPr>
          <w:rFonts w:ascii="Times New Roman" w:eastAsia="Times New Roman" w:hAnsi="Times New Roman" w:cs="Times New Roman"/>
          <w:color w:val="000000" w:themeColor="text1"/>
          <w:sz w:val="24"/>
          <w:szCs w:val="24"/>
        </w:rPr>
        <w:t xml:space="preserve"> match </w:t>
      </w:r>
      <w:r w:rsidR="00E34EC5" w:rsidRPr="1470DACA">
        <w:rPr>
          <w:rFonts w:ascii="Times New Roman" w:eastAsia="Times New Roman" w:hAnsi="Times New Roman" w:cs="Times New Roman"/>
          <w:color w:val="000000" w:themeColor="text1"/>
          <w:sz w:val="24"/>
          <w:szCs w:val="24"/>
        </w:rPr>
        <w:t xml:space="preserve">the </w:t>
      </w:r>
      <w:r w:rsidR="00762998" w:rsidRPr="1470DACA">
        <w:rPr>
          <w:rFonts w:ascii="Times New Roman" w:eastAsia="Times New Roman" w:hAnsi="Times New Roman" w:cs="Times New Roman"/>
          <w:color w:val="000000" w:themeColor="text1"/>
          <w:sz w:val="24"/>
          <w:szCs w:val="24"/>
        </w:rPr>
        <w:t xml:space="preserve">labels of the tables </w:t>
      </w:r>
      <w:r w:rsidR="00892668" w:rsidRPr="1470DACA">
        <w:rPr>
          <w:rFonts w:ascii="Times New Roman" w:eastAsia="Times New Roman" w:hAnsi="Times New Roman" w:cs="Times New Roman"/>
          <w:color w:val="000000" w:themeColor="text1"/>
          <w:sz w:val="24"/>
          <w:szCs w:val="24"/>
        </w:rPr>
        <w:t>in the original study</w:t>
      </w: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530"/>
        <w:gridCol w:w="2160"/>
      </w:tblGrid>
      <w:tr w:rsidR="00786C2F" w:rsidRPr="00786C2F" w14:paraId="0F4D24BA" w14:textId="77777777" w:rsidTr="00092B34">
        <w:trPr>
          <w:trHeight w:val="276"/>
          <w:jc w:val="center"/>
        </w:trPr>
        <w:tc>
          <w:tcPr>
            <w:tcW w:w="3055" w:type="dxa"/>
            <w:tcBorders>
              <w:bottom w:val="nil"/>
            </w:tcBorders>
            <w:shd w:val="clear" w:color="auto" w:fill="auto"/>
            <w:noWrap/>
            <w:vAlign w:val="bottom"/>
            <w:hideMark/>
          </w:tcPr>
          <w:p w14:paraId="143538B3" w14:textId="77777777" w:rsidR="00786C2F" w:rsidRPr="00786C2F" w:rsidRDefault="00786C2F" w:rsidP="00736657">
            <w:pPr>
              <w:spacing w:after="0" w:line="240" w:lineRule="auto"/>
              <w:jc w:val="both"/>
              <w:rPr>
                <w:rStyle w:val="fontstyle01"/>
              </w:rPr>
            </w:pPr>
            <w:r w:rsidRPr="00786C2F">
              <w:rPr>
                <w:rStyle w:val="fontstyle01"/>
              </w:rPr>
              <w:t> </w:t>
            </w:r>
          </w:p>
        </w:tc>
        <w:tc>
          <w:tcPr>
            <w:tcW w:w="1530" w:type="dxa"/>
            <w:tcBorders>
              <w:bottom w:val="nil"/>
            </w:tcBorders>
            <w:shd w:val="clear" w:color="auto" w:fill="auto"/>
            <w:noWrap/>
            <w:vAlign w:val="bottom"/>
            <w:hideMark/>
          </w:tcPr>
          <w:p w14:paraId="58CCDECD" w14:textId="77777777" w:rsidR="00786C2F" w:rsidRPr="00786C2F" w:rsidRDefault="00786C2F" w:rsidP="000B22AD">
            <w:pPr>
              <w:spacing w:after="0" w:line="240" w:lineRule="auto"/>
              <w:jc w:val="center"/>
              <w:rPr>
                <w:rStyle w:val="fontstyle01"/>
              </w:rPr>
            </w:pPr>
            <w:r w:rsidRPr="00786C2F">
              <w:rPr>
                <w:rStyle w:val="fontstyle01"/>
              </w:rPr>
              <w:t>(1)</w:t>
            </w:r>
          </w:p>
        </w:tc>
        <w:tc>
          <w:tcPr>
            <w:tcW w:w="2160" w:type="dxa"/>
            <w:tcBorders>
              <w:bottom w:val="nil"/>
            </w:tcBorders>
            <w:shd w:val="clear" w:color="auto" w:fill="auto"/>
            <w:noWrap/>
            <w:vAlign w:val="bottom"/>
            <w:hideMark/>
          </w:tcPr>
          <w:p w14:paraId="468C4C05" w14:textId="77777777" w:rsidR="00786C2F" w:rsidRPr="00786C2F" w:rsidRDefault="00786C2F" w:rsidP="000B22AD">
            <w:pPr>
              <w:spacing w:after="0" w:line="240" w:lineRule="auto"/>
              <w:jc w:val="center"/>
              <w:rPr>
                <w:rStyle w:val="fontstyle01"/>
              </w:rPr>
            </w:pPr>
            <w:r w:rsidRPr="00786C2F">
              <w:rPr>
                <w:rStyle w:val="fontstyle01"/>
              </w:rPr>
              <w:t>(2)</w:t>
            </w:r>
          </w:p>
        </w:tc>
      </w:tr>
      <w:tr w:rsidR="00786C2F" w:rsidRPr="00786C2F" w14:paraId="1DF59377" w14:textId="77777777" w:rsidTr="00092B34">
        <w:trPr>
          <w:trHeight w:val="276"/>
          <w:jc w:val="center"/>
        </w:trPr>
        <w:tc>
          <w:tcPr>
            <w:tcW w:w="3055" w:type="dxa"/>
            <w:tcBorders>
              <w:top w:val="nil"/>
            </w:tcBorders>
            <w:shd w:val="clear" w:color="auto" w:fill="auto"/>
            <w:noWrap/>
            <w:vAlign w:val="bottom"/>
            <w:hideMark/>
          </w:tcPr>
          <w:p w14:paraId="1D869CEF" w14:textId="77777777" w:rsidR="00786C2F" w:rsidRPr="00786C2F" w:rsidRDefault="00786C2F" w:rsidP="00736657">
            <w:pPr>
              <w:spacing w:after="0" w:line="240" w:lineRule="auto"/>
              <w:jc w:val="both"/>
              <w:rPr>
                <w:rStyle w:val="fontstyle01"/>
              </w:rPr>
            </w:pPr>
            <w:r w:rsidRPr="00786C2F">
              <w:rPr>
                <w:rStyle w:val="fontstyle01"/>
              </w:rPr>
              <w:t>VARIABLES</w:t>
            </w:r>
          </w:p>
        </w:tc>
        <w:tc>
          <w:tcPr>
            <w:tcW w:w="1530" w:type="dxa"/>
            <w:tcBorders>
              <w:top w:val="nil"/>
            </w:tcBorders>
            <w:shd w:val="clear" w:color="auto" w:fill="auto"/>
            <w:noWrap/>
            <w:vAlign w:val="bottom"/>
            <w:hideMark/>
          </w:tcPr>
          <w:p w14:paraId="503F3A7D" w14:textId="33E7B484" w:rsidR="00786C2F" w:rsidRPr="00786C2F" w:rsidRDefault="00512BE0" w:rsidP="000B22AD">
            <w:pPr>
              <w:spacing w:after="0" w:line="240" w:lineRule="auto"/>
              <w:jc w:val="center"/>
              <w:rPr>
                <w:rStyle w:val="fontstyle01"/>
              </w:rPr>
            </w:pPr>
            <w:r>
              <w:rPr>
                <w:rStyle w:val="fontstyle01"/>
              </w:rPr>
              <w:t>Lead</w:t>
            </w:r>
          </w:p>
        </w:tc>
        <w:tc>
          <w:tcPr>
            <w:tcW w:w="2160" w:type="dxa"/>
            <w:tcBorders>
              <w:top w:val="nil"/>
            </w:tcBorders>
            <w:shd w:val="clear" w:color="auto" w:fill="auto"/>
            <w:noWrap/>
            <w:vAlign w:val="bottom"/>
            <w:hideMark/>
          </w:tcPr>
          <w:p w14:paraId="24B3BA0F" w14:textId="78BB73E5" w:rsidR="00786C2F" w:rsidRPr="00786C2F" w:rsidRDefault="00686F3E" w:rsidP="000B22AD">
            <w:pPr>
              <w:spacing w:after="0" w:line="240" w:lineRule="auto"/>
              <w:jc w:val="center"/>
              <w:rPr>
                <w:rStyle w:val="fontstyle01"/>
              </w:rPr>
            </w:pPr>
            <w:r>
              <w:rPr>
                <w:rStyle w:val="fontstyle01"/>
              </w:rPr>
              <w:t xml:space="preserve">Lead and </w:t>
            </w:r>
            <w:r w:rsidR="000B22AD">
              <w:rPr>
                <w:rStyle w:val="fontstyle01"/>
              </w:rPr>
              <w:t>pH</w:t>
            </w:r>
            <w:r w:rsidR="000B22AD">
              <w:rPr>
                <w:rStyle w:val="fontstyle01"/>
                <w:rFonts w:eastAsiaTheme="minorEastAsia"/>
              </w:rPr>
              <w:t xml:space="preserve"> </w:t>
            </w:r>
            <m:oMath>
              <m:r>
                <w:rPr>
                  <w:rStyle w:val="fontstyle01"/>
                  <w:rFonts w:ascii="Cambria Math" w:hAnsi="Cambria Math"/>
                </w:rPr>
                <m:t>≤</m:t>
              </m:r>
              <m:r>
                <w:rPr>
                  <w:rStyle w:val="fontstyle01"/>
                  <w:rFonts w:ascii="Cambria Math" w:eastAsiaTheme="minorEastAsia" w:hAnsi="Cambria Math"/>
                </w:rPr>
                <m:t xml:space="preserve"> </m:t>
              </m:r>
            </m:oMath>
            <w:r w:rsidR="000B22AD">
              <w:rPr>
                <w:rStyle w:val="fontstyle01"/>
                <w:rFonts w:eastAsiaTheme="minorEastAsia"/>
              </w:rPr>
              <w:t>7.3</w:t>
            </w:r>
          </w:p>
        </w:tc>
      </w:tr>
      <w:tr w:rsidR="00786C2F" w:rsidRPr="00786C2F" w14:paraId="1C6D9488" w14:textId="77777777" w:rsidTr="003657DA">
        <w:trPr>
          <w:trHeight w:val="276"/>
          <w:jc w:val="center"/>
        </w:trPr>
        <w:tc>
          <w:tcPr>
            <w:tcW w:w="3055" w:type="dxa"/>
            <w:tcBorders>
              <w:bottom w:val="nil"/>
            </w:tcBorders>
            <w:shd w:val="clear" w:color="auto" w:fill="auto"/>
            <w:noWrap/>
            <w:vAlign w:val="bottom"/>
            <w:hideMark/>
          </w:tcPr>
          <w:p w14:paraId="39240E07" w14:textId="7C6350B0" w:rsidR="00786C2F" w:rsidRPr="00786C2F" w:rsidRDefault="00865E33" w:rsidP="00736657">
            <w:pPr>
              <w:spacing w:after="0" w:line="240" w:lineRule="auto"/>
              <w:jc w:val="both"/>
              <w:rPr>
                <w:rStyle w:val="fontstyle01"/>
              </w:rPr>
            </w:pPr>
            <w:r w:rsidRPr="00865E33">
              <w:rPr>
                <w:rStyle w:val="fontstyle01"/>
              </w:rPr>
              <w:t xml:space="preserve">ln(pH </w:t>
            </w:r>
            <w:r>
              <w:rPr>
                <w:rStyle w:val="fontstyle01"/>
              </w:rPr>
              <w:t>-</w:t>
            </w:r>
            <w:r w:rsidRPr="00865E33">
              <w:rPr>
                <w:rStyle w:val="fontstyle01"/>
              </w:rPr>
              <w:t xml:space="preserve"> 5.675)</w:t>
            </w:r>
          </w:p>
        </w:tc>
        <w:tc>
          <w:tcPr>
            <w:tcW w:w="1530" w:type="dxa"/>
            <w:tcBorders>
              <w:bottom w:val="nil"/>
            </w:tcBorders>
            <w:shd w:val="clear" w:color="auto" w:fill="auto"/>
            <w:noWrap/>
            <w:vAlign w:val="bottom"/>
            <w:hideMark/>
          </w:tcPr>
          <w:p w14:paraId="373AEB73" w14:textId="77777777" w:rsidR="00786C2F" w:rsidRPr="00786C2F" w:rsidRDefault="00786C2F" w:rsidP="000B22AD">
            <w:pPr>
              <w:spacing w:after="0" w:line="240" w:lineRule="auto"/>
              <w:jc w:val="center"/>
              <w:rPr>
                <w:rStyle w:val="fontstyle01"/>
              </w:rPr>
            </w:pPr>
            <w:r w:rsidRPr="00786C2F">
              <w:rPr>
                <w:rStyle w:val="fontstyle01"/>
              </w:rPr>
              <w:t>-0.132**</w:t>
            </w:r>
          </w:p>
        </w:tc>
        <w:tc>
          <w:tcPr>
            <w:tcW w:w="2160" w:type="dxa"/>
            <w:tcBorders>
              <w:bottom w:val="nil"/>
            </w:tcBorders>
            <w:shd w:val="clear" w:color="auto" w:fill="auto"/>
            <w:noWrap/>
            <w:vAlign w:val="bottom"/>
            <w:hideMark/>
          </w:tcPr>
          <w:p w14:paraId="6A676A80" w14:textId="77777777" w:rsidR="00786C2F" w:rsidRPr="00786C2F" w:rsidRDefault="00786C2F" w:rsidP="000B22AD">
            <w:pPr>
              <w:spacing w:after="0" w:line="240" w:lineRule="auto"/>
              <w:jc w:val="center"/>
              <w:rPr>
                <w:rStyle w:val="fontstyle01"/>
              </w:rPr>
            </w:pPr>
          </w:p>
        </w:tc>
      </w:tr>
      <w:tr w:rsidR="00786C2F" w:rsidRPr="00786C2F" w14:paraId="0C3DAAE9" w14:textId="77777777" w:rsidTr="003657DA">
        <w:trPr>
          <w:trHeight w:val="276"/>
          <w:jc w:val="center"/>
        </w:trPr>
        <w:tc>
          <w:tcPr>
            <w:tcW w:w="3055" w:type="dxa"/>
            <w:tcBorders>
              <w:top w:val="nil"/>
            </w:tcBorders>
            <w:shd w:val="clear" w:color="auto" w:fill="auto"/>
            <w:noWrap/>
            <w:vAlign w:val="bottom"/>
            <w:hideMark/>
          </w:tcPr>
          <w:p w14:paraId="32E7EBB1"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0649A751" w14:textId="77777777" w:rsidR="00786C2F" w:rsidRPr="00786C2F" w:rsidRDefault="00786C2F" w:rsidP="000B22AD">
            <w:pPr>
              <w:spacing w:after="0" w:line="240" w:lineRule="auto"/>
              <w:jc w:val="center"/>
              <w:rPr>
                <w:rStyle w:val="fontstyle01"/>
              </w:rPr>
            </w:pPr>
            <w:r w:rsidRPr="00786C2F">
              <w:rPr>
                <w:rStyle w:val="fontstyle01"/>
              </w:rPr>
              <w:t>(0.0589)</w:t>
            </w:r>
          </w:p>
        </w:tc>
        <w:tc>
          <w:tcPr>
            <w:tcW w:w="2160" w:type="dxa"/>
            <w:tcBorders>
              <w:top w:val="nil"/>
            </w:tcBorders>
            <w:shd w:val="clear" w:color="auto" w:fill="auto"/>
            <w:noWrap/>
            <w:vAlign w:val="bottom"/>
            <w:hideMark/>
          </w:tcPr>
          <w:p w14:paraId="52A482E0" w14:textId="77777777" w:rsidR="00786C2F" w:rsidRPr="00786C2F" w:rsidRDefault="00786C2F" w:rsidP="000B22AD">
            <w:pPr>
              <w:spacing w:after="0" w:line="240" w:lineRule="auto"/>
              <w:jc w:val="center"/>
              <w:rPr>
                <w:rStyle w:val="fontstyle01"/>
              </w:rPr>
            </w:pPr>
          </w:p>
        </w:tc>
      </w:tr>
      <w:tr w:rsidR="00786C2F" w:rsidRPr="00786C2F" w14:paraId="4E4141A5" w14:textId="77777777" w:rsidTr="003657DA">
        <w:trPr>
          <w:trHeight w:val="276"/>
          <w:jc w:val="center"/>
        </w:trPr>
        <w:tc>
          <w:tcPr>
            <w:tcW w:w="3055" w:type="dxa"/>
            <w:tcBorders>
              <w:bottom w:val="nil"/>
            </w:tcBorders>
            <w:shd w:val="clear" w:color="auto" w:fill="auto"/>
            <w:noWrap/>
            <w:vAlign w:val="bottom"/>
            <w:hideMark/>
          </w:tcPr>
          <w:p w14:paraId="34D276D3" w14:textId="7E8FB0E4" w:rsidR="00786C2F" w:rsidRPr="00786C2F" w:rsidRDefault="00786C2F" w:rsidP="00736657">
            <w:pPr>
              <w:spacing w:after="0" w:line="240" w:lineRule="auto"/>
              <w:jc w:val="both"/>
              <w:rPr>
                <w:rStyle w:val="fontstyle01"/>
              </w:rPr>
            </w:pPr>
            <w:r w:rsidRPr="00786C2F">
              <w:rPr>
                <w:rStyle w:val="fontstyle01"/>
              </w:rPr>
              <w:t>ln</w:t>
            </w:r>
            <w:r w:rsidR="00865E33">
              <w:rPr>
                <w:rStyle w:val="fontstyle01"/>
              </w:rPr>
              <w:t>(</w:t>
            </w:r>
            <w:r w:rsidRPr="00786C2F">
              <w:rPr>
                <w:rStyle w:val="fontstyle01"/>
              </w:rPr>
              <w:t>hardness</w:t>
            </w:r>
            <w:r w:rsidR="00865E33">
              <w:rPr>
                <w:rStyle w:val="fontstyle01"/>
              </w:rPr>
              <w:t>)</w:t>
            </w:r>
          </w:p>
        </w:tc>
        <w:tc>
          <w:tcPr>
            <w:tcW w:w="1530" w:type="dxa"/>
            <w:tcBorders>
              <w:bottom w:val="nil"/>
            </w:tcBorders>
            <w:shd w:val="clear" w:color="auto" w:fill="auto"/>
            <w:noWrap/>
            <w:vAlign w:val="bottom"/>
            <w:hideMark/>
          </w:tcPr>
          <w:p w14:paraId="09254FC0" w14:textId="77777777" w:rsidR="00786C2F" w:rsidRPr="00786C2F" w:rsidRDefault="00786C2F" w:rsidP="000B22AD">
            <w:pPr>
              <w:spacing w:after="0" w:line="240" w:lineRule="auto"/>
              <w:jc w:val="center"/>
              <w:rPr>
                <w:rStyle w:val="fontstyle01"/>
              </w:rPr>
            </w:pPr>
            <w:r w:rsidRPr="00786C2F">
              <w:rPr>
                <w:rStyle w:val="fontstyle01"/>
              </w:rPr>
              <w:t>0.147***</w:t>
            </w:r>
          </w:p>
        </w:tc>
        <w:tc>
          <w:tcPr>
            <w:tcW w:w="2160" w:type="dxa"/>
            <w:tcBorders>
              <w:bottom w:val="nil"/>
            </w:tcBorders>
            <w:shd w:val="clear" w:color="auto" w:fill="auto"/>
            <w:noWrap/>
            <w:vAlign w:val="bottom"/>
            <w:hideMark/>
          </w:tcPr>
          <w:p w14:paraId="77713D15" w14:textId="77777777" w:rsidR="00786C2F" w:rsidRPr="00786C2F" w:rsidRDefault="00786C2F" w:rsidP="000B22AD">
            <w:pPr>
              <w:spacing w:after="0" w:line="240" w:lineRule="auto"/>
              <w:jc w:val="center"/>
              <w:rPr>
                <w:rStyle w:val="fontstyle01"/>
              </w:rPr>
            </w:pPr>
            <w:r w:rsidRPr="00786C2F">
              <w:rPr>
                <w:rStyle w:val="fontstyle01"/>
              </w:rPr>
              <w:t>0.00426</w:t>
            </w:r>
          </w:p>
        </w:tc>
      </w:tr>
      <w:tr w:rsidR="00786C2F" w:rsidRPr="00786C2F" w14:paraId="7C359CD9" w14:textId="77777777" w:rsidTr="003657DA">
        <w:trPr>
          <w:trHeight w:val="276"/>
          <w:jc w:val="center"/>
        </w:trPr>
        <w:tc>
          <w:tcPr>
            <w:tcW w:w="3055" w:type="dxa"/>
            <w:tcBorders>
              <w:top w:val="nil"/>
            </w:tcBorders>
            <w:shd w:val="clear" w:color="auto" w:fill="auto"/>
            <w:noWrap/>
            <w:vAlign w:val="bottom"/>
            <w:hideMark/>
          </w:tcPr>
          <w:p w14:paraId="388029E3"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27D3C63A" w14:textId="77777777" w:rsidR="00786C2F" w:rsidRPr="00786C2F" w:rsidRDefault="00786C2F" w:rsidP="000B22AD">
            <w:pPr>
              <w:spacing w:after="0" w:line="240" w:lineRule="auto"/>
              <w:jc w:val="center"/>
              <w:rPr>
                <w:rStyle w:val="fontstyle01"/>
              </w:rPr>
            </w:pPr>
            <w:r w:rsidRPr="00786C2F">
              <w:rPr>
                <w:rStyle w:val="fontstyle01"/>
              </w:rPr>
              <w:t>(0.0405)</w:t>
            </w:r>
          </w:p>
        </w:tc>
        <w:tc>
          <w:tcPr>
            <w:tcW w:w="2160" w:type="dxa"/>
            <w:tcBorders>
              <w:top w:val="nil"/>
            </w:tcBorders>
            <w:shd w:val="clear" w:color="auto" w:fill="auto"/>
            <w:noWrap/>
            <w:vAlign w:val="bottom"/>
            <w:hideMark/>
          </w:tcPr>
          <w:p w14:paraId="026873F8" w14:textId="77777777" w:rsidR="00786C2F" w:rsidRPr="00786C2F" w:rsidRDefault="00786C2F" w:rsidP="000B22AD">
            <w:pPr>
              <w:spacing w:after="0" w:line="240" w:lineRule="auto"/>
              <w:jc w:val="center"/>
              <w:rPr>
                <w:rStyle w:val="fontstyle01"/>
              </w:rPr>
            </w:pPr>
            <w:r w:rsidRPr="00786C2F">
              <w:rPr>
                <w:rStyle w:val="fontstyle01"/>
              </w:rPr>
              <w:t>(0.0632)</w:t>
            </w:r>
          </w:p>
        </w:tc>
      </w:tr>
      <w:tr w:rsidR="00786C2F" w:rsidRPr="00786C2F" w14:paraId="3C50BD52" w14:textId="77777777" w:rsidTr="003657DA">
        <w:trPr>
          <w:trHeight w:val="276"/>
          <w:jc w:val="center"/>
        </w:trPr>
        <w:tc>
          <w:tcPr>
            <w:tcW w:w="3055" w:type="dxa"/>
            <w:tcBorders>
              <w:bottom w:val="nil"/>
            </w:tcBorders>
            <w:shd w:val="clear" w:color="auto" w:fill="auto"/>
            <w:noWrap/>
            <w:vAlign w:val="bottom"/>
            <w:hideMark/>
          </w:tcPr>
          <w:p w14:paraId="2FCF3409" w14:textId="48470D95" w:rsidR="00786C2F" w:rsidRPr="00786C2F" w:rsidRDefault="00092B34" w:rsidP="00736657">
            <w:pPr>
              <w:spacing w:after="0" w:line="240" w:lineRule="auto"/>
              <w:jc w:val="both"/>
              <w:rPr>
                <w:rStyle w:val="fontstyle01"/>
              </w:rPr>
            </w:pPr>
            <w:r>
              <w:rPr>
                <w:rStyle w:val="fontstyle01"/>
              </w:rPr>
              <w:t>P</w:t>
            </w:r>
            <w:r w:rsidR="00786C2F" w:rsidRPr="00786C2F">
              <w:rPr>
                <w:rStyle w:val="fontstyle01"/>
              </w:rPr>
              <w:t>opulation</w:t>
            </w:r>
          </w:p>
        </w:tc>
        <w:tc>
          <w:tcPr>
            <w:tcW w:w="1530" w:type="dxa"/>
            <w:tcBorders>
              <w:bottom w:val="nil"/>
            </w:tcBorders>
            <w:shd w:val="clear" w:color="auto" w:fill="auto"/>
            <w:noWrap/>
            <w:vAlign w:val="bottom"/>
            <w:hideMark/>
          </w:tcPr>
          <w:p w14:paraId="3B0C09C6" w14:textId="77777777" w:rsidR="00786C2F" w:rsidRPr="00786C2F" w:rsidRDefault="00786C2F" w:rsidP="000B22AD">
            <w:pPr>
              <w:spacing w:after="0" w:line="240" w:lineRule="auto"/>
              <w:jc w:val="center"/>
              <w:rPr>
                <w:rStyle w:val="fontstyle01"/>
              </w:rPr>
            </w:pPr>
            <w:r w:rsidRPr="00786C2F">
              <w:rPr>
                <w:rStyle w:val="fontstyle01"/>
              </w:rPr>
              <w:t>1.85e-05***</w:t>
            </w:r>
          </w:p>
        </w:tc>
        <w:tc>
          <w:tcPr>
            <w:tcW w:w="2160" w:type="dxa"/>
            <w:tcBorders>
              <w:bottom w:val="nil"/>
            </w:tcBorders>
            <w:shd w:val="clear" w:color="auto" w:fill="auto"/>
            <w:noWrap/>
            <w:vAlign w:val="bottom"/>
            <w:hideMark/>
          </w:tcPr>
          <w:p w14:paraId="57DFB5DD" w14:textId="77777777" w:rsidR="00786C2F" w:rsidRPr="00786C2F" w:rsidRDefault="00786C2F" w:rsidP="000B22AD">
            <w:pPr>
              <w:spacing w:after="0" w:line="240" w:lineRule="auto"/>
              <w:jc w:val="center"/>
              <w:rPr>
                <w:rStyle w:val="fontstyle01"/>
              </w:rPr>
            </w:pPr>
            <w:r w:rsidRPr="00786C2F">
              <w:rPr>
                <w:rStyle w:val="fontstyle01"/>
              </w:rPr>
              <w:t>8.73e-05**</w:t>
            </w:r>
          </w:p>
        </w:tc>
      </w:tr>
      <w:tr w:rsidR="00786C2F" w:rsidRPr="00786C2F" w14:paraId="7FE679FC" w14:textId="77777777" w:rsidTr="003657DA">
        <w:trPr>
          <w:trHeight w:val="276"/>
          <w:jc w:val="center"/>
        </w:trPr>
        <w:tc>
          <w:tcPr>
            <w:tcW w:w="3055" w:type="dxa"/>
            <w:tcBorders>
              <w:top w:val="nil"/>
            </w:tcBorders>
            <w:shd w:val="clear" w:color="auto" w:fill="auto"/>
            <w:noWrap/>
            <w:vAlign w:val="bottom"/>
            <w:hideMark/>
          </w:tcPr>
          <w:p w14:paraId="007BCB0F"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2829B0E1" w14:textId="77777777" w:rsidR="00786C2F" w:rsidRPr="00786C2F" w:rsidRDefault="00786C2F" w:rsidP="000B22AD">
            <w:pPr>
              <w:spacing w:after="0" w:line="240" w:lineRule="auto"/>
              <w:jc w:val="center"/>
              <w:rPr>
                <w:rStyle w:val="fontstyle01"/>
              </w:rPr>
            </w:pPr>
            <w:r w:rsidRPr="00786C2F">
              <w:rPr>
                <w:rStyle w:val="fontstyle01"/>
              </w:rPr>
              <w:t>(6.46e-06)</w:t>
            </w:r>
          </w:p>
        </w:tc>
        <w:tc>
          <w:tcPr>
            <w:tcW w:w="2160" w:type="dxa"/>
            <w:tcBorders>
              <w:top w:val="nil"/>
            </w:tcBorders>
            <w:shd w:val="clear" w:color="auto" w:fill="auto"/>
            <w:noWrap/>
            <w:vAlign w:val="bottom"/>
            <w:hideMark/>
          </w:tcPr>
          <w:p w14:paraId="62736494" w14:textId="77777777" w:rsidR="00786C2F" w:rsidRPr="00786C2F" w:rsidRDefault="00786C2F" w:rsidP="000B22AD">
            <w:pPr>
              <w:spacing w:after="0" w:line="240" w:lineRule="auto"/>
              <w:jc w:val="center"/>
              <w:rPr>
                <w:rStyle w:val="fontstyle01"/>
              </w:rPr>
            </w:pPr>
            <w:r w:rsidRPr="00786C2F">
              <w:rPr>
                <w:rStyle w:val="fontstyle01"/>
              </w:rPr>
              <w:t>(3.66e-05)</w:t>
            </w:r>
          </w:p>
        </w:tc>
      </w:tr>
      <w:tr w:rsidR="00786C2F" w:rsidRPr="00786C2F" w14:paraId="21189541" w14:textId="77777777" w:rsidTr="003657DA">
        <w:trPr>
          <w:trHeight w:val="276"/>
          <w:jc w:val="center"/>
        </w:trPr>
        <w:tc>
          <w:tcPr>
            <w:tcW w:w="3055" w:type="dxa"/>
            <w:tcBorders>
              <w:bottom w:val="nil"/>
            </w:tcBorders>
            <w:shd w:val="clear" w:color="auto" w:fill="auto"/>
            <w:noWrap/>
            <w:vAlign w:val="bottom"/>
            <w:hideMark/>
          </w:tcPr>
          <w:p w14:paraId="47E2B693" w14:textId="1845BB8B" w:rsidR="00786C2F" w:rsidRPr="00786C2F" w:rsidRDefault="00092B34" w:rsidP="00736657">
            <w:pPr>
              <w:spacing w:after="0" w:line="240" w:lineRule="auto"/>
              <w:jc w:val="both"/>
              <w:rPr>
                <w:rStyle w:val="fontstyle01"/>
              </w:rPr>
            </w:pPr>
            <w:r>
              <w:rPr>
                <w:rStyle w:val="fontstyle01"/>
              </w:rPr>
              <w:t>P</w:t>
            </w:r>
            <w:r w:rsidR="00786C2F" w:rsidRPr="00786C2F">
              <w:rPr>
                <w:rStyle w:val="fontstyle01"/>
              </w:rPr>
              <w:t>recipitation</w:t>
            </w:r>
          </w:p>
        </w:tc>
        <w:tc>
          <w:tcPr>
            <w:tcW w:w="1530" w:type="dxa"/>
            <w:tcBorders>
              <w:bottom w:val="nil"/>
            </w:tcBorders>
            <w:shd w:val="clear" w:color="auto" w:fill="auto"/>
            <w:noWrap/>
            <w:vAlign w:val="bottom"/>
            <w:hideMark/>
          </w:tcPr>
          <w:p w14:paraId="5F831352" w14:textId="77777777" w:rsidR="00786C2F" w:rsidRPr="00786C2F" w:rsidRDefault="00786C2F" w:rsidP="000B22AD">
            <w:pPr>
              <w:spacing w:after="0" w:line="240" w:lineRule="auto"/>
              <w:jc w:val="center"/>
              <w:rPr>
                <w:rStyle w:val="fontstyle01"/>
              </w:rPr>
            </w:pPr>
            <w:r w:rsidRPr="00786C2F">
              <w:rPr>
                <w:rStyle w:val="fontstyle01"/>
              </w:rPr>
              <w:t>-0.0636</w:t>
            </w:r>
          </w:p>
        </w:tc>
        <w:tc>
          <w:tcPr>
            <w:tcW w:w="2160" w:type="dxa"/>
            <w:tcBorders>
              <w:bottom w:val="nil"/>
            </w:tcBorders>
            <w:shd w:val="clear" w:color="auto" w:fill="auto"/>
            <w:noWrap/>
            <w:vAlign w:val="bottom"/>
            <w:hideMark/>
          </w:tcPr>
          <w:p w14:paraId="42891C89" w14:textId="77777777" w:rsidR="00786C2F" w:rsidRPr="00786C2F" w:rsidRDefault="00786C2F" w:rsidP="000B22AD">
            <w:pPr>
              <w:spacing w:after="0" w:line="240" w:lineRule="auto"/>
              <w:jc w:val="center"/>
              <w:rPr>
                <w:rStyle w:val="fontstyle01"/>
              </w:rPr>
            </w:pPr>
            <w:r w:rsidRPr="00786C2F">
              <w:rPr>
                <w:rStyle w:val="fontstyle01"/>
              </w:rPr>
              <w:t>-0.716***</w:t>
            </w:r>
          </w:p>
        </w:tc>
      </w:tr>
      <w:tr w:rsidR="00786C2F" w:rsidRPr="00786C2F" w14:paraId="4BEF7EB2" w14:textId="77777777" w:rsidTr="003657DA">
        <w:trPr>
          <w:trHeight w:val="276"/>
          <w:jc w:val="center"/>
        </w:trPr>
        <w:tc>
          <w:tcPr>
            <w:tcW w:w="3055" w:type="dxa"/>
            <w:tcBorders>
              <w:top w:val="nil"/>
            </w:tcBorders>
            <w:shd w:val="clear" w:color="auto" w:fill="auto"/>
            <w:noWrap/>
            <w:vAlign w:val="bottom"/>
            <w:hideMark/>
          </w:tcPr>
          <w:p w14:paraId="47229E27"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161A1935" w14:textId="77777777" w:rsidR="00786C2F" w:rsidRPr="00786C2F" w:rsidRDefault="00786C2F" w:rsidP="000B22AD">
            <w:pPr>
              <w:spacing w:after="0" w:line="240" w:lineRule="auto"/>
              <w:jc w:val="center"/>
              <w:rPr>
                <w:rStyle w:val="fontstyle01"/>
              </w:rPr>
            </w:pPr>
            <w:r w:rsidRPr="00786C2F">
              <w:rPr>
                <w:rStyle w:val="fontstyle01"/>
              </w:rPr>
              <w:t>(0.0712)</w:t>
            </w:r>
          </w:p>
        </w:tc>
        <w:tc>
          <w:tcPr>
            <w:tcW w:w="2160" w:type="dxa"/>
            <w:tcBorders>
              <w:top w:val="nil"/>
            </w:tcBorders>
            <w:shd w:val="clear" w:color="auto" w:fill="auto"/>
            <w:noWrap/>
            <w:vAlign w:val="bottom"/>
            <w:hideMark/>
          </w:tcPr>
          <w:p w14:paraId="0245D455" w14:textId="77777777" w:rsidR="00786C2F" w:rsidRPr="00786C2F" w:rsidRDefault="00786C2F" w:rsidP="000B22AD">
            <w:pPr>
              <w:spacing w:after="0" w:line="240" w:lineRule="auto"/>
              <w:jc w:val="center"/>
              <w:rPr>
                <w:rStyle w:val="fontstyle01"/>
              </w:rPr>
            </w:pPr>
            <w:r w:rsidRPr="00786C2F">
              <w:rPr>
                <w:rStyle w:val="fontstyle01"/>
              </w:rPr>
              <w:t>(0.236)</w:t>
            </w:r>
          </w:p>
        </w:tc>
      </w:tr>
      <w:tr w:rsidR="00786C2F" w:rsidRPr="00786C2F" w14:paraId="08A7FF59" w14:textId="77777777" w:rsidTr="003657DA">
        <w:trPr>
          <w:trHeight w:val="276"/>
          <w:jc w:val="center"/>
        </w:trPr>
        <w:tc>
          <w:tcPr>
            <w:tcW w:w="3055" w:type="dxa"/>
            <w:tcBorders>
              <w:bottom w:val="nil"/>
            </w:tcBorders>
            <w:shd w:val="clear" w:color="auto" w:fill="auto"/>
            <w:noWrap/>
            <w:vAlign w:val="bottom"/>
            <w:hideMark/>
          </w:tcPr>
          <w:p w14:paraId="3DDC46E3" w14:textId="0035F4C1" w:rsidR="00786C2F" w:rsidRPr="00786C2F" w:rsidRDefault="00092B34" w:rsidP="00736657">
            <w:pPr>
              <w:spacing w:after="0" w:line="240" w:lineRule="auto"/>
              <w:jc w:val="both"/>
              <w:rPr>
                <w:rStyle w:val="fontstyle01"/>
              </w:rPr>
            </w:pPr>
            <w:r>
              <w:rPr>
                <w:rStyle w:val="fontstyle01"/>
              </w:rPr>
              <w:t>T</w:t>
            </w:r>
            <w:r w:rsidR="00786C2F" w:rsidRPr="00786C2F">
              <w:rPr>
                <w:rStyle w:val="fontstyle01"/>
              </w:rPr>
              <w:t>emperature</w:t>
            </w:r>
          </w:p>
        </w:tc>
        <w:tc>
          <w:tcPr>
            <w:tcW w:w="1530" w:type="dxa"/>
            <w:tcBorders>
              <w:bottom w:val="nil"/>
            </w:tcBorders>
            <w:shd w:val="clear" w:color="auto" w:fill="auto"/>
            <w:noWrap/>
            <w:vAlign w:val="bottom"/>
            <w:hideMark/>
          </w:tcPr>
          <w:p w14:paraId="4698433D" w14:textId="77777777" w:rsidR="00786C2F" w:rsidRPr="00786C2F" w:rsidRDefault="00786C2F" w:rsidP="000B22AD">
            <w:pPr>
              <w:spacing w:after="0" w:line="240" w:lineRule="auto"/>
              <w:jc w:val="center"/>
              <w:rPr>
                <w:rStyle w:val="fontstyle01"/>
              </w:rPr>
            </w:pPr>
            <w:r w:rsidRPr="00786C2F">
              <w:rPr>
                <w:rStyle w:val="fontstyle01"/>
              </w:rPr>
              <w:t>0.00457</w:t>
            </w:r>
          </w:p>
        </w:tc>
        <w:tc>
          <w:tcPr>
            <w:tcW w:w="2160" w:type="dxa"/>
            <w:tcBorders>
              <w:bottom w:val="nil"/>
            </w:tcBorders>
            <w:shd w:val="clear" w:color="auto" w:fill="auto"/>
            <w:noWrap/>
            <w:vAlign w:val="bottom"/>
            <w:hideMark/>
          </w:tcPr>
          <w:p w14:paraId="5A584DA8" w14:textId="77777777" w:rsidR="00786C2F" w:rsidRPr="00786C2F" w:rsidRDefault="00786C2F" w:rsidP="000B22AD">
            <w:pPr>
              <w:spacing w:after="0" w:line="240" w:lineRule="auto"/>
              <w:jc w:val="center"/>
              <w:rPr>
                <w:rStyle w:val="fontstyle01"/>
              </w:rPr>
            </w:pPr>
            <w:r w:rsidRPr="00786C2F">
              <w:rPr>
                <w:rStyle w:val="fontstyle01"/>
              </w:rPr>
              <w:t>0.0668***</w:t>
            </w:r>
          </w:p>
        </w:tc>
      </w:tr>
      <w:tr w:rsidR="00786C2F" w:rsidRPr="00786C2F" w14:paraId="6E69092C" w14:textId="77777777" w:rsidTr="003657DA">
        <w:trPr>
          <w:trHeight w:val="276"/>
          <w:jc w:val="center"/>
        </w:trPr>
        <w:tc>
          <w:tcPr>
            <w:tcW w:w="3055" w:type="dxa"/>
            <w:tcBorders>
              <w:top w:val="nil"/>
            </w:tcBorders>
            <w:shd w:val="clear" w:color="auto" w:fill="auto"/>
            <w:noWrap/>
            <w:vAlign w:val="bottom"/>
            <w:hideMark/>
          </w:tcPr>
          <w:p w14:paraId="2FFBC097"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681830BA" w14:textId="77777777" w:rsidR="00786C2F" w:rsidRPr="00786C2F" w:rsidRDefault="00786C2F" w:rsidP="000B22AD">
            <w:pPr>
              <w:spacing w:after="0" w:line="240" w:lineRule="auto"/>
              <w:jc w:val="center"/>
              <w:rPr>
                <w:rStyle w:val="fontstyle01"/>
              </w:rPr>
            </w:pPr>
            <w:r w:rsidRPr="00786C2F">
              <w:rPr>
                <w:rStyle w:val="fontstyle01"/>
              </w:rPr>
              <w:t>(0.00866)</w:t>
            </w:r>
          </w:p>
        </w:tc>
        <w:tc>
          <w:tcPr>
            <w:tcW w:w="2160" w:type="dxa"/>
            <w:tcBorders>
              <w:top w:val="nil"/>
            </w:tcBorders>
            <w:shd w:val="clear" w:color="auto" w:fill="auto"/>
            <w:noWrap/>
            <w:vAlign w:val="bottom"/>
            <w:hideMark/>
          </w:tcPr>
          <w:p w14:paraId="0312418A" w14:textId="77777777" w:rsidR="00786C2F" w:rsidRPr="00786C2F" w:rsidRDefault="00786C2F" w:rsidP="000B22AD">
            <w:pPr>
              <w:spacing w:after="0" w:line="240" w:lineRule="auto"/>
              <w:jc w:val="center"/>
              <w:rPr>
                <w:rStyle w:val="fontstyle01"/>
              </w:rPr>
            </w:pPr>
            <w:r w:rsidRPr="00786C2F">
              <w:rPr>
                <w:rStyle w:val="fontstyle01"/>
              </w:rPr>
              <w:t>(0.0120)</w:t>
            </w:r>
          </w:p>
        </w:tc>
      </w:tr>
      <w:tr w:rsidR="00786C2F" w:rsidRPr="00786C2F" w14:paraId="29048B85" w14:textId="77777777" w:rsidTr="003657DA">
        <w:trPr>
          <w:trHeight w:val="276"/>
          <w:jc w:val="center"/>
        </w:trPr>
        <w:tc>
          <w:tcPr>
            <w:tcW w:w="3055" w:type="dxa"/>
            <w:tcBorders>
              <w:bottom w:val="nil"/>
            </w:tcBorders>
            <w:shd w:val="clear" w:color="auto" w:fill="auto"/>
            <w:noWrap/>
            <w:vAlign w:val="bottom"/>
            <w:hideMark/>
          </w:tcPr>
          <w:p w14:paraId="4E91C61C" w14:textId="2FB0A84F" w:rsidR="00786C2F" w:rsidRPr="00786C2F" w:rsidRDefault="00092B34" w:rsidP="00736657">
            <w:pPr>
              <w:spacing w:after="0" w:line="240" w:lineRule="auto"/>
              <w:jc w:val="both"/>
              <w:rPr>
                <w:rStyle w:val="fontstyle01"/>
              </w:rPr>
            </w:pPr>
            <w:r>
              <w:rPr>
                <w:rStyle w:val="fontstyle01"/>
              </w:rPr>
              <w:t>T</w:t>
            </w:r>
            <w:r w:rsidR="00786C2F" w:rsidRPr="00786C2F">
              <w:rPr>
                <w:rStyle w:val="fontstyle01"/>
              </w:rPr>
              <w:t>yphoid_rate</w:t>
            </w:r>
          </w:p>
        </w:tc>
        <w:tc>
          <w:tcPr>
            <w:tcW w:w="1530" w:type="dxa"/>
            <w:tcBorders>
              <w:bottom w:val="nil"/>
            </w:tcBorders>
            <w:shd w:val="clear" w:color="auto" w:fill="auto"/>
            <w:noWrap/>
            <w:vAlign w:val="bottom"/>
            <w:hideMark/>
          </w:tcPr>
          <w:p w14:paraId="496A0AF2" w14:textId="77777777" w:rsidR="00786C2F" w:rsidRPr="00786C2F" w:rsidRDefault="00786C2F" w:rsidP="000B22AD">
            <w:pPr>
              <w:spacing w:after="0" w:line="240" w:lineRule="auto"/>
              <w:jc w:val="center"/>
              <w:rPr>
                <w:rStyle w:val="fontstyle01"/>
              </w:rPr>
            </w:pPr>
            <w:r w:rsidRPr="00786C2F">
              <w:rPr>
                <w:rStyle w:val="fontstyle01"/>
              </w:rPr>
              <w:t>2.263**</w:t>
            </w:r>
          </w:p>
        </w:tc>
        <w:tc>
          <w:tcPr>
            <w:tcW w:w="2160" w:type="dxa"/>
            <w:tcBorders>
              <w:bottom w:val="nil"/>
            </w:tcBorders>
            <w:shd w:val="clear" w:color="auto" w:fill="auto"/>
            <w:noWrap/>
            <w:vAlign w:val="bottom"/>
            <w:hideMark/>
          </w:tcPr>
          <w:p w14:paraId="0432B98A" w14:textId="77777777" w:rsidR="00786C2F" w:rsidRPr="00786C2F" w:rsidRDefault="00786C2F" w:rsidP="000B22AD">
            <w:pPr>
              <w:spacing w:after="0" w:line="240" w:lineRule="auto"/>
              <w:jc w:val="center"/>
              <w:rPr>
                <w:rStyle w:val="fontstyle01"/>
              </w:rPr>
            </w:pPr>
            <w:r w:rsidRPr="00786C2F">
              <w:rPr>
                <w:rStyle w:val="fontstyle01"/>
              </w:rPr>
              <w:t>-4.010*</w:t>
            </w:r>
          </w:p>
        </w:tc>
      </w:tr>
      <w:tr w:rsidR="00786C2F" w:rsidRPr="00786C2F" w14:paraId="622F8572" w14:textId="77777777" w:rsidTr="003657DA">
        <w:trPr>
          <w:trHeight w:val="276"/>
          <w:jc w:val="center"/>
        </w:trPr>
        <w:tc>
          <w:tcPr>
            <w:tcW w:w="3055" w:type="dxa"/>
            <w:tcBorders>
              <w:top w:val="nil"/>
            </w:tcBorders>
            <w:shd w:val="clear" w:color="auto" w:fill="auto"/>
            <w:noWrap/>
            <w:vAlign w:val="bottom"/>
            <w:hideMark/>
          </w:tcPr>
          <w:p w14:paraId="2E69437C" w14:textId="77777777" w:rsidR="00786C2F" w:rsidRPr="00786C2F" w:rsidRDefault="00786C2F" w:rsidP="00736657">
            <w:pPr>
              <w:spacing w:after="0" w:line="240" w:lineRule="auto"/>
              <w:jc w:val="both"/>
              <w:rPr>
                <w:rStyle w:val="fontstyle01"/>
              </w:rPr>
            </w:pPr>
          </w:p>
        </w:tc>
        <w:tc>
          <w:tcPr>
            <w:tcW w:w="1530" w:type="dxa"/>
            <w:tcBorders>
              <w:top w:val="nil"/>
            </w:tcBorders>
            <w:shd w:val="clear" w:color="auto" w:fill="auto"/>
            <w:noWrap/>
            <w:vAlign w:val="bottom"/>
            <w:hideMark/>
          </w:tcPr>
          <w:p w14:paraId="174EC18B" w14:textId="77777777" w:rsidR="00786C2F" w:rsidRPr="00786C2F" w:rsidRDefault="00786C2F" w:rsidP="000B22AD">
            <w:pPr>
              <w:spacing w:after="0" w:line="240" w:lineRule="auto"/>
              <w:jc w:val="center"/>
              <w:rPr>
                <w:rStyle w:val="fontstyle01"/>
              </w:rPr>
            </w:pPr>
            <w:r w:rsidRPr="00786C2F">
              <w:rPr>
                <w:rStyle w:val="fontstyle01"/>
              </w:rPr>
              <w:t>(0.987)</w:t>
            </w:r>
          </w:p>
        </w:tc>
        <w:tc>
          <w:tcPr>
            <w:tcW w:w="2160" w:type="dxa"/>
            <w:tcBorders>
              <w:top w:val="nil"/>
            </w:tcBorders>
            <w:shd w:val="clear" w:color="auto" w:fill="auto"/>
            <w:noWrap/>
            <w:vAlign w:val="bottom"/>
            <w:hideMark/>
          </w:tcPr>
          <w:p w14:paraId="4363AEA3" w14:textId="77777777" w:rsidR="00786C2F" w:rsidRPr="00786C2F" w:rsidRDefault="00786C2F" w:rsidP="000B22AD">
            <w:pPr>
              <w:spacing w:after="0" w:line="240" w:lineRule="auto"/>
              <w:jc w:val="center"/>
              <w:rPr>
                <w:rStyle w:val="fontstyle01"/>
              </w:rPr>
            </w:pPr>
            <w:r w:rsidRPr="00786C2F">
              <w:rPr>
                <w:rStyle w:val="fontstyle01"/>
              </w:rPr>
              <w:t>(2.170)</w:t>
            </w:r>
          </w:p>
        </w:tc>
      </w:tr>
      <w:tr w:rsidR="00786C2F" w:rsidRPr="00786C2F" w14:paraId="62C6A6DD" w14:textId="77777777" w:rsidTr="00092B34">
        <w:trPr>
          <w:trHeight w:val="276"/>
          <w:jc w:val="center"/>
        </w:trPr>
        <w:tc>
          <w:tcPr>
            <w:tcW w:w="3055" w:type="dxa"/>
            <w:shd w:val="clear" w:color="auto" w:fill="auto"/>
            <w:noWrap/>
            <w:vAlign w:val="bottom"/>
            <w:hideMark/>
          </w:tcPr>
          <w:p w14:paraId="76473757" w14:textId="77777777" w:rsidR="00786C2F" w:rsidRPr="00786C2F" w:rsidRDefault="00786C2F" w:rsidP="00736657">
            <w:pPr>
              <w:spacing w:after="0" w:line="240" w:lineRule="auto"/>
              <w:jc w:val="both"/>
              <w:rPr>
                <w:rStyle w:val="fontstyle01"/>
              </w:rPr>
            </w:pPr>
            <w:r w:rsidRPr="00786C2F">
              <w:rPr>
                <w:rStyle w:val="fontstyle01"/>
              </w:rPr>
              <w:t>Observations</w:t>
            </w:r>
          </w:p>
        </w:tc>
        <w:tc>
          <w:tcPr>
            <w:tcW w:w="1530" w:type="dxa"/>
            <w:shd w:val="clear" w:color="auto" w:fill="auto"/>
            <w:noWrap/>
            <w:vAlign w:val="bottom"/>
            <w:hideMark/>
          </w:tcPr>
          <w:p w14:paraId="252301AA" w14:textId="77777777" w:rsidR="00786C2F" w:rsidRPr="00786C2F" w:rsidRDefault="00786C2F" w:rsidP="000B22AD">
            <w:pPr>
              <w:spacing w:after="0" w:line="240" w:lineRule="auto"/>
              <w:jc w:val="center"/>
              <w:rPr>
                <w:rStyle w:val="fontstyle01"/>
              </w:rPr>
            </w:pPr>
            <w:r w:rsidRPr="00786C2F">
              <w:rPr>
                <w:rStyle w:val="fontstyle01"/>
              </w:rPr>
              <w:t>172</w:t>
            </w:r>
          </w:p>
        </w:tc>
        <w:tc>
          <w:tcPr>
            <w:tcW w:w="2160" w:type="dxa"/>
            <w:shd w:val="clear" w:color="auto" w:fill="auto"/>
            <w:noWrap/>
            <w:vAlign w:val="bottom"/>
            <w:hideMark/>
          </w:tcPr>
          <w:p w14:paraId="4B039061" w14:textId="77777777" w:rsidR="00786C2F" w:rsidRPr="00786C2F" w:rsidRDefault="00786C2F" w:rsidP="000B22AD">
            <w:pPr>
              <w:spacing w:after="0" w:line="240" w:lineRule="auto"/>
              <w:jc w:val="center"/>
              <w:rPr>
                <w:rStyle w:val="fontstyle01"/>
              </w:rPr>
            </w:pPr>
            <w:r w:rsidRPr="00786C2F">
              <w:rPr>
                <w:rStyle w:val="fontstyle01"/>
              </w:rPr>
              <w:t>66</w:t>
            </w:r>
          </w:p>
        </w:tc>
      </w:tr>
      <w:tr w:rsidR="00786C2F" w:rsidRPr="00786C2F" w14:paraId="4AB62C9F" w14:textId="77777777" w:rsidTr="00092B34">
        <w:trPr>
          <w:trHeight w:val="276"/>
          <w:jc w:val="center"/>
        </w:trPr>
        <w:tc>
          <w:tcPr>
            <w:tcW w:w="3055" w:type="dxa"/>
            <w:shd w:val="clear" w:color="auto" w:fill="auto"/>
            <w:noWrap/>
            <w:vAlign w:val="bottom"/>
            <w:hideMark/>
          </w:tcPr>
          <w:p w14:paraId="79FC4D04" w14:textId="77777777" w:rsidR="00786C2F" w:rsidRPr="00786C2F" w:rsidRDefault="00786C2F" w:rsidP="00736657">
            <w:pPr>
              <w:spacing w:after="0" w:line="240" w:lineRule="auto"/>
              <w:jc w:val="both"/>
              <w:rPr>
                <w:rStyle w:val="fontstyle01"/>
              </w:rPr>
            </w:pPr>
            <w:r w:rsidRPr="00786C2F">
              <w:rPr>
                <w:rStyle w:val="fontstyle01"/>
              </w:rPr>
              <w:t>R-squared</w:t>
            </w:r>
          </w:p>
        </w:tc>
        <w:tc>
          <w:tcPr>
            <w:tcW w:w="1530" w:type="dxa"/>
            <w:shd w:val="clear" w:color="auto" w:fill="auto"/>
            <w:noWrap/>
            <w:vAlign w:val="bottom"/>
            <w:hideMark/>
          </w:tcPr>
          <w:p w14:paraId="5F237F66" w14:textId="77777777" w:rsidR="00786C2F" w:rsidRPr="00786C2F" w:rsidRDefault="00786C2F" w:rsidP="000B22AD">
            <w:pPr>
              <w:spacing w:after="0" w:line="240" w:lineRule="auto"/>
              <w:jc w:val="center"/>
              <w:rPr>
                <w:rStyle w:val="fontstyle01"/>
              </w:rPr>
            </w:pPr>
            <w:r w:rsidRPr="00786C2F">
              <w:rPr>
                <w:rStyle w:val="fontstyle01"/>
              </w:rPr>
              <w:t>0.119</w:t>
            </w:r>
          </w:p>
        </w:tc>
        <w:tc>
          <w:tcPr>
            <w:tcW w:w="2160" w:type="dxa"/>
            <w:shd w:val="clear" w:color="auto" w:fill="auto"/>
            <w:noWrap/>
            <w:vAlign w:val="bottom"/>
            <w:hideMark/>
          </w:tcPr>
          <w:p w14:paraId="6FDB4A16" w14:textId="77777777" w:rsidR="00786C2F" w:rsidRPr="00786C2F" w:rsidRDefault="00786C2F" w:rsidP="000B22AD">
            <w:pPr>
              <w:spacing w:after="0" w:line="240" w:lineRule="auto"/>
              <w:jc w:val="center"/>
              <w:rPr>
                <w:rStyle w:val="fontstyle01"/>
              </w:rPr>
            </w:pPr>
            <w:r w:rsidRPr="00786C2F">
              <w:rPr>
                <w:rStyle w:val="fontstyle01"/>
              </w:rPr>
              <w:t>0.223</w:t>
            </w:r>
          </w:p>
        </w:tc>
      </w:tr>
    </w:tbl>
    <w:p w14:paraId="032B30D2" w14:textId="6E20263F" w:rsidR="00092B34" w:rsidRPr="00643848" w:rsidRDefault="00092B34" w:rsidP="00EF48DC">
      <w:pPr>
        <w:spacing w:before="120" w:after="0" w:line="240" w:lineRule="auto"/>
        <w:jc w:val="center"/>
        <w:rPr>
          <w:rFonts w:ascii="Times New Roman" w:eastAsia="Times New Roman" w:hAnsi="Times New Roman" w:cs="Times New Roman"/>
          <w:i/>
          <w:iCs/>
          <w:sz w:val="24"/>
          <w:szCs w:val="24"/>
        </w:rPr>
      </w:pPr>
      <w:r w:rsidRPr="00643848">
        <w:rPr>
          <w:rFonts w:ascii="Times New Roman" w:eastAsia="Times New Roman" w:hAnsi="Times New Roman" w:cs="Times New Roman"/>
          <w:i/>
          <w:iCs/>
          <w:sz w:val="24"/>
          <w:szCs w:val="24"/>
        </w:rPr>
        <w:t xml:space="preserve">Table </w:t>
      </w:r>
      <w:r w:rsidR="001A4BC7" w:rsidRPr="00643848">
        <w:rPr>
          <w:rFonts w:ascii="Times New Roman" w:eastAsia="Times New Roman" w:hAnsi="Times New Roman" w:cs="Times New Roman"/>
          <w:i/>
          <w:iCs/>
          <w:sz w:val="24"/>
          <w:szCs w:val="24"/>
        </w:rPr>
        <w:t xml:space="preserve">3 </w:t>
      </w:r>
      <w:r w:rsidR="003F7B07" w:rsidRPr="00643848">
        <w:rPr>
          <w:rFonts w:ascii="Times New Roman" w:eastAsia="Times New Roman" w:hAnsi="Times New Roman" w:cs="Times New Roman"/>
          <w:i/>
          <w:iCs/>
          <w:sz w:val="24"/>
          <w:szCs w:val="24"/>
        </w:rPr>
        <w:t>–</w:t>
      </w:r>
      <w:r w:rsidR="001A4BC7" w:rsidRPr="00643848">
        <w:rPr>
          <w:rFonts w:ascii="Times New Roman" w:eastAsia="Times New Roman" w:hAnsi="Times New Roman" w:cs="Times New Roman"/>
          <w:i/>
          <w:iCs/>
          <w:sz w:val="24"/>
          <w:szCs w:val="24"/>
        </w:rPr>
        <w:t xml:space="preserve"> </w:t>
      </w:r>
      <w:r w:rsidR="003F7B07" w:rsidRPr="00643848">
        <w:rPr>
          <w:rFonts w:ascii="Times New Roman" w:eastAsia="Times New Roman" w:hAnsi="Times New Roman" w:cs="Times New Roman"/>
          <w:i/>
          <w:iCs/>
          <w:sz w:val="24"/>
          <w:szCs w:val="24"/>
        </w:rPr>
        <w:t>Determinants of a City Having Lead Pipes in 1900</w:t>
      </w:r>
    </w:p>
    <w:p w14:paraId="42C21588" w14:textId="77777777" w:rsidR="00EF48DC" w:rsidRDefault="00643848" w:rsidP="00EF48DC">
      <w:pPr>
        <w:spacing w:after="0" w:line="240" w:lineRule="auto"/>
        <w:ind w:left="720" w:right="720"/>
        <w:jc w:val="center"/>
        <w:rPr>
          <w:rFonts w:ascii="Times New Roman" w:eastAsia="Times New Roman" w:hAnsi="Times New Roman" w:cs="Times New Roman"/>
          <w:i/>
          <w:iCs/>
          <w:sz w:val="18"/>
          <w:szCs w:val="18"/>
        </w:rPr>
      </w:pPr>
      <w:r w:rsidRPr="00E52591">
        <w:rPr>
          <w:rFonts w:ascii="Times New Roman" w:eastAsia="Times New Roman" w:hAnsi="Times New Roman" w:cs="Times New Roman"/>
          <w:i/>
          <w:iCs/>
          <w:sz w:val="18"/>
          <w:szCs w:val="18"/>
        </w:rPr>
        <w:t>Note:</w:t>
      </w:r>
      <w:r w:rsidR="004B0146" w:rsidRPr="00E52591">
        <w:rPr>
          <w:rFonts w:ascii="Times New Roman" w:eastAsia="Times New Roman" w:hAnsi="Times New Roman" w:cs="Times New Roman"/>
          <w:i/>
          <w:iCs/>
          <w:sz w:val="18"/>
          <w:szCs w:val="18"/>
        </w:rPr>
        <w:t xml:space="preserve"> Robust standard errors in parentheses</w:t>
      </w:r>
      <w:r w:rsidR="00E31A30" w:rsidRPr="00E52591">
        <w:rPr>
          <w:rFonts w:ascii="Times New Roman" w:eastAsia="Times New Roman" w:hAnsi="Times New Roman" w:cs="Times New Roman"/>
          <w:i/>
          <w:iCs/>
          <w:sz w:val="18"/>
          <w:szCs w:val="18"/>
        </w:rPr>
        <w:t xml:space="preserve">. </w:t>
      </w:r>
      <w:r w:rsidR="0064700A" w:rsidRPr="00E52591">
        <w:rPr>
          <w:rFonts w:ascii="Times New Roman" w:eastAsia="Times New Roman" w:hAnsi="Times New Roman" w:cs="Times New Roman"/>
          <w:i/>
          <w:iCs/>
          <w:sz w:val="18"/>
          <w:szCs w:val="18"/>
        </w:rPr>
        <w:t>A constant was estimated but not reported</w:t>
      </w:r>
      <w:r w:rsidR="00EF48DC">
        <w:rPr>
          <w:rFonts w:ascii="Times New Roman" w:eastAsia="Times New Roman" w:hAnsi="Times New Roman" w:cs="Times New Roman"/>
          <w:i/>
          <w:iCs/>
          <w:sz w:val="18"/>
          <w:szCs w:val="18"/>
        </w:rPr>
        <w:t>.</w:t>
      </w:r>
    </w:p>
    <w:p w14:paraId="469B2016" w14:textId="1BA5CD4F" w:rsidR="003F7B07" w:rsidRDefault="00E31A30" w:rsidP="00EF48DC">
      <w:pPr>
        <w:spacing w:after="0" w:line="240" w:lineRule="auto"/>
        <w:ind w:left="720" w:right="720"/>
        <w:jc w:val="center"/>
        <w:rPr>
          <w:rFonts w:ascii="Times New Roman" w:eastAsia="Times New Roman" w:hAnsi="Times New Roman" w:cs="Times New Roman"/>
          <w:i/>
          <w:iCs/>
          <w:sz w:val="18"/>
          <w:szCs w:val="18"/>
        </w:rPr>
      </w:pPr>
      <w:r w:rsidRPr="00E52591">
        <w:rPr>
          <w:rFonts w:ascii="Times New Roman" w:eastAsia="Times New Roman" w:hAnsi="Times New Roman" w:cs="Times New Roman"/>
          <w:i/>
          <w:iCs/>
          <w:sz w:val="18"/>
          <w:szCs w:val="18"/>
        </w:rPr>
        <w:t xml:space="preserve">Statistically significant at </w:t>
      </w:r>
      <w:r w:rsidR="002271B9" w:rsidRPr="00E52591">
        <w:rPr>
          <w:rFonts w:ascii="Times New Roman" w:eastAsia="Times New Roman" w:hAnsi="Times New Roman" w:cs="Times New Roman"/>
          <w:i/>
          <w:iCs/>
          <w:sz w:val="18"/>
          <w:szCs w:val="18"/>
        </w:rPr>
        <w:t>*** p&lt;0.01, ** p&lt;0.05, * p&lt;0.1</w:t>
      </w:r>
    </w:p>
    <w:p w14:paraId="45779B6B" w14:textId="77777777" w:rsidR="00EF48DC" w:rsidRPr="00E52591" w:rsidRDefault="00EF48DC" w:rsidP="3688DF88">
      <w:pPr>
        <w:spacing w:after="0" w:line="240" w:lineRule="auto"/>
        <w:ind w:left="720" w:right="720"/>
        <w:jc w:val="center"/>
        <w:rPr>
          <w:rFonts w:ascii="Times New Roman" w:eastAsia="Times New Roman" w:hAnsi="Times New Roman" w:cs="Times New Roman"/>
          <w:i/>
          <w:iCs/>
          <w:sz w:val="18"/>
          <w:szCs w:val="18"/>
        </w:rPr>
      </w:pPr>
    </w:p>
    <w:p w14:paraId="38F3BD66" w14:textId="073BE4FB" w:rsidR="3688DF88" w:rsidRDefault="3688DF88" w:rsidP="3688DF88">
      <w:pPr>
        <w:spacing w:after="0" w:line="240" w:lineRule="auto"/>
        <w:ind w:left="720" w:right="720"/>
        <w:jc w:val="center"/>
        <w:rPr>
          <w:rFonts w:ascii="Times New Roman" w:eastAsia="Times New Roman" w:hAnsi="Times New Roman" w:cs="Times New Roman"/>
          <w:i/>
          <w:iCs/>
          <w:sz w:val="18"/>
          <w:szCs w:val="18"/>
        </w:rPr>
      </w:pPr>
    </w:p>
    <w:p w14:paraId="77B3315A" w14:textId="50B1CFD3" w:rsidR="00AA7E0C" w:rsidRPr="00AA7E0C" w:rsidRDefault="00AA7E0C" w:rsidP="00AA7E0C">
      <w:pPr>
        <w:spacing w:after="0" w:line="240" w:lineRule="auto"/>
        <w:ind w:left="720" w:right="720"/>
        <w:jc w:val="center"/>
        <w:rPr>
          <w:rFonts w:ascii="Times New Roman" w:eastAsia="Times New Roman" w:hAnsi="Times New Roman" w:cs="Times New Roman"/>
          <w:i/>
          <w:iCs/>
          <w:sz w:val="18"/>
          <w:szCs w:val="18"/>
        </w:rPr>
      </w:pPr>
    </w:p>
    <w:p w14:paraId="641EEDE0" w14:textId="66AAECA5" w:rsidR="5897F2A7" w:rsidRDefault="5897F2A7" w:rsidP="5897F2A7">
      <w:pPr>
        <w:spacing w:after="0" w:line="240" w:lineRule="auto"/>
        <w:ind w:left="720" w:right="720"/>
        <w:jc w:val="center"/>
        <w:rPr>
          <w:rFonts w:ascii="Times New Roman" w:eastAsia="Times New Roman" w:hAnsi="Times New Roman" w:cs="Times New Roman"/>
          <w:i/>
          <w:iCs/>
          <w:sz w:val="18"/>
          <w:szCs w:val="18"/>
        </w:rPr>
      </w:pPr>
    </w:p>
    <w:p w14:paraId="340BE8F5" w14:textId="2BB6C6D4" w:rsidR="5897F2A7" w:rsidRDefault="5897F2A7" w:rsidP="5897F2A7">
      <w:pPr>
        <w:spacing w:after="0" w:line="240" w:lineRule="auto"/>
        <w:ind w:left="720" w:right="720"/>
        <w:jc w:val="center"/>
        <w:rPr>
          <w:rFonts w:ascii="Times New Roman" w:eastAsia="Times New Roman" w:hAnsi="Times New Roman" w:cs="Times New Roman"/>
          <w:i/>
          <w:iCs/>
          <w:sz w:val="18"/>
          <w:szCs w:val="18"/>
        </w:rPr>
      </w:pPr>
    </w:p>
    <w:p w14:paraId="1E58C145" w14:textId="118C6F22" w:rsidR="5897F2A7" w:rsidRDefault="5897F2A7" w:rsidP="5897F2A7">
      <w:pPr>
        <w:spacing w:after="0" w:line="240" w:lineRule="auto"/>
        <w:ind w:left="720" w:right="720"/>
        <w:jc w:val="center"/>
        <w:rPr>
          <w:rFonts w:ascii="Times New Roman" w:eastAsia="Times New Roman" w:hAnsi="Times New Roman" w:cs="Times New Roman"/>
          <w:i/>
          <w:iCs/>
          <w:sz w:val="18"/>
          <w:szCs w:val="18"/>
        </w:rPr>
      </w:pPr>
    </w:p>
    <w:p w14:paraId="162F1D41" w14:textId="02061F2E" w:rsidR="5897F2A7" w:rsidRDefault="5897F2A7" w:rsidP="5897F2A7">
      <w:pPr>
        <w:spacing w:after="0" w:line="240" w:lineRule="auto"/>
        <w:ind w:left="720" w:right="720"/>
        <w:jc w:val="center"/>
        <w:rPr>
          <w:rFonts w:ascii="Times New Roman" w:eastAsia="Times New Roman" w:hAnsi="Times New Roman" w:cs="Times New Roman"/>
          <w:i/>
          <w:iCs/>
          <w:sz w:val="18"/>
          <w:szCs w:val="18"/>
        </w:rPr>
      </w:pPr>
    </w:p>
    <w:p w14:paraId="1DD657B7" w14:textId="35CA91C3" w:rsidR="3688DF88" w:rsidRDefault="3688DF88" w:rsidP="3688DF88">
      <w:pPr>
        <w:spacing w:after="0" w:line="240" w:lineRule="auto"/>
        <w:ind w:left="720" w:right="720"/>
        <w:jc w:val="center"/>
        <w:rPr>
          <w:rFonts w:ascii="Times New Roman" w:eastAsia="Times New Roman" w:hAnsi="Times New Roman" w:cs="Times New Roman"/>
          <w:i/>
          <w:iCs/>
          <w:sz w:val="18"/>
          <w:szCs w:val="18"/>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800"/>
        <w:gridCol w:w="1890"/>
        <w:gridCol w:w="1890"/>
        <w:gridCol w:w="1890"/>
      </w:tblGrid>
      <w:tr w:rsidR="000F14A2" w:rsidRPr="00975836" w14:paraId="326EDC8B" w14:textId="77777777" w:rsidTr="73B94D27">
        <w:trPr>
          <w:trHeight w:val="276"/>
          <w:jc w:val="center"/>
        </w:trPr>
        <w:tc>
          <w:tcPr>
            <w:tcW w:w="2425" w:type="dxa"/>
            <w:tcBorders>
              <w:bottom w:val="nil"/>
            </w:tcBorders>
            <w:shd w:val="clear" w:color="auto" w:fill="auto"/>
            <w:noWrap/>
            <w:vAlign w:val="bottom"/>
            <w:hideMark/>
          </w:tcPr>
          <w:p w14:paraId="67362CA6" w14:textId="77777777" w:rsidR="00975836" w:rsidRPr="00975836" w:rsidRDefault="00975836" w:rsidP="00975836">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 </w:t>
            </w:r>
          </w:p>
        </w:tc>
        <w:tc>
          <w:tcPr>
            <w:tcW w:w="1800" w:type="dxa"/>
            <w:tcBorders>
              <w:bottom w:val="nil"/>
            </w:tcBorders>
            <w:shd w:val="clear" w:color="auto" w:fill="auto"/>
            <w:noWrap/>
            <w:vAlign w:val="bottom"/>
            <w:hideMark/>
          </w:tcPr>
          <w:p w14:paraId="245BDC49"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w:t>
            </w:r>
          </w:p>
        </w:tc>
        <w:tc>
          <w:tcPr>
            <w:tcW w:w="1890" w:type="dxa"/>
            <w:tcBorders>
              <w:bottom w:val="nil"/>
            </w:tcBorders>
            <w:shd w:val="clear" w:color="auto" w:fill="auto"/>
            <w:noWrap/>
            <w:vAlign w:val="bottom"/>
            <w:hideMark/>
          </w:tcPr>
          <w:p w14:paraId="731E9949"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(2)</w:t>
            </w:r>
          </w:p>
        </w:tc>
        <w:tc>
          <w:tcPr>
            <w:tcW w:w="1890" w:type="dxa"/>
            <w:tcBorders>
              <w:bottom w:val="nil"/>
            </w:tcBorders>
            <w:shd w:val="clear" w:color="auto" w:fill="auto"/>
            <w:noWrap/>
            <w:vAlign w:val="bottom"/>
            <w:hideMark/>
          </w:tcPr>
          <w:p w14:paraId="77EB6B45"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(3)</w:t>
            </w:r>
          </w:p>
        </w:tc>
        <w:tc>
          <w:tcPr>
            <w:tcW w:w="1890" w:type="dxa"/>
            <w:tcBorders>
              <w:bottom w:val="nil"/>
            </w:tcBorders>
            <w:shd w:val="clear" w:color="auto" w:fill="auto"/>
            <w:noWrap/>
            <w:vAlign w:val="bottom"/>
            <w:hideMark/>
          </w:tcPr>
          <w:p w14:paraId="1D7F29AF"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(4)</w:t>
            </w:r>
          </w:p>
        </w:tc>
      </w:tr>
      <w:tr w:rsidR="000F14A2" w:rsidRPr="00975836" w14:paraId="6F6D1102" w14:textId="77777777" w:rsidTr="73B94D27">
        <w:trPr>
          <w:trHeight w:val="276"/>
          <w:jc w:val="center"/>
        </w:trPr>
        <w:tc>
          <w:tcPr>
            <w:tcW w:w="2425" w:type="dxa"/>
            <w:tcBorders>
              <w:top w:val="nil"/>
            </w:tcBorders>
            <w:shd w:val="clear" w:color="auto" w:fill="auto"/>
            <w:noWrap/>
            <w:vAlign w:val="bottom"/>
            <w:hideMark/>
          </w:tcPr>
          <w:p w14:paraId="620F7C4A" w14:textId="77777777" w:rsidR="00975836" w:rsidRPr="00975836" w:rsidRDefault="00975836" w:rsidP="00975836">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VARIABLES</w:t>
            </w:r>
          </w:p>
        </w:tc>
        <w:tc>
          <w:tcPr>
            <w:tcW w:w="1800" w:type="dxa"/>
            <w:tcBorders>
              <w:top w:val="nil"/>
            </w:tcBorders>
            <w:shd w:val="clear" w:color="auto" w:fill="auto"/>
            <w:noWrap/>
            <w:vAlign w:val="bottom"/>
            <w:hideMark/>
          </w:tcPr>
          <w:p w14:paraId="071FFAC7" w14:textId="78CBB788" w:rsidR="00975836" w:rsidRPr="00975836" w:rsidRDefault="00312A75" w:rsidP="009758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c>
          <w:tcPr>
            <w:tcW w:w="1890" w:type="dxa"/>
            <w:tcBorders>
              <w:top w:val="nil"/>
            </w:tcBorders>
            <w:shd w:val="clear" w:color="auto" w:fill="auto"/>
            <w:noWrap/>
            <w:vAlign w:val="bottom"/>
            <w:hideMark/>
          </w:tcPr>
          <w:p w14:paraId="70E45A3D" w14:textId="21001763" w:rsidR="00975836" w:rsidRPr="00975836" w:rsidRDefault="00312A75" w:rsidP="009758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c>
          <w:tcPr>
            <w:tcW w:w="1890" w:type="dxa"/>
            <w:tcBorders>
              <w:top w:val="nil"/>
            </w:tcBorders>
            <w:shd w:val="clear" w:color="auto" w:fill="auto"/>
            <w:noWrap/>
            <w:vAlign w:val="bottom"/>
            <w:hideMark/>
          </w:tcPr>
          <w:p w14:paraId="0366CDF9" w14:textId="2EC3863D" w:rsidR="00975836" w:rsidRPr="00975836" w:rsidRDefault="00312A75" w:rsidP="009758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c>
          <w:tcPr>
            <w:tcW w:w="1890" w:type="dxa"/>
            <w:tcBorders>
              <w:top w:val="nil"/>
            </w:tcBorders>
            <w:shd w:val="clear" w:color="auto" w:fill="auto"/>
            <w:noWrap/>
            <w:vAlign w:val="bottom"/>
            <w:hideMark/>
          </w:tcPr>
          <w:p w14:paraId="19F88E05" w14:textId="40F11084" w:rsidR="00975836" w:rsidRPr="00975836" w:rsidRDefault="00312A75" w:rsidP="009758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r>
      <w:tr w:rsidR="00350FB2" w:rsidRPr="00975836" w14:paraId="679721E6" w14:textId="77777777" w:rsidTr="73B94D27">
        <w:trPr>
          <w:trHeight w:val="276"/>
          <w:jc w:val="center"/>
        </w:trPr>
        <w:tc>
          <w:tcPr>
            <w:tcW w:w="2425" w:type="dxa"/>
            <w:tcBorders>
              <w:bottom w:val="nil"/>
            </w:tcBorders>
            <w:shd w:val="clear" w:color="auto" w:fill="auto"/>
            <w:noWrap/>
            <w:vAlign w:val="bottom"/>
            <w:hideMark/>
          </w:tcPr>
          <w:p w14:paraId="47F4EB8B" w14:textId="4B229737" w:rsidR="00975836" w:rsidRPr="00975836" w:rsidRDefault="00E06683" w:rsidP="009758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 - 6.675</w:t>
            </w:r>
          </w:p>
        </w:tc>
        <w:tc>
          <w:tcPr>
            <w:tcW w:w="1800" w:type="dxa"/>
            <w:tcBorders>
              <w:bottom w:val="nil"/>
            </w:tcBorders>
            <w:shd w:val="clear" w:color="auto" w:fill="auto"/>
            <w:noWrap/>
            <w:vAlign w:val="bottom"/>
            <w:hideMark/>
          </w:tcPr>
          <w:p w14:paraId="19FD19ED"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1DD85831"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0FBC010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3A80505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-0.0579</w:t>
            </w:r>
          </w:p>
        </w:tc>
      </w:tr>
      <w:tr w:rsidR="00350FB2" w:rsidRPr="00975836" w14:paraId="57D8CE24" w14:textId="77777777" w:rsidTr="73B94D27">
        <w:trPr>
          <w:trHeight w:val="276"/>
          <w:jc w:val="center"/>
        </w:trPr>
        <w:tc>
          <w:tcPr>
            <w:tcW w:w="2425" w:type="dxa"/>
            <w:tcBorders>
              <w:top w:val="nil"/>
            </w:tcBorders>
            <w:shd w:val="clear" w:color="auto" w:fill="auto"/>
            <w:noWrap/>
            <w:vAlign w:val="bottom"/>
            <w:hideMark/>
          </w:tcPr>
          <w:p w14:paraId="2BFC5DE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0BAB4F99"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6194A8B"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34D858B"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60091789"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(0.0517)</w:t>
            </w:r>
          </w:p>
        </w:tc>
      </w:tr>
      <w:tr w:rsidR="00350FB2" w:rsidRPr="00975836" w14:paraId="273FD7A0" w14:textId="77777777" w:rsidTr="73B94D27">
        <w:trPr>
          <w:trHeight w:val="276"/>
          <w:jc w:val="center"/>
        </w:trPr>
        <w:tc>
          <w:tcPr>
            <w:tcW w:w="2425" w:type="dxa"/>
            <w:tcBorders>
              <w:bottom w:val="nil"/>
            </w:tcBorders>
            <w:shd w:val="clear" w:color="auto" w:fill="auto"/>
            <w:noWrap/>
            <w:vAlign w:val="bottom"/>
            <w:hideMark/>
          </w:tcPr>
          <w:p w14:paraId="33692015" w14:textId="747F4F19" w:rsidR="00975836" w:rsidRPr="00975836" w:rsidRDefault="002A0992" w:rsidP="009758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w:t>
            </w:r>
          </w:p>
        </w:tc>
        <w:tc>
          <w:tcPr>
            <w:tcW w:w="1800" w:type="dxa"/>
            <w:tcBorders>
              <w:bottom w:val="nil"/>
            </w:tcBorders>
            <w:shd w:val="clear" w:color="auto" w:fill="auto"/>
            <w:noWrap/>
            <w:vAlign w:val="bottom"/>
            <w:hideMark/>
          </w:tcPr>
          <w:p w14:paraId="630099C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0.0483**</w:t>
            </w:r>
          </w:p>
        </w:tc>
        <w:tc>
          <w:tcPr>
            <w:tcW w:w="1890" w:type="dxa"/>
            <w:tcBorders>
              <w:bottom w:val="nil"/>
            </w:tcBorders>
            <w:shd w:val="clear" w:color="auto" w:fill="auto"/>
            <w:noWrap/>
            <w:vAlign w:val="bottom"/>
            <w:hideMark/>
          </w:tcPr>
          <w:p w14:paraId="29181A19"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0.0480**</w:t>
            </w:r>
          </w:p>
        </w:tc>
        <w:tc>
          <w:tcPr>
            <w:tcW w:w="1890" w:type="dxa"/>
            <w:tcBorders>
              <w:bottom w:val="nil"/>
            </w:tcBorders>
            <w:shd w:val="clear" w:color="auto" w:fill="auto"/>
            <w:noWrap/>
            <w:vAlign w:val="bottom"/>
            <w:hideMark/>
          </w:tcPr>
          <w:p w14:paraId="1CADEA6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0.0440**</w:t>
            </w:r>
          </w:p>
        </w:tc>
        <w:tc>
          <w:tcPr>
            <w:tcW w:w="1890" w:type="dxa"/>
            <w:tcBorders>
              <w:bottom w:val="nil"/>
            </w:tcBorders>
            <w:shd w:val="clear" w:color="auto" w:fill="auto"/>
            <w:noWrap/>
            <w:vAlign w:val="bottom"/>
            <w:hideMark/>
          </w:tcPr>
          <w:p w14:paraId="5706498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0.0680*</w:t>
            </w:r>
          </w:p>
        </w:tc>
      </w:tr>
      <w:tr w:rsidR="00350FB2" w:rsidRPr="00975836" w14:paraId="63452EBD" w14:textId="77777777" w:rsidTr="73B94D27">
        <w:trPr>
          <w:trHeight w:val="276"/>
          <w:jc w:val="center"/>
        </w:trPr>
        <w:tc>
          <w:tcPr>
            <w:tcW w:w="2425" w:type="dxa"/>
            <w:tcBorders>
              <w:top w:val="nil"/>
            </w:tcBorders>
            <w:shd w:val="clear" w:color="auto" w:fill="auto"/>
            <w:noWrap/>
            <w:vAlign w:val="bottom"/>
            <w:hideMark/>
          </w:tcPr>
          <w:p w14:paraId="573FDA35"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47A30F3A"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(0.0231)</w:t>
            </w:r>
          </w:p>
        </w:tc>
        <w:tc>
          <w:tcPr>
            <w:tcW w:w="1890" w:type="dxa"/>
            <w:tcBorders>
              <w:top w:val="nil"/>
            </w:tcBorders>
            <w:shd w:val="clear" w:color="auto" w:fill="auto"/>
            <w:noWrap/>
            <w:vAlign w:val="bottom"/>
            <w:hideMark/>
          </w:tcPr>
          <w:p w14:paraId="558BF41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(0.0198)</w:t>
            </w:r>
          </w:p>
        </w:tc>
        <w:tc>
          <w:tcPr>
            <w:tcW w:w="1890" w:type="dxa"/>
            <w:tcBorders>
              <w:top w:val="nil"/>
            </w:tcBorders>
            <w:shd w:val="clear" w:color="auto" w:fill="auto"/>
            <w:noWrap/>
            <w:vAlign w:val="bottom"/>
            <w:hideMark/>
          </w:tcPr>
          <w:p w14:paraId="75201641"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(0.0191)</w:t>
            </w:r>
          </w:p>
        </w:tc>
        <w:tc>
          <w:tcPr>
            <w:tcW w:w="1890" w:type="dxa"/>
            <w:tcBorders>
              <w:top w:val="nil"/>
            </w:tcBorders>
            <w:shd w:val="clear" w:color="auto" w:fill="auto"/>
            <w:noWrap/>
            <w:vAlign w:val="bottom"/>
            <w:hideMark/>
          </w:tcPr>
          <w:p w14:paraId="6B02BE23"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(0.0366)</w:t>
            </w:r>
          </w:p>
        </w:tc>
      </w:tr>
      <w:tr w:rsidR="00350FB2" w:rsidRPr="00975836" w14:paraId="09672059" w14:textId="77777777" w:rsidTr="73B94D27">
        <w:trPr>
          <w:trHeight w:val="276"/>
          <w:jc w:val="center"/>
        </w:trPr>
        <w:tc>
          <w:tcPr>
            <w:tcW w:w="2425" w:type="dxa"/>
            <w:tcBorders>
              <w:bottom w:val="nil"/>
            </w:tcBorders>
            <w:shd w:val="clear" w:color="auto" w:fill="auto"/>
            <w:noWrap/>
            <w:vAlign w:val="bottom"/>
            <w:hideMark/>
          </w:tcPr>
          <w:p w14:paraId="4D21F263" w14:textId="2758D231" w:rsidR="00975836" w:rsidRPr="00975836" w:rsidRDefault="00E46A19" w:rsidP="00975836">
            <w:pPr>
              <w:spacing w:after="0" w:line="240" w:lineRule="auto"/>
              <w:rPr>
                <w:rFonts w:ascii="Times New Roman" w:eastAsia="Times New Roman" w:hAnsi="Times New Roman" w:cs="Times New Roman"/>
                <w:sz w:val="24"/>
                <w:szCs w:val="24"/>
              </w:rPr>
            </w:pPr>
            <w:r w:rsidRPr="00E46A19">
              <w:rPr>
                <w:rFonts w:ascii="Times New Roman" w:eastAsia="Times New Roman" w:hAnsi="Times New Roman" w:cs="Times New Roman"/>
                <w:sz w:val="24"/>
                <w:szCs w:val="24"/>
              </w:rPr>
              <w:t xml:space="preserve">Lead </w:t>
            </w:r>
            <m:oMath>
              <m:r>
                <w:rPr>
                  <w:rFonts w:ascii="Cambria Math" w:eastAsia="Times New Roman" w:hAnsi="Cambria Math" w:cs="Times New Roman"/>
                  <w:sz w:val="24"/>
                  <w:szCs w:val="24"/>
                </w:rPr>
                <m:t>×</m:t>
              </m:r>
            </m:oMath>
            <w:r w:rsidRPr="00E46A19">
              <w:rPr>
                <w:rFonts w:ascii="Times New Roman" w:eastAsia="Times New Roman" w:hAnsi="Times New Roman" w:cs="Times New Roman"/>
                <w:sz w:val="24"/>
                <w:szCs w:val="24"/>
              </w:rPr>
              <w:t xml:space="preserve"> (pH – </w:t>
            </w:r>
            <w:r w:rsidR="009C67FA">
              <w:rPr>
                <w:rFonts w:ascii="Times New Roman" w:eastAsia="Times New Roman" w:hAnsi="Times New Roman" w:cs="Times New Roman"/>
                <w:sz w:val="24"/>
                <w:szCs w:val="24"/>
              </w:rPr>
              <w:t>6</w:t>
            </w:r>
            <w:r w:rsidRPr="00E46A19">
              <w:rPr>
                <w:rFonts w:ascii="Times New Roman" w:eastAsia="Times New Roman" w:hAnsi="Times New Roman" w:cs="Times New Roman"/>
                <w:sz w:val="24"/>
                <w:szCs w:val="24"/>
              </w:rPr>
              <w:t>.675)</w:t>
            </w:r>
          </w:p>
        </w:tc>
        <w:tc>
          <w:tcPr>
            <w:tcW w:w="1800" w:type="dxa"/>
            <w:tcBorders>
              <w:bottom w:val="nil"/>
            </w:tcBorders>
            <w:shd w:val="clear" w:color="auto" w:fill="auto"/>
            <w:noWrap/>
            <w:vAlign w:val="bottom"/>
            <w:hideMark/>
          </w:tcPr>
          <w:p w14:paraId="2A5CACFD"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40652467"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033249A1"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3B3F608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-0.0384</w:t>
            </w:r>
          </w:p>
        </w:tc>
      </w:tr>
      <w:tr w:rsidR="00350FB2" w:rsidRPr="00975836" w14:paraId="3CE82841" w14:textId="77777777" w:rsidTr="73B94D27">
        <w:trPr>
          <w:trHeight w:val="276"/>
          <w:jc w:val="center"/>
        </w:trPr>
        <w:tc>
          <w:tcPr>
            <w:tcW w:w="2425" w:type="dxa"/>
            <w:tcBorders>
              <w:top w:val="nil"/>
            </w:tcBorders>
            <w:shd w:val="clear" w:color="auto" w:fill="auto"/>
            <w:noWrap/>
            <w:vAlign w:val="bottom"/>
            <w:hideMark/>
          </w:tcPr>
          <w:p w14:paraId="54509FC4"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340E0D34"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1A1D460E"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7015497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7BB07E3F"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(0.0594)</w:t>
            </w:r>
          </w:p>
        </w:tc>
      </w:tr>
      <w:tr w:rsidR="00350FB2" w:rsidRPr="00975836" w14:paraId="548FBDD1" w14:textId="77777777" w:rsidTr="73B94D27">
        <w:trPr>
          <w:trHeight w:val="276"/>
          <w:jc w:val="center"/>
        </w:trPr>
        <w:tc>
          <w:tcPr>
            <w:tcW w:w="2425" w:type="dxa"/>
            <w:tcBorders>
              <w:bottom w:val="nil"/>
            </w:tcBorders>
            <w:shd w:val="clear" w:color="auto" w:fill="auto"/>
            <w:noWrap/>
            <w:vAlign w:val="bottom"/>
            <w:hideMark/>
          </w:tcPr>
          <w:p w14:paraId="315D18B6" w14:textId="6A52689D" w:rsidR="00975836" w:rsidRPr="00975836" w:rsidRDefault="00975836" w:rsidP="00975836">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w:t>
            </w:r>
            <w:r w:rsidR="008B0ED5">
              <w:rPr>
                <w:rFonts w:ascii="Times New Roman" w:eastAsia="Times New Roman" w:hAnsi="Times New Roman" w:cs="Times New Roman"/>
                <w:sz w:val="24"/>
                <w:szCs w:val="24"/>
              </w:rPr>
              <w:t>(</w:t>
            </w:r>
            <w:r w:rsidRPr="00975836">
              <w:rPr>
                <w:rFonts w:ascii="Times New Roman" w:eastAsia="Times New Roman" w:hAnsi="Times New Roman" w:cs="Times New Roman"/>
                <w:sz w:val="24"/>
                <w:szCs w:val="24"/>
              </w:rPr>
              <w:t>p</w:t>
            </w:r>
            <w:r w:rsidR="008B0ED5">
              <w:rPr>
                <w:rFonts w:ascii="Times New Roman" w:eastAsia="Times New Roman" w:hAnsi="Times New Roman" w:cs="Times New Roman"/>
                <w:sz w:val="24"/>
                <w:szCs w:val="24"/>
              </w:rPr>
              <w:t xml:space="preserve">H &gt; </w:t>
            </w:r>
            <w:r w:rsidRPr="00975836">
              <w:rPr>
                <w:rFonts w:ascii="Times New Roman" w:eastAsia="Times New Roman" w:hAnsi="Times New Roman" w:cs="Times New Roman"/>
                <w:sz w:val="24"/>
                <w:szCs w:val="24"/>
              </w:rPr>
              <w:t>7</w:t>
            </w:r>
            <w:r w:rsidR="008B0ED5">
              <w:rPr>
                <w:rFonts w:ascii="Times New Roman" w:eastAsia="Times New Roman" w:hAnsi="Times New Roman" w:cs="Times New Roman"/>
                <w:sz w:val="24"/>
                <w:szCs w:val="24"/>
              </w:rPr>
              <w:t>.</w:t>
            </w:r>
            <w:r w:rsidRPr="00975836">
              <w:rPr>
                <w:rFonts w:ascii="Times New Roman" w:eastAsia="Times New Roman" w:hAnsi="Times New Roman" w:cs="Times New Roman"/>
                <w:sz w:val="24"/>
                <w:szCs w:val="24"/>
              </w:rPr>
              <w:t>3</w:t>
            </w:r>
            <w:r w:rsidR="008B0ED5">
              <w:rPr>
                <w:rFonts w:ascii="Times New Roman" w:eastAsia="Times New Roman" w:hAnsi="Times New Roman" w:cs="Times New Roman"/>
                <w:sz w:val="24"/>
                <w:szCs w:val="24"/>
              </w:rPr>
              <w:t>)</w:t>
            </w:r>
          </w:p>
        </w:tc>
        <w:tc>
          <w:tcPr>
            <w:tcW w:w="1800" w:type="dxa"/>
            <w:tcBorders>
              <w:bottom w:val="nil"/>
            </w:tcBorders>
            <w:shd w:val="clear" w:color="auto" w:fill="auto"/>
            <w:noWrap/>
            <w:vAlign w:val="bottom"/>
            <w:hideMark/>
          </w:tcPr>
          <w:p w14:paraId="5B89C273"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4EF5A8CB"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4159469E"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18F6F132"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0.0485</w:t>
            </w:r>
          </w:p>
        </w:tc>
      </w:tr>
      <w:tr w:rsidR="00350FB2" w:rsidRPr="00975836" w14:paraId="2A11A490" w14:textId="77777777" w:rsidTr="73B94D27">
        <w:trPr>
          <w:trHeight w:val="276"/>
          <w:jc w:val="center"/>
        </w:trPr>
        <w:tc>
          <w:tcPr>
            <w:tcW w:w="2425" w:type="dxa"/>
            <w:tcBorders>
              <w:top w:val="nil"/>
            </w:tcBorders>
            <w:shd w:val="clear" w:color="auto" w:fill="auto"/>
            <w:noWrap/>
            <w:vAlign w:val="bottom"/>
            <w:hideMark/>
          </w:tcPr>
          <w:p w14:paraId="2971CCA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0DC5C2D8"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76D0A292"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3CF9AD88"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18302DC"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(0.0863)</w:t>
            </w:r>
          </w:p>
        </w:tc>
      </w:tr>
      <w:tr w:rsidR="00350FB2" w:rsidRPr="00975836" w14:paraId="79F790D2" w14:textId="77777777" w:rsidTr="73B94D27">
        <w:trPr>
          <w:trHeight w:val="276"/>
          <w:jc w:val="center"/>
        </w:trPr>
        <w:tc>
          <w:tcPr>
            <w:tcW w:w="2425" w:type="dxa"/>
            <w:tcBorders>
              <w:bottom w:val="nil"/>
            </w:tcBorders>
            <w:shd w:val="clear" w:color="auto" w:fill="auto"/>
            <w:noWrap/>
            <w:vAlign w:val="bottom"/>
            <w:hideMark/>
          </w:tcPr>
          <w:p w14:paraId="373918BC" w14:textId="05172A45" w:rsidR="00975836" w:rsidRPr="00975836" w:rsidRDefault="00480DA9" w:rsidP="00975836">
            <w:pPr>
              <w:spacing w:after="0" w:line="240" w:lineRule="auto"/>
              <w:rPr>
                <w:rFonts w:ascii="Times New Roman" w:eastAsia="Times New Roman" w:hAnsi="Times New Roman" w:cs="Times New Roman"/>
                <w:sz w:val="24"/>
                <w:szCs w:val="24"/>
              </w:rPr>
            </w:pPr>
            <w:r w:rsidRPr="00E46A19">
              <w:rPr>
                <w:rFonts w:ascii="Times New Roman" w:eastAsia="Times New Roman" w:hAnsi="Times New Roman" w:cs="Times New Roman"/>
                <w:sz w:val="24"/>
                <w:szCs w:val="24"/>
              </w:rPr>
              <w:t xml:space="preserve">Lead </w:t>
            </w:r>
            <m:oMath>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1(pH &gt; 7.3)</w:t>
            </w:r>
          </w:p>
        </w:tc>
        <w:tc>
          <w:tcPr>
            <w:tcW w:w="1800" w:type="dxa"/>
            <w:tcBorders>
              <w:bottom w:val="nil"/>
            </w:tcBorders>
            <w:shd w:val="clear" w:color="auto" w:fill="auto"/>
            <w:noWrap/>
            <w:vAlign w:val="bottom"/>
            <w:hideMark/>
          </w:tcPr>
          <w:p w14:paraId="2476A616"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76CE5FE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6641E673"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0932B933"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-0.0200</w:t>
            </w:r>
          </w:p>
        </w:tc>
      </w:tr>
      <w:tr w:rsidR="00350FB2" w:rsidRPr="00975836" w14:paraId="50D8BC97" w14:textId="77777777" w:rsidTr="73B94D27">
        <w:trPr>
          <w:trHeight w:val="276"/>
          <w:jc w:val="center"/>
        </w:trPr>
        <w:tc>
          <w:tcPr>
            <w:tcW w:w="2425" w:type="dxa"/>
            <w:tcBorders>
              <w:top w:val="nil"/>
            </w:tcBorders>
            <w:shd w:val="clear" w:color="auto" w:fill="auto"/>
            <w:noWrap/>
            <w:vAlign w:val="bottom"/>
            <w:hideMark/>
          </w:tcPr>
          <w:p w14:paraId="297BCA71"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0D121829"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0A359ED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61B2539"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1A6FDF5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(0.0982)</w:t>
            </w:r>
          </w:p>
        </w:tc>
      </w:tr>
      <w:tr w:rsidR="00350FB2" w:rsidRPr="00975836" w14:paraId="7F953698" w14:textId="77777777" w:rsidTr="73B94D27">
        <w:trPr>
          <w:trHeight w:val="276"/>
          <w:jc w:val="center"/>
        </w:trPr>
        <w:tc>
          <w:tcPr>
            <w:tcW w:w="2425" w:type="dxa"/>
            <w:tcBorders>
              <w:bottom w:val="nil"/>
            </w:tcBorders>
            <w:shd w:val="clear" w:color="auto" w:fill="auto"/>
            <w:noWrap/>
            <w:vAlign w:val="bottom"/>
            <w:hideMark/>
          </w:tcPr>
          <w:p w14:paraId="25C7C379" w14:textId="1EDF3D80" w:rsidR="00975836" w:rsidRPr="00975836" w:rsidRDefault="00480DA9" w:rsidP="009758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Typhoid</w:t>
            </w:r>
          </w:p>
        </w:tc>
        <w:tc>
          <w:tcPr>
            <w:tcW w:w="1800" w:type="dxa"/>
            <w:tcBorders>
              <w:bottom w:val="nil"/>
            </w:tcBorders>
            <w:shd w:val="clear" w:color="auto" w:fill="auto"/>
            <w:noWrap/>
            <w:vAlign w:val="bottom"/>
            <w:hideMark/>
          </w:tcPr>
          <w:p w14:paraId="7BA2D1E5"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305B2F5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3533B482"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1.317***</w:t>
            </w:r>
          </w:p>
        </w:tc>
        <w:tc>
          <w:tcPr>
            <w:tcW w:w="1890" w:type="dxa"/>
            <w:tcBorders>
              <w:bottom w:val="nil"/>
            </w:tcBorders>
            <w:shd w:val="clear" w:color="auto" w:fill="auto"/>
            <w:noWrap/>
            <w:vAlign w:val="bottom"/>
            <w:hideMark/>
          </w:tcPr>
          <w:p w14:paraId="1BA0B6E5"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1.313***</w:t>
            </w:r>
          </w:p>
        </w:tc>
      </w:tr>
      <w:tr w:rsidR="00350FB2" w:rsidRPr="00975836" w14:paraId="77F50407" w14:textId="77777777" w:rsidTr="73B94D27">
        <w:trPr>
          <w:trHeight w:val="276"/>
          <w:jc w:val="center"/>
        </w:trPr>
        <w:tc>
          <w:tcPr>
            <w:tcW w:w="2425" w:type="dxa"/>
            <w:tcBorders>
              <w:top w:val="nil"/>
            </w:tcBorders>
            <w:shd w:val="clear" w:color="auto" w:fill="auto"/>
            <w:noWrap/>
            <w:vAlign w:val="bottom"/>
            <w:hideMark/>
          </w:tcPr>
          <w:p w14:paraId="1A5C6965"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66440B0D"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B68D6E0"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60083174"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(0.354)</w:t>
            </w:r>
          </w:p>
        </w:tc>
        <w:tc>
          <w:tcPr>
            <w:tcW w:w="1890" w:type="dxa"/>
            <w:tcBorders>
              <w:top w:val="nil"/>
            </w:tcBorders>
            <w:shd w:val="clear" w:color="auto" w:fill="auto"/>
            <w:noWrap/>
            <w:vAlign w:val="bottom"/>
            <w:hideMark/>
          </w:tcPr>
          <w:p w14:paraId="355E266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(0.384)</w:t>
            </w:r>
          </w:p>
        </w:tc>
      </w:tr>
      <w:tr w:rsidR="00350FB2" w:rsidRPr="00975836" w14:paraId="383E8484" w14:textId="77777777" w:rsidTr="73B94D27">
        <w:trPr>
          <w:trHeight w:val="276"/>
          <w:jc w:val="center"/>
        </w:trPr>
        <w:tc>
          <w:tcPr>
            <w:tcW w:w="2425" w:type="dxa"/>
            <w:tcBorders>
              <w:bottom w:val="nil"/>
            </w:tcBorders>
            <w:shd w:val="clear" w:color="auto" w:fill="auto"/>
            <w:noWrap/>
            <w:vAlign w:val="bottom"/>
            <w:hideMark/>
          </w:tcPr>
          <w:p w14:paraId="0DA877FB" w14:textId="134132E4" w:rsidR="00975836" w:rsidRPr="00975836" w:rsidRDefault="00350FB2" w:rsidP="00975836">
            <w:pPr>
              <w:spacing w:after="0" w:line="240" w:lineRule="auto"/>
              <w:rPr>
                <w:rFonts w:ascii="Times New Roman" w:eastAsia="Times New Roman" w:hAnsi="Times New Roman" w:cs="Times New Roman"/>
                <w:sz w:val="24"/>
                <w:szCs w:val="24"/>
              </w:rPr>
            </w:pPr>
            <w:r w:rsidRPr="00350FB2">
              <w:rPr>
                <w:rFonts w:ascii="Times New Roman" w:eastAsia="Times New Roman" w:hAnsi="Times New Roman" w:cs="Times New Roman"/>
                <w:sz w:val="24"/>
                <w:szCs w:val="24"/>
              </w:rPr>
              <w:t xml:space="preserve">Nonpulmonary </w:t>
            </w:r>
          </w:p>
        </w:tc>
        <w:tc>
          <w:tcPr>
            <w:tcW w:w="1800" w:type="dxa"/>
            <w:tcBorders>
              <w:bottom w:val="nil"/>
            </w:tcBorders>
            <w:shd w:val="clear" w:color="auto" w:fill="auto"/>
            <w:noWrap/>
            <w:vAlign w:val="bottom"/>
            <w:hideMark/>
          </w:tcPr>
          <w:p w14:paraId="130FA058"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5987005F"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2B262364"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1.653**</w:t>
            </w:r>
          </w:p>
        </w:tc>
        <w:tc>
          <w:tcPr>
            <w:tcW w:w="1890" w:type="dxa"/>
            <w:tcBorders>
              <w:bottom w:val="nil"/>
            </w:tcBorders>
            <w:shd w:val="clear" w:color="auto" w:fill="auto"/>
            <w:noWrap/>
            <w:vAlign w:val="bottom"/>
            <w:hideMark/>
          </w:tcPr>
          <w:p w14:paraId="712875D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1.797**</w:t>
            </w:r>
          </w:p>
        </w:tc>
      </w:tr>
      <w:tr w:rsidR="00350FB2" w:rsidRPr="00975836" w14:paraId="36AF36C1" w14:textId="77777777" w:rsidTr="73B94D27">
        <w:trPr>
          <w:trHeight w:val="276"/>
          <w:jc w:val="center"/>
        </w:trPr>
        <w:tc>
          <w:tcPr>
            <w:tcW w:w="2425" w:type="dxa"/>
            <w:tcBorders>
              <w:top w:val="nil"/>
            </w:tcBorders>
            <w:shd w:val="clear" w:color="auto" w:fill="auto"/>
            <w:noWrap/>
            <w:vAlign w:val="bottom"/>
            <w:hideMark/>
          </w:tcPr>
          <w:p w14:paraId="516E7EB7" w14:textId="474A22FA" w:rsidR="00975836" w:rsidRPr="00975836" w:rsidRDefault="00350FB2" w:rsidP="00350FB2">
            <w:pPr>
              <w:spacing w:after="0" w:line="240" w:lineRule="auto"/>
              <w:rPr>
                <w:rFonts w:ascii="Times New Roman" w:eastAsia="Times New Roman" w:hAnsi="Times New Roman" w:cs="Times New Roman"/>
                <w:sz w:val="24"/>
                <w:szCs w:val="24"/>
              </w:rPr>
            </w:pPr>
            <w:r w:rsidRPr="00350FB2">
              <w:rPr>
                <w:rFonts w:ascii="Times New Roman" w:eastAsia="Times New Roman" w:hAnsi="Times New Roman" w:cs="Times New Roman"/>
                <w:sz w:val="24"/>
                <w:szCs w:val="24"/>
              </w:rPr>
              <w:t>tuberculosis</w:t>
            </w:r>
          </w:p>
        </w:tc>
        <w:tc>
          <w:tcPr>
            <w:tcW w:w="1800" w:type="dxa"/>
            <w:tcBorders>
              <w:top w:val="nil"/>
            </w:tcBorders>
            <w:shd w:val="clear" w:color="auto" w:fill="auto"/>
            <w:noWrap/>
            <w:vAlign w:val="bottom"/>
            <w:hideMark/>
          </w:tcPr>
          <w:p w14:paraId="17000641" w14:textId="77777777" w:rsidR="00975836" w:rsidRPr="00975836" w:rsidRDefault="00975836" w:rsidP="00975836">
            <w:pPr>
              <w:spacing w:after="0" w:line="240" w:lineRule="auto"/>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76FCA1EF"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4DD421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(0.748)</w:t>
            </w:r>
          </w:p>
        </w:tc>
        <w:tc>
          <w:tcPr>
            <w:tcW w:w="1890" w:type="dxa"/>
            <w:tcBorders>
              <w:top w:val="nil"/>
            </w:tcBorders>
            <w:shd w:val="clear" w:color="auto" w:fill="auto"/>
            <w:noWrap/>
            <w:vAlign w:val="bottom"/>
            <w:hideMark/>
          </w:tcPr>
          <w:p w14:paraId="473E28C7"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(0.784)</w:t>
            </w:r>
          </w:p>
        </w:tc>
      </w:tr>
      <w:tr w:rsidR="009C67FA" w:rsidRPr="00975836" w14:paraId="45B9AAEC" w14:textId="77777777" w:rsidTr="73B94D27">
        <w:trPr>
          <w:trHeight w:val="276"/>
          <w:jc w:val="center"/>
        </w:trPr>
        <w:tc>
          <w:tcPr>
            <w:tcW w:w="2425" w:type="dxa"/>
            <w:tcBorders>
              <w:bottom w:val="nil"/>
            </w:tcBorders>
            <w:shd w:val="clear" w:color="auto" w:fill="auto"/>
            <w:noWrap/>
            <w:vAlign w:val="bottom"/>
            <w:hideMark/>
          </w:tcPr>
          <w:p w14:paraId="37A5B2EB" w14:textId="4C347791" w:rsidR="00975836" w:rsidRPr="00975836" w:rsidRDefault="00975836" w:rsidP="00975836">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ln</w:t>
            </w:r>
            <w:r w:rsidR="00B34778">
              <w:rPr>
                <w:rFonts w:ascii="Times New Roman" w:eastAsia="Times New Roman" w:hAnsi="Times New Roman" w:cs="Times New Roman"/>
                <w:sz w:val="24"/>
                <w:szCs w:val="24"/>
              </w:rPr>
              <w:t>(</w:t>
            </w:r>
            <w:r w:rsidRPr="00975836">
              <w:rPr>
                <w:rFonts w:ascii="Times New Roman" w:eastAsia="Times New Roman" w:hAnsi="Times New Roman" w:cs="Times New Roman"/>
                <w:sz w:val="24"/>
                <w:szCs w:val="24"/>
              </w:rPr>
              <w:t>p</w:t>
            </w:r>
            <w:r w:rsidR="00B34778">
              <w:rPr>
                <w:rFonts w:ascii="Times New Roman" w:eastAsia="Times New Roman" w:hAnsi="Times New Roman" w:cs="Times New Roman"/>
                <w:sz w:val="24"/>
                <w:szCs w:val="24"/>
              </w:rPr>
              <w:t xml:space="preserve">H </w:t>
            </w:r>
            <w:r w:rsidR="00CE1BA3">
              <w:rPr>
                <w:rFonts w:ascii="Times New Roman" w:eastAsia="Times New Roman" w:hAnsi="Times New Roman" w:cs="Times New Roman"/>
                <w:sz w:val="24"/>
                <w:szCs w:val="24"/>
              </w:rPr>
              <w:t>–</w:t>
            </w:r>
            <w:r w:rsidR="00B34778">
              <w:rPr>
                <w:rFonts w:ascii="Times New Roman" w:eastAsia="Times New Roman" w:hAnsi="Times New Roman" w:cs="Times New Roman"/>
                <w:sz w:val="24"/>
                <w:szCs w:val="24"/>
              </w:rPr>
              <w:t xml:space="preserve"> </w:t>
            </w:r>
            <w:r w:rsidR="00CE1BA3">
              <w:rPr>
                <w:rFonts w:ascii="Times New Roman" w:eastAsia="Times New Roman" w:hAnsi="Times New Roman" w:cs="Times New Roman"/>
                <w:sz w:val="24"/>
                <w:szCs w:val="24"/>
              </w:rPr>
              <w:t>5.675)</w:t>
            </w:r>
          </w:p>
        </w:tc>
        <w:tc>
          <w:tcPr>
            <w:tcW w:w="1800" w:type="dxa"/>
            <w:tcBorders>
              <w:bottom w:val="nil"/>
            </w:tcBorders>
            <w:shd w:val="clear" w:color="auto" w:fill="auto"/>
            <w:noWrap/>
            <w:vAlign w:val="bottom"/>
            <w:hideMark/>
          </w:tcPr>
          <w:p w14:paraId="6ACDAEB2"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-0.0592***</w:t>
            </w:r>
          </w:p>
        </w:tc>
        <w:tc>
          <w:tcPr>
            <w:tcW w:w="1890" w:type="dxa"/>
            <w:tcBorders>
              <w:bottom w:val="nil"/>
            </w:tcBorders>
            <w:shd w:val="clear" w:color="auto" w:fill="auto"/>
            <w:noWrap/>
            <w:vAlign w:val="bottom"/>
            <w:hideMark/>
          </w:tcPr>
          <w:p w14:paraId="6FB3CDE2"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-0.0262**</w:t>
            </w:r>
          </w:p>
        </w:tc>
        <w:tc>
          <w:tcPr>
            <w:tcW w:w="1890" w:type="dxa"/>
            <w:tcBorders>
              <w:bottom w:val="nil"/>
            </w:tcBorders>
            <w:shd w:val="clear" w:color="auto" w:fill="auto"/>
            <w:noWrap/>
            <w:vAlign w:val="bottom"/>
            <w:hideMark/>
          </w:tcPr>
          <w:p w14:paraId="5FEE549B"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-0.0246*</w:t>
            </w:r>
          </w:p>
        </w:tc>
        <w:tc>
          <w:tcPr>
            <w:tcW w:w="1890" w:type="dxa"/>
            <w:tcBorders>
              <w:bottom w:val="nil"/>
            </w:tcBorders>
            <w:shd w:val="clear" w:color="auto" w:fill="auto"/>
            <w:noWrap/>
            <w:vAlign w:val="bottom"/>
            <w:hideMark/>
          </w:tcPr>
          <w:p w14:paraId="5530A1BD"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r>
      <w:tr w:rsidR="009C67FA" w:rsidRPr="00975836" w14:paraId="06B6D8AF" w14:textId="77777777" w:rsidTr="73B94D27">
        <w:trPr>
          <w:trHeight w:val="276"/>
          <w:jc w:val="center"/>
        </w:trPr>
        <w:tc>
          <w:tcPr>
            <w:tcW w:w="2425" w:type="dxa"/>
            <w:tcBorders>
              <w:top w:val="nil"/>
            </w:tcBorders>
            <w:shd w:val="clear" w:color="auto" w:fill="auto"/>
            <w:noWrap/>
            <w:vAlign w:val="bottom"/>
            <w:hideMark/>
          </w:tcPr>
          <w:p w14:paraId="7EDF02B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4C77FE4C"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(0.0205)</w:t>
            </w:r>
          </w:p>
        </w:tc>
        <w:tc>
          <w:tcPr>
            <w:tcW w:w="1890" w:type="dxa"/>
            <w:tcBorders>
              <w:top w:val="nil"/>
            </w:tcBorders>
            <w:shd w:val="clear" w:color="auto" w:fill="auto"/>
            <w:noWrap/>
            <w:vAlign w:val="bottom"/>
            <w:hideMark/>
          </w:tcPr>
          <w:p w14:paraId="32637EF4"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(0.0132)</w:t>
            </w:r>
          </w:p>
        </w:tc>
        <w:tc>
          <w:tcPr>
            <w:tcW w:w="1890" w:type="dxa"/>
            <w:tcBorders>
              <w:top w:val="nil"/>
            </w:tcBorders>
            <w:shd w:val="clear" w:color="auto" w:fill="auto"/>
            <w:noWrap/>
            <w:vAlign w:val="bottom"/>
            <w:hideMark/>
          </w:tcPr>
          <w:p w14:paraId="2E0A2C36"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(0.0140)</w:t>
            </w:r>
          </w:p>
        </w:tc>
        <w:tc>
          <w:tcPr>
            <w:tcW w:w="1890" w:type="dxa"/>
            <w:tcBorders>
              <w:top w:val="nil"/>
            </w:tcBorders>
            <w:shd w:val="clear" w:color="auto" w:fill="auto"/>
            <w:noWrap/>
            <w:vAlign w:val="bottom"/>
            <w:hideMark/>
          </w:tcPr>
          <w:p w14:paraId="574ED7BA" w14:textId="77777777" w:rsidR="00975836" w:rsidRPr="00975836" w:rsidRDefault="00975836" w:rsidP="00975836">
            <w:pPr>
              <w:spacing w:after="0" w:line="240" w:lineRule="auto"/>
              <w:jc w:val="center"/>
              <w:rPr>
                <w:rFonts w:ascii="Times New Roman" w:eastAsia="Times New Roman" w:hAnsi="Times New Roman" w:cs="Times New Roman"/>
                <w:sz w:val="24"/>
                <w:szCs w:val="24"/>
              </w:rPr>
            </w:pPr>
          </w:p>
        </w:tc>
      </w:tr>
      <w:tr w:rsidR="009C67FA" w:rsidRPr="00975836" w14:paraId="015CA135" w14:textId="77777777" w:rsidTr="73B94D27">
        <w:trPr>
          <w:trHeight w:val="276"/>
          <w:jc w:val="center"/>
        </w:trPr>
        <w:tc>
          <w:tcPr>
            <w:tcW w:w="2425" w:type="dxa"/>
            <w:tcBorders>
              <w:bottom w:val="nil"/>
            </w:tcBorders>
            <w:shd w:val="clear" w:color="auto" w:fill="auto"/>
            <w:noWrap/>
            <w:vAlign w:val="bottom"/>
            <w:hideMark/>
          </w:tcPr>
          <w:p w14:paraId="78754A29" w14:textId="51AF5F1F" w:rsidR="009C67FA" w:rsidRPr="00975836" w:rsidRDefault="009C67FA" w:rsidP="009C67FA">
            <w:pPr>
              <w:spacing w:after="0" w:line="240" w:lineRule="auto"/>
              <w:rPr>
                <w:rFonts w:ascii="Times New Roman" w:eastAsia="Times New Roman" w:hAnsi="Times New Roman" w:cs="Times New Roman"/>
                <w:sz w:val="24"/>
                <w:szCs w:val="24"/>
              </w:rPr>
            </w:pPr>
            <w:r w:rsidRPr="00E46A19">
              <w:rPr>
                <w:rFonts w:ascii="Times New Roman" w:eastAsia="Times New Roman" w:hAnsi="Times New Roman" w:cs="Times New Roman"/>
                <w:sz w:val="24"/>
                <w:szCs w:val="24"/>
              </w:rPr>
              <w:t xml:space="preserve">Lead </w:t>
            </w:r>
            <m:oMath>
              <m:r>
                <w:rPr>
                  <w:rFonts w:ascii="Cambria Math" w:eastAsia="Times New Roman" w:hAnsi="Cambria Math" w:cs="Times New Roman"/>
                  <w:sz w:val="24"/>
                  <w:szCs w:val="24"/>
                </w:rPr>
                <m:t>×</m:t>
              </m:r>
            </m:oMath>
            <w:r w:rsidRPr="00E46A19">
              <w:rPr>
                <w:rFonts w:ascii="Times New Roman" w:eastAsia="Times New Roman" w:hAnsi="Times New Roman" w:cs="Times New Roman"/>
                <w:sz w:val="24"/>
                <w:szCs w:val="24"/>
              </w:rPr>
              <w:t xml:space="preserve"> ln(pH – 5.675)</w:t>
            </w:r>
          </w:p>
        </w:tc>
        <w:tc>
          <w:tcPr>
            <w:tcW w:w="1800" w:type="dxa"/>
            <w:tcBorders>
              <w:bottom w:val="nil"/>
            </w:tcBorders>
            <w:shd w:val="clear" w:color="auto" w:fill="auto"/>
            <w:noWrap/>
            <w:vAlign w:val="bottom"/>
            <w:hideMark/>
          </w:tcPr>
          <w:p w14:paraId="46AAF8DC"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-0.0433*</w:t>
            </w:r>
          </w:p>
        </w:tc>
        <w:tc>
          <w:tcPr>
            <w:tcW w:w="1890" w:type="dxa"/>
            <w:tcBorders>
              <w:bottom w:val="nil"/>
            </w:tcBorders>
            <w:shd w:val="clear" w:color="auto" w:fill="auto"/>
            <w:noWrap/>
            <w:vAlign w:val="bottom"/>
            <w:hideMark/>
          </w:tcPr>
          <w:p w14:paraId="2819F467"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-0.0375**</w:t>
            </w:r>
          </w:p>
        </w:tc>
        <w:tc>
          <w:tcPr>
            <w:tcW w:w="1890" w:type="dxa"/>
            <w:tcBorders>
              <w:bottom w:val="nil"/>
            </w:tcBorders>
            <w:shd w:val="clear" w:color="auto" w:fill="auto"/>
            <w:noWrap/>
            <w:vAlign w:val="bottom"/>
            <w:hideMark/>
          </w:tcPr>
          <w:p w14:paraId="06C1DD27"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-0.0398**</w:t>
            </w:r>
          </w:p>
        </w:tc>
        <w:tc>
          <w:tcPr>
            <w:tcW w:w="1890" w:type="dxa"/>
            <w:tcBorders>
              <w:bottom w:val="nil"/>
            </w:tcBorders>
            <w:shd w:val="clear" w:color="auto" w:fill="auto"/>
            <w:noWrap/>
            <w:vAlign w:val="bottom"/>
            <w:hideMark/>
          </w:tcPr>
          <w:p w14:paraId="564DCA74"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p>
        </w:tc>
      </w:tr>
      <w:tr w:rsidR="009C67FA" w:rsidRPr="00975836" w14:paraId="4AB99B6C" w14:textId="77777777" w:rsidTr="73B94D27">
        <w:trPr>
          <w:trHeight w:val="276"/>
          <w:jc w:val="center"/>
        </w:trPr>
        <w:tc>
          <w:tcPr>
            <w:tcW w:w="2425" w:type="dxa"/>
            <w:tcBorders>
              <w:top w:val="nil"/>
            </w:tcBorders>
            <w:shd w:val="clear" w:color="auto" w:fill="auto"/>
            <w:noWrap/>
            <w:vAlign w:val="bottom"/>
            <w:hideMark/>
          </w:tcPr>
          <w:p w14:paraId="59A1124B"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1347AF40"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(0.0242)</w:t>
            </w:r>
          </w:p>
        </w:tc>
        <w:tc>
          <w:tcPr>
            <w:tcW w:w="1890" w:type="dxa"/>
            <w:tcBorders>
              <w:top w:val="nil"/>
            </w:tcBorders>
            <w:shd w:val="clear" w:color="auto" w:fill="auto"/>
            <w:noWrap/>
            <w:vAlign w:val="bottom"/>
            <w:hideMark/>
          </w:tcPr>
          <w:p w14:paraId="401AEDB0"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(0.0161)</w:t>
            </w:r>
          </w:p>
        </w:tc>
        <w:tc>
          <w:tcPr>
            <w:tcW w:w="1890" w:type="dxa"/>
            <w:tcBorders>
              <w:top w:val="nil"/>
            </w:tcBorders>
            <w:shd w:val="clear" w:color="auto" w:fill="auto"/>
            <w:noWrap/>
            <w:vAlign w:val="bottom"/>
            <w:hideMark/>
          </w:tcPr>
          <w:p w14:paraId="641D3EB2"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(0.0168)</w:t>
            </w:r>
          </w:p>
        </w:tc>
        <w:tc>
          <w:tcPr>
            <w:tcW w:w="1890" w:type="dxa"/>
            <w:tcBorders>
              <w:top w:val="nil"/>
            </w:tcBorders>
            <w:shd w:val="clear" w:color="auto" w:fill="auto"/>
            <w:noWrap/>
            <w:vAlign w:val="bottom"/>
            <w:hideMark/>
          </w:tcPr>
          <w:p w14:paraId="50FB10A0"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p>
        </w:tc>
      </w:tr>
      <w:tr w:rsidR="001A755A" w:rsidRPr="00975836" w14:paraId="3CBFBB79" w14:textId="77777777" w:rsidTr="73B94D27">
        <w:trPr>
          <w:trHeight w:val="276"/>
          <w:jc w:val="center"/>
        </w:trPr>
        <w:tc>
          <w:tcPr>
            <w:tcW w:w="2425" w:type="dxa"/>
            <w:tcBorders>
              <w:top w:val="nil"/>
            </w:tcBorders>
            <w:shd w:val="clear" w:color="auto" w:fill="auto"/>
            <w:noWrap/>
            <w:vAlign w:val="bottom"/>
          </w:tcPr>
          <w:p w14:paraId="29662A72" w14:textId="599C165A" w:rsidR="001A755A" w:rsidRPr="00975836" w:rsidRDefault="00F93F69" w:rsidP="00F93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Demographics and other controls</w:t>
            </w:r>
          </w:p>
        </w:tc>
        <w:tc>
          <w:tcPr>
            <w:tcW w:w="1800" w:type="dxa"/>
            <w:tcBorders>
              <w:top w:val="nil"/>
            </w:tcBorders>
            <w:shd w:val="clear" w:color="auto" w:fill="auto"/>
            <w:noWrap/>
            <w:vAlign w:val="bottom"/>
          </w:tcPr>
          <w:p w14:paraId="4F7726D6" w14:textId="5DB7E3A6" w:rsidR="001A755A" w:rsidRPr="00975836" w:rsidRDefault="00F93F69" w:rsidP="009C67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890" w:type="dxa"/>
            <w:tcBorders>
              <w:top w:val="nil"/>
            </w:tcBorders>
            <w:shd w:val="clear" w:color="auto" w:fill="auto"/>
            <w:noWrap/>
            <w:vAlign w:val="bottom"/>
          </w:tcPr>
          <w:p w14:paraId="2919CE43" w14:textId="25DD2C57" w:rsidR="001A755A" w:rsidRPr="00975836" w:rsidRDefault="00F93F69" w:rsidP="009C67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890" w:type="dxa"/>
            <w:tcBorders>
              <w:top w:val="nil"/>
            </w:tcBorders>
            <w:shd w:val="clear" w:color="auto" w:fill="auto"/>
            <w:noWrap/>
            <w:vAlign w:val="bottom"/>
          </w:tcPr>
          <w:p w14:paraId="5E0AB71B" w14:textId="0C021980" w:rsidR="001A755A" w:rsidRPr="00975836" w:rsidRDefault="00F93F69" w:rsidP="009C67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890" w:type="dxa"/>
            <w:tcBorders>
              <w:top w:val="nil"/>
            </w:tcBorders>
            <w:shd w:val="clear" w:color="auto" w:fill="auto"/>
            <w:noWrap/>
            <w:vAlign w:val="bottom"/>
          </w:tcPr>
          <w:p w14:paraId="5C1F6DAF" w14:textId="068EFEBD" w:rsidR="001A755A" w:rsidRPr="00975836" w:rsidRDefault="00F93F69" w:rsidP="009C67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C67FA" w:rsidRPr="00975836" w14:paraId="16C5CCF3" w14:textId="77777777" w:rsidTr="73B94D27">
        <w:trPr>
          <w:trHeight w:val="276"/>
          <w:jc w:val="center"/>
        </w:trPr>
        <w:tc>
          <w:tcPr>
            <w:tcW w:w="2425" w:type="dxa"/>
            <w:shd w:val="clear" w:color="auto" w:fill="auto"/>
            <w:noWrap/>
            <w:vAlign w:val="bottom"/>
            <w:hideMark/>
          </w:tcPr>
          <w:p w14:paraId="4CE12D72" w14:textId="77777777" w:rsidR="009C67FA" w:rsidRPr="00975836" w:rsidRDefault="009C67FA" w:rsidP="009C67FA">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Observations</w:t>
            </w:r>
          </w:p>
        </w:tc>
        <w:tc>
          <w:tcPr>
            <w:tcW w:w="1800" w:type="dxa"/>
            <w:shd w:val="clear" w:color="auto" w:fill="auto"/>
            <w:noWrap/>
            <w:vAlign w:val="bottom"/>
            <w:hideMark/>
          </w:tcPr>
          <w:p w14:paraId="759952AA"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172</w:t>
            </w:r>
          </w:p>
        </w:tc>
        <w:tc>
          <w:tcPr>
            <w:tcW w:w="1890" w:type="dxa"/>
            <w:shd w:val="clear" w:color="auto" w:fill="auto"/>
            <w:noWrap/>
            <w:vAlign w:val="bottom"/>
            <w:hideMark/>
          </w:tcPr>
          <w:p w14:paraId="16054550"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172</w:t>
            </w:r>
          </w:p>
        </w:tc>
        <w:tc>
          <w:tcPr>
            <w:tcW w:w="1890" w:type="dxa"/>
            <w:shd w:val="clear" w:color="auto" w:fill="auto"/>
            <w:noWrap/>
            <w:vAlign w:val="bottom"/>
            <w:hideMark/>
          </w:tcPr>
          <w:p w14:paraId="6340C3C9"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172</w:t>
            </w:r>
          </w:p>
        </w:tc>
        <w:tc>
          <w:tcPr>
            <w:tcW w:w="1890" w:type="dxa"/>
            <w:shd w:val="clear" w:color="auto" w:fill="auto"/>
            <w:noWrap/>
            <w:vAlign w:val="bottom"/>
            <w:hideMark/>
          </w:tcPr>
          <w:p w14:paraId="46A3D8ED"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172</w:t>
            </w:r>
          </w:p>
        </w:tc>
      </w:tr>
      <w:tr w:rsidR="009C67FA" w:rsidRPr="00975836" w14:paraId="56EDDA4C" w14:textId="77777777" w:rsidTr="73B94D27">
        <w:trPr>
          <w:trHeight w:val="276"/>
          <w:jc w:val="center"/>
        </w:trPr>
        <w:tc>
          <w:tcPr>
            <w:tcW w:w="2425" w:type="dxa"/>
            <w:shd w:val="clear" w:color="auto" w:fill="auto"/>
            <w:noWrap/>
            <w:vAlign w:val="bottom"/>
            <w:hideMark/>
          </w:tcPr>
          <w:p w14:paraId="3D543961" w14:textId="77777777" w:rsidR="009C67FA" w:rsidRPr="00975836" w:rsidRDefault="009C67FA" w:rsidP="009C67FA">
            <w:pPr>
              <w:spacing w:after="0" w:line="240" w:lineRule="auto"/>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R-squared</w:t>
            </w:r>
          </w:p>
        </w:tc>
        <w:tc>
          <w:tcPr>
            <w:tcW w:w="1800" w:type="dxa"/>
            <w:shd w:val="clear" w:color="auto" w:fill="auto"/>
            <w:noWrap/>
            <w:vAlign w:val="bottom"/>
            <w:hideMark/>
          </w:tcPr>
          <w:p w14:paraId="632A136E"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0.231</w:t>
            </w:r>
          </w:p>
        </w:tc>
        <w:tc>
          <w:tcPr>
            <w:tcW w:w="1890" w:type="dxa"/>
            <w:shd w:val="clear" w:color="auto" w:fill="auto"/>
            <w:noWrap/>
            <w:vAlign w:val="bottom"/>
            <w:hideMark/>
          </w:tcPr>
          <w:p w14:paraId="603850F4"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0.423</w:t>
            </w:r>
          </w:p>
        </w:tc>
        <w:tc>
          <w:tcPr>
            <w:tcW w:w="1890" w:type="dxa"/>
            <w:shd w:val="clear" w:color="auto" w:fill="auto"/>
            <w:noWrap/>
            <w:vAlign w:val="bottom"/>
            <w:hideMark/>
          </w:tcPr>
          <w:p w14:paraId="6B86935A"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0.487</w:t>
            </w:r>
          </w:p>
        </w:tc>
        <w:tc>
          <w:tcPr>
            <w:tcW w:w="1890" w:type="dxa"/>
            <w:shd w:val="clear" w:color="auto" w:fill="auto"/>
            <w:noWrap/>
            <w:vAlign w:val="bottom"/>
            <w:hideMark/>
          </w:tcPr>
          <w:p w14:paraId="24CFE76C" w14:textId="77777777" w:rsidR="009C67FA" w:rsidRPr="00975836" w:rsidRDefault="009C67FA" w:rsidP="009C67FA">
            <w:pPr>
              <w:spacing w:after="0" w:line="240" w:lineRule="auto"/>
              <w:jc w:val="center"/>
              <w:rPr>
                <w:rFonts w:ascii="Times New Roman" w:eastAsia="Times New Roman" w:hAnsi="Times New Roman" w:cs="Times New Roman"/>
                <w:sz w:val="24"/>
                <w:szCs w:val="24"/>
              </w:rPr>
            </w:pPr>
            <w:r w:rsidRPr="00975836">
              <w:rPr>
                <w:rFonts w:ascii="Times New Roman" w:eastAsia="Times New Roman" w:hAnsi="Times New Roman" w:cs="Times New Roman"/>
                <w:sz w:val="24"/>
                <w:szCs w:val="24"/>
              </w:rPr>
              <w:t>0.484</w:t>
            </w:r>
          </w:p>
        </w:tc>
      </w:tr>
    </w:tbl>
    <w:p w14:paraId="3A471564" w14:textId="07CF871A" w:rsidR="009C67FA" w:rsidRPr="00643848" w:rsidRDefault="009C67FA" w:rsidP="73B94D27">
      <w:pPr>
        <w:spacing w:before="120" w:after="0" w:line="240" w:lineRule="auto"/>
        <w:jc w:val="center"/>
        <w:rPr>
          <w:rFonts w:ascii="Times New Roman" w:eastAsia="Times New Roman" w:hAnsi="Times New Roman" w:cs="Times New Roman"/>
          <w:i/>
          <w:iCs/>
          <w:sz w:val="24"/>
          <w:szCs w:val="24"/>
        </w:rPr>
      </w:pPr>
      <w:r w:rsidRPr="73B94D27">
        <w:rPr>
          <w:rFonts w:ascii="Times New Roman" w:eastAsia="Times New Roman" w:hAnsi="Times New Roman" w:cs="Times New Roman"/>
          <w:i/>
          <w:iCs/>
          <w:sz w:val="24"/>
          <w:szCs w:val="24"/>
        </w:rPr>
        <w:t xml:space="preserve">Table </w:t>
      </w:r>
      <w:r w:rsidR="000F14A2" w:rsidRPr="73B94D27">
        <w:rPr>
          <w:rFonts w:ascii="Times New Roman" w:eastAsia="Times New Roman" w:hAnsi="Times New Roman" w:cs="Times New Roman"/>
          <w:i/>
          <w:iCs/>
          <w:sz w:val="24"/>
          <w:szCs w:val="24"/>
        </w:rPr>
        <w:t>4</w:t>
      </w:r>
      <w:r w:rsidRPr="73B94D27">
        <w:rPr>
          <w:rFonts w:ascii="Times New Roman" w:eastAsia="Times New Roman" w:hAnsi="Times New Roman" w:cs="Times New Roman"/>
          <w:i/>
          <w:iCs/>
          <w:sz w:val="24"/>
          <w:szCs w:val="24"/>
        </w:rPr>
        <w:t xml:space="preserve"> – </w:t>
      </w:r>
      <w:r w:rsidR="00097EC8" w:rsidRPr="73B94D27">
        <w:rPr>
          <w:rFonts w:ascii="Times New Roman" w:eastAsia="Times New Roman" w:hAnsi="Times New Roman" w:cs="Times New Roman"/>
          <w:i/>
          <w:iCs/>
          <w:sz w:val="24"/>
          <w:szCs w:val="24"/>
        </w:rPr>
        <w:t>Effects of Lead and pH on Infant Mortality in 1900</w:t>
      </w:r>
    </w:p>
    <w:p w14:paraId="3EEA9FD4" w14:textId="77777777" w:rsidR="00B71313" w:rsidRDefault="009C67FA" w:rsidP="00EF48DC">
      <w:pPr>
        <w:spacing w:after="0" w:line="240" w:lineRule="auto"/>
        <w:ind w:left="720" w:right="720"/>
        <w:jc w:val="center"/>
        <w:rPr>
          <w:rFonts w:ascii="Times New Roman" w:eastAsia="Times New Roman" w:hAnsi="Times New Roman" w:cs="Times New Roman"/>
          <w:i/>
          <w:iCs/>
          <w:sz w:val="18"/>
          <w:szCs w:val="18"/>
        </w:rPr>
      </w:pPr>
      <w:r w:rsidRPr="00B71313">
        <w:rPr>
          <w:rFonts w:ascii="Times New Roman" w:eastAsia="Times New Roman" w:hAnsi="Times New Roman" w:cs="Times New Roman"/>
          <w:i/>
          <w:iCs/>
          <w:sz w:val="18"/>
          <w:szCs w:val="18"/>
        </w:rPr>
        <w:t>Note: Robust standard errors in parentheses. A constant was estimated but not reported.</w:t>
      </w:r>
    </w:p>
    <w:p w14:paraId="1CC134E3" w14:textId="245EB459" w:rsidR="009B52C4" w:rsidRDefault="00097EC8" w:rsidP="73B94D27">
      <w:pPr>
        <w:spacing w:after="0" w:line="240" w:lineRule="auto"/>
        <w:ind w:left="720" w:right="720"/>
        <w:jc w:val="center"/>
        <w:rPr>
          <w:rFonts w:ascii="Times New Roman" w:eastAsia="Times New Roman" w:hAnsi="Times New Roman" w:cs="Times New Roman"/>
          <w:i/>
          <w:iCs/>
          <w:sz w:val="18"/>
          <w:szCs w:val="18"/>
        </w:rPr>
      </w:pPr>
      <w:r w:rsidRPr="73B94D27">
        <w:rPr>
          <w:rFonts w:ascii="Times New Roman" w:eastAsia="Times New Roman" w:hAnsi="Times New Roman" w:cs="Times New Roman"/>
          <w:i/>
          <w:iCs/>
          <w:sz w:val="18"/>
          <w:szCs w:val="18"/>
        </w:rPr>
        <w:t>Demographic and other</w:t>
      </w:r>
      <w:r w:rsidR="00B71313" w:rsidRPr="73B94D27">
        <w:rPr>
          <w:rFonts w:ascii="Times New Roman" w:eastAsia="Times New Roman" w:hAnsi="Times New Roman" w:cs="Times New Roman"/>
          <w:i/>
          <w:iCs/>
          <w:sz w:val="18"/>
          <w:szCs w:val="18"/>
        </w:rPr>
        <w:t xml:space="preserve"> </w:t>
      </w:r>
      <w:r w:rsidRPr="73B94D27">
        <w:rPr>
          <w:rFonts w:ascii="Times New Roman" w:eastAsia="Times New Roman" w:hAnsi="Times New Roman" w:cs="Times New Roman"/>
          <w:i/>
          <w:iCs/>
          <w:sz w:val="18"/>
          <w:szCs w:val="18"/>
        </w:rPr>
        <w:t>controls are fraction foreign born, fraction white, fraction women ages 20 to 40, state temperature, and state precipitation.</w:t>
      </w:r>
      <w:r w:rsidR="00B71313" w:rsidRPr="73B94D27">
        <w:rPr>
          <w:rFonts w:ascii="Times New Roman" w:eastAsia="Times New Roman" w:hAnsi="Times New Roman" w:cs="Times New Roman"/>
          <w:i/>
          <w:iCs/>
          <w:sz w:val="18"/>
          <w:szCs w:val="18"/>
        </w:rPr>
        <w:t xml:space="preserve"> </w:t>
      </w:r>
      <w:r w:rsidR="009C67FA" w:rsidRPr="73B94D27">
        <w:rPr>
          <w:rFonts w:ascii="Times New Roman" w:eastAsia="Times New Roman" w:hAnsi="Times New Roman" w:cs="Times New Roman"/>
          <w:i/>
          <w:iCs/>
          <w:sz w:val="18"/>
          <w:szCs w:val="18"/>
        </w:rPr>
        <w:t>Statistically significant at *** p&lt;0.01, ** p&lt;0.05, * p&lt;0.1</w:t>
      </w:r>
    </w:p>
    <w:p w14:paraId="7BA12EFB" w14:textId="3A5E36B9" w:rsidR="73B94D27" w:rsidRDefault="73B94D27" w:rsidP="73B94D27">
      <w:pPr>
        <w:spacing w:after="0" w:line="240" w:lineRule="auto"/>
        <w:ind w:left="720" w:right="720"/>
        <w:jc w:val="center"/>
        <w:rPr>
          <w:rFonts w:ascii="Times New Roman" w:eastAsia="Times New Roman" w:hAnsi="Times New Roman" w:cs="Times New Roman"/>
          <w:i/>
          <w:iCs/>
          <w:sz w:val="18"/>
          <w:szCs w:val="18"/>
        </w:rPr>
      </w:pPr>
    </w:p>
    <w:p w14:paraId="63E5A88C" w14:textId="1C90EE25" w:rsidR="73B94D27" w:rsidRDefault="73B94D27" w:rsidP="73B94D27">
      <w:pPr>
        <w:spacing w:after="0" w:line="240" w:lineRule="auto"/>
        <w:ind w:left="720" w:right="720"/>
        <w:jc w:val="center"/>
        <w:rPr>
          <w:rFonts w:ascii="Times New Roman" w:eastAsia="Times New Roman" w:hAnsi="Times New Roman" w:cs="Times New Roman"/>
          <w:i/>
          <w:iCs/>
          <w:sz w:val="18"/>
          <w:szCs w:val="18"/>
        </w:rPr>
      </w:pPr>
    </w:p>
    <w:p w14:paraId="110EF8A6" w14:textId="023CE6A6"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234C5D3A" w14:textId="1E87253A"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77130679" w14:textId="1A21EEB1"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106DFA00" w14:textId="2F796287"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3C7E3B9B" w14:textId="6FDBBB29"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52A1879F" w14:textId="276779DA"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666C1259" w14:textId="44534764"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70E74A5C" w14:textId="3AAA557F"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1C5F6A8A" w14:textId="60C8AD5C"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529CBBD4" w14:textId="35CF7CE0"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1AB2F92D" w14:textId="35748094" w:rsidR="2B702494" w:rsidRDefault="2B702494" w:rsidP="2B702494">
      <w:pPr>
        <w:spacing w:after="0" w:line="240" w:lineRule="auto"/>
        <w:ind w:left="720" w:right="720"/>
        <w:jc w:val="center"/>
        <w:rPr>
          <w:rFonts w:ascii="Times New Roman" w:eastAsia="Times New Roman" w:hAnsi="Times New Roman" w:cs="Times New Roman"/>
          <w:i/>
          <w:iCs/>
          <w:sz w:val="18"/>
          <w:szCs w:val="18"/>
        </w:rPr>
      </w:pPr>
    </w:p>
    <w:p w14:paraId="33E2C53E" w14:textId="793E73C6" w:rsidR="001E357D" w:rsidRPr="001E357D" w:rsidRDefault="001E357D" w:rsidP="001E357D">
      <w:pPr>
        <w:spacing w:after="0" w:line="240" w:lineRule="auto"/>
        <w:ind w:left="720" w:right="720"/>
        <w:jc w:val="center"/>
        <w:rPr>
          <w:rFonts w:ascii="Times New Roman" w:eastAsia="Times New Roman" w:hAnsi="Times New Roman" w:cs="Times New Roman"/>
          <w:i/>
          <w:iCs/>
          <w:sz w:val="18"/>
          <w:szCs w:val="18"/>
        </w:rPr>
      </w:pPr>
    </w:p>
    <w:p w14:paraId="4FEED857" w14:textId="178F6FB6" w:rsidR="7B119D44" w:rsidRDefault="7B119D44" w:rsidP="7B119D44">
      <w:pPr>
        <w:spacing w:after="0" w:line="240" w:lineRule="auto"/>
        <w:ind w:left="720" w:right="720"/>
        <w:jc w:val="center"/>
        <w:rPr>
          <w:rFonts w:ascii="Times New Roman" w:eastAsia="Times New Roman" w:hAnsi="Times New Roman" w:cs="Times New Roman"/>
          <w:i/>
          <w:iCs/>
          <w:sz w:val="18"/>
          <w:szCs w:val="18"/>
        </w:rPr>
      </w:pPr>
    </w:p>
    <w:p w14:paraId="48BA1B21" w14:textId="4ACEFEA7" w:rsidR="7B119D44" w:rsidRDefault="7B119D44" w:rsidP="7B119D44">
      <w:pPr>
        <w:spacing w:after="0" w:line="240" w:lineRule="auto"/>
        <w:ind w:left="720" w:right="720"/>
        <w:jc w:val="center"/>
        <w:rPr>
          <w:rFonts w:ascii="Times New Roman" w:eastAsia="Times New Roman" w:hAnsi="Times New Roman" w:cs="Times New Roman"/>
          <w:i/>
          <w:iCs/>
          <w:sz w:val="18"/>
          <w:szCs w:val="18"/>
        </w:rPr>
      </w:pPr>
    </w:p>
    <w:p w14:paraId="26DAEF93" w14:textId="510D47B3" w:rsidR="7B119D44" w:rsidRDefault="7B119D44" w:rsidP="7B119D44">
      <w:pPr>
        <w:spacing w:after="0" w:line="240" w:lineRule="auto"/>
        <w:ind w:left="720" w:right="720"/>
        <w:jc w:val="center"/>
        <w:rPr>
          <w:rFonts w:ascii="Times New Roman" w:eastAsia="Times New Roman" w:hAnsi="Times New Roman" w:cs="Times New Roman"/>
          <w:i/>
          <w:iCs/>
          <w:sz w:val="18"/>
          <w:szCs w:val="18"/>
        </w:rPr>
      </w:pPr>
    </w:p>
    <w:p w14:paraId="09B3FF2A" w14:textId="61834F4D" w:rsidR="7B119D44" w:rsidRDefault="7B119D44" w:rsidP="7B119D44">
      <w:pPr>
        <w:spacing w:after="0" w:line="240" w:lineRule="auto"/>
        <w:ind w:left="720" w:right="720"/>
        <w:jc w:val="center"/>
        <w:rPr>
          <w:rFonts w:ascii="Times New Roman" w:eastAsia="Times New Roman" w:hAnsi="Times New Roman" w:cs="Times New Roman"/>
          <w:i/>
          <w:iCs/>
          <w:sz w:val="18"/>
          <w:szCs w:val="18"/>
        </w:rPr>
      </w:pPr>
    </w:p>
    <w:p w14:paraId="19FF244A" w14:textId="77777777" w:rsidR="00655064" w:rsidRPr="00655064" w:rsidRDefault="00655064" w:rsidP="00655064">
      <w:pPr>
        <w:spacing w:after="0" w:line="240" w:lineRule="auto"/>
        <w:ind w:left="720" w:right="720"/>
        <w:jc w:val="center"/>
        <w:rPr>
          <w:rFonts w:ascii="Times New Roman" w:eastAsia="Times New Roman" w:hAnsi="Times New Roman" w:cs="Times New Roman"/>
          <w:i/>
          <w:iCs/>
          <w:sz w:val="18"/>
          <w:szCs w:val="18"/>
        </w:rPr>
      </w:pP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800"/>
        <w:gridCol w:w="1890"/>
        <w:gridCol w:w="1890"/>
      </w:tblGrid>
      <w:tr w:rsidR="00D90B78" w:rsidRPr="00F82BE2" w14:paraId="5F9FE97F" w14:textId="77777777" w:rsidTr="00D90B78">
        <w:trPr>
          <w:trHeight w:val="276"/>
          <w:jc w:val="center"/>
        </w:trPr>
        <w:tc>
          <w:tcPr>
            <w:tcW w:w="2965" w:type="dxa"/>
            <w:tcBorders>
              <w:bottom w:val="nil"/>
            </w:tcBorders>
            <w:shd w:val="clear" w:color="auto" w:fill="auto"/>
            <w:noWrap/>
            <w:vAlign w:val="bottom"/>
            <w:hideMark/>
          </w:tcPr>
          <w:p w14:paraId="3CC5F4A8" w14:textId="77777777" w:rsidR="00F82BE2" w:rsidRPr="00F82BE2" w:rsidRDefault="00F82BE2" w:rsidP="00F82BE2">
            <w:pPr>
              <w:spacing w:after="0" w:line="240" w:lineRule="auto"/>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 </w:t>
            </w:r>
          </w:p>
        </w:tc>
        <w:tc>
          <w:tcPr>
            <w:tcW w:w="1800" w:type="dxa"/>
            <w:tcBorders>
              <w:bottom w:val="single" w:sz="4" w:space="0" w:color="auto"/>
            </w:tcBorders>
            <w:shd w:val="clear" w:color="auto" w:fill="auto"/>
            <w:noWrap/>
            <w:vAlign w:val="bottom"/>
            <w:hideMark/>
          </w:tcPr>
          <w:p w14:paraId="0C48C93C" w14:textId="77777777" w:rsidR="00F82BE2" w:rsidRDefault="00F82BE2" w:rsidP="00F82BE2">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(1)</w:t>
            </w:r>
          </w:p>
          <w:p w14:paraId="114798F7" w14:textId="19F01A8C" w:rsidR="00D90B78" w:rsidRPr="00F82BE2" w:rsidRDefault="00D90B78" w:rsidP="00D90B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c>
          <w:tcPr>
            <w:tcW w:w="1890" w:type="dxa"/>
            <w:tcBorders>
              <w:bottom w:val="single" w:sz="4" w:space="0" w:color="auto"/>
            </w:tcBorders>
            <w:shd w:val="clear" w:color="auto" w:fill="auto"/>
            <w:noWrap/>
            <w:vAlign w:val="bottom"/>
            <w:hideMark/>
          </w:tcPr>
          <w:p w14:paraId="11C6AE3C" w14:textId="77777777" w:rsidR="00F82BE2" w:rsidRDefault="00F82BE2" w:rsidP="00F82BE2">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(2)</w:t>
            </w:r>
          </w:p>
          <w:p w14:paraId="02C3FD99" w14:textId="33103410" w:rsidR="00D90B78" w:rsidRPr="00F82BE2" w:rsidRDefault="00D90B78" w:rsidP="00D90B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c>
          <w:tcPr>
            <w:tcW w:w="1890" w:type="dxa"/>
            <w:tcBorders>
              <w:bottom w:val="single" w:sz="4" w:space="0" w:color="auto"/>
            </w:tcBorders>
            <w:shd w:val="clear" w:color="auto" w:fill="auto"/>
            <w:noWrap/>
            <w:vAlign w:val="bottom"/>
            <w:hideMark/>
          </w:tcPr>
          <w:p w14:paraId="7ED37BA3" w14:textId="77777777" w:rsidR="00F82BE2" w:rsidRDefault="00F82BE2" w:rsidP="00F82BE2">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(3</w:t>
            </w:r>
            <w:r w:rsidR="00D90B78">
              <w:rPr>
                <w:rFonts w:ascii="Times New Roman" w:eastAsia="Times New Roman" w:hAnsi="Times New Roman" w:cs="Times New Roman"/>
                <w:sz w:val="24"/>
                <w:szCs w:val="24"/>
              </w:rPr>
              <w:t>)</w:t>
            </w:r>
          </w:p>
          <w:p w14:paraId="33E47D19" w14:textId="435C66E4" w:rsidR="00D90B78" w:rsidRPr="00F82BE2" w:rsidRDefault="00D90B78" w:rsidP="00D90B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Infant Mortality</w:t>
            </w:r>
          </w:p>
        </w:tc>
      </w:tr>
      <w:tr w:rsidR="00F82BE2" w:rsidRPr="00F82BE2" w14:paraId="60F81F45" w14:textId="77777777" w:rsidTr="00D90B78">
        <w:trPr>
          <w:trHeight w:val="276"/>
          <w:jc w:val="center"/>
        </w:trPr>
        <w:tc>
          <w:tcPr>
            <w:tcW w:w="2965" w:type="dxa"/>
            <w:tcBorders>
              <w:top w:val="nil"/>
            </w:tcBorders>
            <w:shd w:val="clear" w:color="auto" w:fill="auto"/>
            <w:noWrap/>
            <w:vAlign w:val="bottom"/>
            <w:hideMark/>
          </w:tcPr>
          <w:p w14:paraId="14CD8D93" w14:textId="77777777" w:rsidR="00F82BE2" w:rsidRPr="00F82BE2" w:rsidRDefault="00F82BE2" w:rsidP="00F82BE2">
            <w:pPr>
              <w:spacing w:after="0" w:line="240" w:lineRule="auto"/>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VARIABLES</w:t>
            </w:r>
          </w:p>
        </w:tc>
        <w:tc>
          <w:tcPr>
            <w:tcW w:w="1800" w:type="dxa"/>
            <w:tcBorders>
              <w:top w:val="single" w:sz="4" w:space="0" w:color="auto"/>
            </w:tcBorders>
            <w:shd w:val="clear" w:color="auto" w:fill="auto"/>
            <w:noWrap/>
            <w:vAlign w:val="bottom"/>
            <w:hideMark/>
          </w:tcPr>
          <w:p w14:paraId="2CBCEB1D" w14:textId="6D961B47" w:rsidR="004A2BF1" w:rsidRPr="00F82BE2" w:rsidRDefault="004A2BF1" w:rsidP="00F82BE2">
            <w:pPr>
              <w:spacing w:after="0" w:line="240" w:lineRule="auto"/>
              <w:jc w:val="center"/>
              <w:rPr>
                <w:rFonts w:ascii="Times New Roman" w:eastAsia="Times New Roman" w:hAnsi="Times New Roman" w:cs="Times New Roman"/>
                <w:sz w:val="24"/>
                <w:szCs w:val="24"/>
              </w:rPr>
            </w:pPr>
            <w:r w:rsidRPr="00CD6648">
              <w:rPr>
                <w:rFonts w:ascii="Times New Roman" w:eastAsia="Times New Roman" w:hAnsi="Times New Roman" w:cs="Times New Roman"/>
                <w:sz w:val="24"/>
                <w:szCs w:val="24"/>
              </w:rPr>
              <w:t>Lead</w:t>
            </w:r>
            <w:r w:rsidR="00602803" w:rsidRPr="00CD6648">
              <w:rPr>
                <w:rFonts w:ascii="Times New Roman" w:eastAsia="Times New Roman" w:hAnsi="Times New Roman" w:cs="Times New Roman"/>
                <w:sz w:val="24"/>
                <w:szCs w:val="24"/>
              </w:rPr>
              <w:t xml:space="preserve"> Only and</w:t>
            </w:r>
            <w:r w:rsidR="00602803">
              <w:rPr>
                <w:rFonts w:ascii="Times New Roman" w:eastAsia="Times New Roman" w:hAnsi="Times New Roman" w:cs="Times New Roman"/>
                <w:sz w:val="24"/>
                <w:szCs w:val="24"/>
              </w:rPr>
              <w:t xml:space="preserve"> </w:t>
            </w:r>
            <w:r w:rsidR="00CD6648">
              <w:rPr>
                <w:rFonts w:ascii="Times New Roman" w:eastAsia="Times New Roman" w:hAnsi="Times New Roman" w:cs="Times New Roman"/>
                <w:sz w:val="24"/>
                <w:szCs w:val="24"/>
              </w:rPr>
              <w:t>Mixed-Lead</w:t>
            </w:r>
          </w:p>
        </w:tc>
        <w:tc>
          <w:tcPr>
            <w:tcW w:w="1890" w:type="dxa"/>
            <w:tcBorders>
              <w:top w:val="single" w:sz="4" w:space="0" w:color="auto"/>
            </w:tcBorders>
            <w:shd w:val="clear" w:color="auto" w:fill="auto"/>
            <w:noWrap/>
            <w:vAlign w:val="bottom"/>
            <w:hideMark/>
          </w:tcPr>
          <w:p w14:paraId="66947F8A" w14:textId="68CC5C5A" w:rsidR="00F82BE2" w:rsidRPr="00F82BE2" w:rsidRDefault="00CD6648" w:rsidP="00CD6648">
            <w:pPr>
              <w:spacing w:after="0" w:line="240" w:lineRule="auto"/>
              <w:jc w:val="center"/>
              <w:rPr>
                <w:rFonts w:ascii="Times New Roman" w:eastAsia="Times New Roman" w:hAnsi="Times New Roman" w:cs="Times New Roman"/>
                <w:sz w:val="24"/>
                <w:szCs w:val="24"/>
              </w:rPr>
            </w:pPr>
            <w:r w:rsidRPr="00CD6648">
              <w:rPr>
                <w:rFonts w:ascii="Times New Roman" w:eastAsia="Times New Roman" w:hAnsi="Times New Roman" w:cs="Times New Roman"/>
                <w:sz w:val="24"/>
                <w:szCs w:val="24"/>
              </w:rPr>
              <w:t>Lead Only and</w:t>
            </w:r>
            <w:r>
              <w:rPr>
                <w:rFonts w:ascii="Times New Roman" w:eastAsia="Times New Roman" w:hAnsi="Times New Roman" w:cs="Times New Roman"/>
                <w:sz w:val="24"/>
                <w:szCs w:val="24"/>
              </w:rPr>
              <w:t xml:space="preserve"> Mixed-Lead</w:t>
            </w:r>
          </w:p>
        </w:tc>
        <w:tc>
          <w:tcPr>
            <w:tcW w:w="1890" w:type="dxa"/>
            <w:tcBorders>
              <w:top w:val="single" w:sz="4" w:space="0" w:color="auto"/>
            </w:tcBorders>
            <w:shd w:val="clear" w:color="auto" w:fill="auto"/>
            <w:noWrap/>
            <w:vAlign w:val="bottom"/>
            <w:hideMark/>
          </w:tcPr>
          <w:p w14:paraId="69EDC053" w14:textId="41C410F7" w:rsidR="00F82BE2" w:rsidRPr="00F82BE2" w:rsidRDefault="00CD6648" w:rsidP="00CD6648">
            <w:pPr>
              <w:spacing w:after="0" w:line="240" w:lineRule="auto"/>
              <w:jc w:val="center"/>
              <w:rPr>
                <w:rFonts w:ascii="Times New Roman" w:eastAsia="Times New Roman" w:hAnsi="Times New Roman" w:cs="Times New Roman"/>
                <w:sz w:val="24"/>
                <w:szCs w:val="24"/>
              </w:rPr>
            </w:pPr>
            <w:r w:rsidRPr="00CD6648">
              <w:rPr>
                <w:rFonts w:ascii="Times New Roman" w:eastAsia="Times New Roman" w:hAnsi="Times New Roman" w:cs="Times New Roman"/>
                <w:sz w:val="24"/>
                <w:szCs w:val="24"/>
              </w:rPr>
              <w:t>Lead Only and</w:t>
            </w:r>
            <w:r>
              <w:rPr>
                <w:rFonts w:ascii="Times New Roman" w:eastAsia="Times New Roman" w:hAnsi="Times New Roman" w:cs="Times New Roman"/>
                <w:sz w:val="24"/>
                <w:szCs w:val="24"/>
              </w:rPr>
              <w:t xml:space="preserve"> Mixed-Lead</w:t>
            </w:r>
          </w:p>
        </w:tc>
      </w:tr>
      <w:tr w:rsidR="00F82BE2" w:rsidRPr="00F82BE2" w14:paraId="69E340A9" w14:textId="77777777" w:rsidTr="00CD6648">
        <w:trPr>
          <w:trHeight w:val="276"/>
          <w:jc w:val="center"/>
        </w:trPr>
        <w:tc>
          <w:tcPr>
            <w:tcW w:w="2965" w:type="dxa"/>
            <w:tcBorders>
              <w:bottom w:val="nil"/>
            </w:tcBorders>
            <w:shd w:val="clear" w:color="auto" w:fill="auto"/>
            <w:noWrap/>
            <w:vAlign w:val="bottom"/>
            <w:hideMark/>
          </w:tcPr>
          <w:p w14:paraId="50258DEB" w14:textId="0DCCD190" w:rsidR="00F82BE2" w:rsidRPr="00F82BE2" w:rsidRDefault="008629F8" w:rsidP="00F82BE2">
            <w:pPr>
              <w:spacing w:after="0" w:line="240" w:lineRule="auto"/>
              <w:rPr>
                <w:rFonts w:ascii="Times New Roman" w:eastAsia="Times New Roman" w:hAnsi="Times New Roman" w:cs="Times New Roman"/>
                <w:sz w:val="24"/>
                <w:szCs w:val="24"/>
              </w:rPr>
            </w:pPr>
            <w:r w:rsidRPr="008629F8">
              <w:rPr>
                <w:rFonts w:ascii="Times New Roman" w:eastAsia="Times New Roman" w:hAnsi="Times New Roman" w:cs="Times New Roman"/>
                <w:sz w:val="24"/>
                <w:szCs w:val="24"/>
              </w:rPr>
              <w:t>Hardness</w:t>
            </w:r>
          </w:p>
        </w:tc>
        <w:tc>
          <w:tcPr>
            <w:tcW w:w="1800" w:type="dxa"/>
            <w:tcBorders>
              <w:bottom w:val="nil"/>
            </w:tcBorders>
            <w:shd w:val="clear" w:color="auto" w:fill="auto"/>
            <w:noWrap/>
            <w:vAlign w:val="bottom"/>
            <w:hideMark/>
          </w:tcPr>
          <w:p w14:paraId="4BC2450A"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76DF7436"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757A24D0"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-0.000629**</w:t>
            </w:r>
          </w:p>
        </w:tc>
      </w:tr>
      <w:tr w:rsidR="00F82BE2" w:rsidRPr="00F82BE2" w14:paraId="4E35E7B4" w14:textId="77777777" w:rsidTr="00CD6648">
        <w:trPr>
          <w:trHeight w:val="276"/>
          <w:jc w:val="center"/>
        </w:trPr>
        <w:tc>
          <w:tcPr>
            <w:tcW w:w="2965" w:type="dxa"/>
            <w:tcBorders>
              <w:top w:val="nil"/>
            </w:tcBorders>
            <w:shd w:val="clear" w:color="auto" w:fill="auto"/>
            <w:noWrap/>
            <w:vAlign w:val="bottom"/>
            <w:hideMark/>
          </w:tcPr>
          <w:p w14:paraId="4E349266"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51E1285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5D4C6C1"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0ED9A259"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(0.000243)</w:t>
            </w:r>
          </w:p>
        </w:tc>
      </w:tr>
      <w:tr w:rsidR="00F82BE2" w:rsidRPr="00F82BE2" w14:paraId="730376C6" w14:textId="77777777" w:rsidTr="00CD6648">
        <w:trPr>
          <w:trHeight w:val="276"/>
          <w:jc w:val="center"/>
        </w:trPr>
        <w:tc>
          <w:tcPr>
            <w:tcW w:w="2965" w:type="dxa"/>
            <w:tcBorders>
              <w:bottom w:val="nil"/>
            </w:tcBorders>
            <w:shd w:val="clear" w:color="auto" w:fill="auto"/>
            <w:noWrap/>
            <w:vAlign w:val="bottom"/>
            <w:hideMark/>
          </w:tcPr>
          <w:p w14:paraId="0506C726" w14:textId="78999312" w:rsidR="00F82BE2" w:rsidRPr="00F82BE2" w:rsidRDefault="000A2F44"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 – 6.675</w:t>
            </w:r>
          </w:p>
        </w:tc>
        <w:tc>
          <w:tcPr>
            <w:tcW w:w="1800" w:type="dxa"/>
            <w:tcBorders>
              <w:bottom w:val="nil"/>
            </w:tcBorders>
            <w:shd w:val="clear" w:color="auto" w:fill="auto"/>
            <w:noWrap/>
            <w:vAlign w:val="bottom"/>
            <w:hideMark/>
          </w:tcPr>
          <w:p w14:paraId="7012BFB7"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1A51B131"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4B0752E2"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-0.170**</w:t>
            </w:r>
          </w:p>
        </w:tc>
      </w:tr>
      <w:tr w:rsidR="00F82BE2" w:rsidRPr="00F82BE2" w14:paraId="4D9D9C43" w14:textId="77777777" w:rsidTr="00CD6648">
        <w:trPr>
          <w:trHeight w:val="276"/>
          <w:jc w:val="center"/>
        </w:trPr>
        <w:tc>
          <w:tcPr>
            <w:tcW w:w="2965" w:type="dxa"/>
            <w:tcBorders>
              <w:top w:val="nil"/>
            </w:tcBorders>
            <w:shd w:val="clear" w:color="auto" w:fill="auto"/>
            <w:noWrap/>
            <w:vAlign w:val="bottom"/>
            <w:hideMark/>
          </w:tcPr>
          <w:p w14:paraId="66F07F7D"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3357DE77"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CFE3EF7"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0C26B5D"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(0.0653)</w:t>
            </w:r>
          </w:p>
        </w:tc>
      </w:tr>
      <w:tr w:rsidR="00F82BE2" w:rsidRPr="00F82BE2" w14:paraId="12FD7192" w14:textId="77777777" w:rsidTr="00CD6648">
        <w:trPr>
          <w:trHeight w:val="276"/>
          <w:jc w:val="center"/>
        </w:trPr>
        <w:tc>
          <w:tcPr>
            <w:tcW w:w="2965" w:type="dxa"/>
            <w:tcBorders>
              <w:bottom w:val="nil"/>
            </w:tcBorders>
            <w:shd w:val="clear" w:color="auto" w:fill="auto"/>
            <w:noWrap/>
            <w:vAlign w:val="bottom"/>
            <w:hideMark/>
          </w:tcPr>
          <w:p w14:paraId="32808923" w14:textId="45ACAABE" w:rsidR="00F82BE2" w:rsidRPr="00F82BE2" w:rsidRDefault="000A2F44"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Hardness </w:t>
            </w:r>
            <m:oMath>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w:r w:rsidR="00C873F2">
              <w:rPr>
                <w:rFonts w:ascii="Times New Roman" w:eastAsia="Times New Roman" w:hAnsi="Times New Roman" w:cs="Times New Roman"/>
                <w:sz w:val="24"/>
                <w:szCs w:val="24"/>
              </w:rPr>
              <w:t>(</w:t>
            </w:r>
            <w:r>
              <w:rPr>
                <w:rFonts w:ascii="Times New Roman" w:eastAsia="Times New Roman" w:hAnsi="Times New Roman" w:cs="Times New Roman"/>
                <w:sz w:val="24"/>
                <w:szCs w:val="24"/>
              </w:rPr>
              <w:t>pH – 6.675</w:t>
            </w:r>
            <w:r w:rsidR="00C873F2">
              <w:rPr>
                <w:rFonts w:ascii="Times New Roman" w:eastAsia="Times New Roman" w:hAnsi="Times New Roman" w:cs="Times New Roman"/>
                <w:sz w:val="24"/>
                <w:szCs w:val="24"/>
              </w:rPr>
              <w:t>)</w:t>
            </w:r>
          </w:p>
        </w:tc>
        <w:tc>
          <w:tcPr>
            <w:tcW w:w="1800" w:type="dxa"/>
            <w:tcBorders>
              <w:bottom w:val="nil"/>
            </w:tcBorders>
            <w:shd w:val="clear" w:color="auto" w:fill="auto"/>
            <w:noWrap/>
            <w:vAlign w:val="bottom"/>
            <w:hideMark/>
          </w:tcPr>
          <w:p w14:paraId="0819D28B"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61AED544"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0B388971"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0.000399</w:t>
            </w:r>
          </w:p>
        </w:tc>
      </w:tr>
      <w:tr w:rsidR="00F82BE2" w:rsidRPr="00F82BE2" w14:paraId="144AB631" w14:textId="77777777" w:rsidTr="00CD6648">
        <w:trPr>
          <w:trHeight w:val="276"/>
          <w:jc w:val="center"/>
        </w:trPr>
        <w:tc>
          <w:tcPr>
            <w:tcW w:w="2965" w:type="dxa"/>
            <w:tcBorders>
              <w:top w:val="nil"/>
            </w:tcBorders>
            <w:shd w:val="clear" w:color="auto" w:fill="auto"/>
            <w:noWrap/>
            <w:vAlign w:val="bottom"/>
            <w:hideMark/>
          </w:tcPr>
          <w:p w14:paraId="1FFAA663"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6DCDEE37"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1038B469"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6A6DE081"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(0.000334)</w:t>
            </w:r>
          </w:p>
        </w:tc>
      </w:tr>
      <w:tr w:rsidR="00F82BE2" w:rsidRPr="00F82BE2" w14:paraId="581553D4" w14:textId="77777777" w:rsidTr="00CD6648">
        <w:trPr>
          <w:trHeight w:val="276"/>
          <w:jc w:val="center"/>
        </w:trPr>
        <w:tc>
          <w:tcPr>
            <w:tcW w:w="2965" w:type="dxa"/>
            <w:tcBorders>
              <w:bottom w:val="nil"/>
            </w:tcBorders>
            <w:shd w:val="clear" w:color="auto" w:fill="auto"/>
            <w:noWrap/>
            <w:vAlign w:val="bottom"/>
            <w:hideMark/>
          </w:tcPr>
          <w:p w14:paraId="6B33B590" w14:textId="09DE5DB3" w:rsidR="00F82BE2" w:rsidRPr="00F82BE2" w:rsidRDefault="00BF7FF7"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1(pH &gt; 7.3) </w:t>
            </w:r>
            <m:oMath>
              <m:r>
                <w:rPr>
                  <w:rFonts w:ascii="Cambria Math" w:eastAsia="Times New Roman" w:hAnsi="Cambria Math" w:cs="Times New Roman"/>
                  <w:sz w:val="24"/>
                  <w:szCs w:val="24"/>
                </w:rPr>
                <m:t>×</m:t>
              </m:r>
            </m:oMath>
            <w:r w:rsidR="009C2D86">
              <w:rPr>
                <w:rFonts w:ascii="Times New Roman" w:eastAsia="Times New Roman" w:hAnsi="Times New Roman" w:cs="Times New Roman"/>
                <w:sz w:val="24"/>
                <w:szCs w:val="24"/>
              </w:rPr>
              <w:t xml:space="preserve"> (pH – 6.675)</w:t>
            </w:r>
          </w:p>
        </w:tc>
        <w:tc>
          <w:tcPr>
            <w:tcW w:w="1800" w:type="dxa"/>
            <w:tcBorders>
              <w:bottom w:val="nil"/>
            </w:tcBorders>
            <w:shd w:val="clear" w:color="auto" w:fill="auto"/>
            <w:noWrap/>
            <w:vAlign w:val="bottom"/>
            <w:hideMark/>
          </w:tcPr>
          <w:p w14:paraId="39C958BD"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7C5E1536"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4060AE8E"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-0.0310</w:t>
            </w:r>
          </w:p>
        </w:tc>
      </w:tr>
      <w:tr w:rsidR="00F82BE2" w:rsidRPr="00F82BE2" w14:paraId="1B3B6569" w14:textId="77777777" w:rsidTr="00CD6648">
        <w:trPr>
          <w:trHeight w:val="276"/>
          <w:jc w:val="center"/>
        </w:trPr>
        <w:tc>
          <w:tcPr>
            <w:tcW w:w="2965" w:type="dxa"/>
            <w:tcBorders>
              <w:top w:val="nil"/>
            </w:tcBorders>
            <w:shd w:val="clear" w:color="auto" w:fill="auto"/>
            <w:noWrap/>
            <w:vAlign w:val="bottom"/>
            <w:hideMark/>
          </w:tcPr>
          <w:p w14:paraId="453DC87A"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6E40CFB4"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76D0EFF"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3DE527FA"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(0.0821)</w:t>
            </w:r>
          </w:p>
        </w:tc>
      </w:tr>
      <w:tr w:rsidR="00F82BE2" w:rsidRPr="00F82BE2" w14:paraId="1B163B11" w14:textId="77777777" w:rsidTr="00CD6648">
        <w:trPr>
          <w:trHeight w:val="276"/>
          <w:jc w:val="center"/>
        </w:trPr>
        <w:tc>
          <w:tcPr>
            <w:tcW w:w="2965" w:type="dxa"/>
            <w:tcBorders>
              <w:bottom w:val="nil"/>
            </w:tcBorders>
            <w:shd w:val="clear" w:color="auto" w:fill="auto"/>
            <w:noWrap/>
            <w:vAlign w:val="bottom"/>
            <w:hideMark/>
          </w:tcPr>
          <w:p w14:paraId="35FDF66B" w14:textId="2976377F" w:rsidR="00F82BE2" w:rsidRPr="00F82BE2" w:rsidRDefault="00BD6EAC"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Hardness </w:t>
            </w:r>
            <m:oMath>
              <m:r>
                <w:rPr>
                  <w:rFonts w:ascii="Cambria Math" w:eastAsia="Times New Roman" w:hAnsi="Cambria Math" w:cs="Times New Roman"/>
                  <w:sz w:val="24"/>
                  <w:szCs w:val="24"/>
                </w:rPr>
                <m:t xml:space="preserve">× </m:t>
              </m:r>
            </m:oMath>
            <w:r w:rsidR="00F82BE2" w:rsidRPr="00F82BE2">
              <w:rPr>
                <w:rFonts w:ascii="Times New Roman" w:eastAsia="Times New Roman" w:hAnsi="Times New Roman" w:cs="Times New Roman"/>
                <w:sz w:val="24"/>
                <w:szCs w:val="24"/>
              </w:rPr>
              <w:t>1</w:t>
            </w:r>
            <w:r w:rsidR="009C2D86">
              <w:rPr>
                <w:rFonts w:ascii="Times New Roman" w:eastAsia="Times New Roman" w:hAnsi="Times New Roman" w:cs="Times New Roman"/>
                <w:sz w:val="24"/>
                <w:szCs w:val="24"/>
              </w:rPr>
              <w:t>(pH &gt; 7.3)</w:t>
            </w:r>
          </w:p>
        </w:tc>
        <w:tc>
          <w:tcPr>
            <w:tcW w:w="1800" w:type="dxa"/>
            <w:tcBorders>
              <w:bottom w:val="nil"/>
            </w:tcBorders>
            <w:shd w:val="clear" w:color="auto" w:fill="auto"/>
            <w:noWrap/>
            <w:vAlign w:val="bottom"/>
            <w:hideMark/>
          </w:tcPr>
          <w:p w14:paraId="6AE34534"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2BE2D008"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37538B5D"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-2.92e-05</w:t>
            </w:r>
          </w:p>
        </w:tc>
      </w:tr>
      <w:tr w:rsidR="00F82BE2" w:rsidRPr="00F82BE2" w14:paraId="1AC56311" w14:textId="77777777" w:rsidTr="00CD6648">
        <w:trPr>
          <w:trHeight w:val="276"/>
          <w:jc w:val="center"/>
        </w:trPr>
        <w:tc>
          <w:tcPr>
            <w:tcW w:w="2965" w:type="dxa"/>
            <w:tcBorders>
              <w:top w:val="nil"/>
            </w:tcBorders>
            <w:shd w:val="clear" w:color="auto" w:fill="auto"/>
            <w:noWrap/>
            <w:vAlign w:val="bottom"/>
            <w:hideMark/>
          </w:tcPr>
          <w:p w14:paraId="3EE4AB35"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6588D449"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D44F206"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6905B388"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(0.000291)</w:t>
            </w:r>
          </w:p>
        </w:tc>
      </w:tr>
      <w:tr w:rsidR="00F82BE2" w:rsidRPr="00F82BE2" w14:paraId="67690659" w14:textId="77777777" w:rsidTr="00CD6648">
        <w:trPr>
          <w:trHeight w:val="276"/>
          <w:jc w:val="center"/>
        </w:trPr>
        <w:tc>
          <w:tcPr>
            <w:tcW w:w="2965" w:type="dxa"/>
            <w:tcBorders>
              <w:bottom w:val="nil"/>
            </w:tcBorders>
            <w:shd w:val="clear" w:color="auto" w:fill="auto"/>
            <w:noWrap/>
            <w:vAlign w:val="bottom"/>
            <w:hideMark/>
          </w:tcPr>
          <w:p w14:paraId="217643EB" w14:textId="68120029" w:rsidR="00F82BE2" w:rsidRPr="00F82BE2" w:rsidRDefault="00B528CD"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 </w:t>
            </w:r>
            <m:oMath>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1(pH &gt; 7.3)</w:t>
            </w:r>
          </w:p>
        </w:tc>
        <w:tc>
          <w:tcPr>
            <w:tcW w:w="1800" w:type="dxa"/>
            <w:tcBorders>
              <w:bottom w:val="nil"/>
            </w:tcBorders>
            <w:shd w:val="clear" w:color="auto" w:fill="auto"/>
            <w:noWrap/>
            <w:vAlign w:val="bottom"/>
            <w:hideMark/>
          </w:tcPr>
          <w:p w14:paraId="51183F7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2A46F7A5"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7F9738BF"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-0.104</w:t>
            </w:r>
          </w:p>
        </w:tc>
      </w:tr>
      <w:tr w:rsidR="00F82BE2" w:rsidRPr="00F82BE2" w14:paraId="05AF8C5F" w14:textId="77777777" w:rsidTr="00CD6648">
        <w:trPr>
          <w:trHeight w:val="276"/>
          <w:jc w:val="center"/>
        </w:trPr>
        <w:tc>
          <w:tcPr>
            <w:tcW w:w="2965" w:type="dxa"/>
            <w:tcBorders>
              <w:top w:val="nil"/>
            </w:tcBorders>
            <w:shd w:val="clear" w:color="auto" w:fill="auto"/>
            <w:noWrap/>
            <w:vAlign w:val="bottom"/>
            <w:hideMark/>
          </w:tcPr>
          <w:p w14:paraId="4325740D"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0EE1E9E5"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0BD6C17F"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48C9EDAB"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(0.0710)</w:t>
            </w:r>
          </w:p>
        </w:tc>
      </w:tr>
      <w:tr w:rsidR="00F82BE2" w:rsidRPr="00F82BE2" w14:paraId="07ED28C7" w14:textId="77777777" w:rsidTr="00CD6648">
        <w:trPr>
          <w:trHeight w:val="276"/>
          <w:jc w:val="center"/>
        </w:trPr>
        <w:tc>
          <w:tcPr>
            <w:tcW w:w="2965" w:type="dxa"/>
            <w:tcBorders>
              <w:bottom w:val="nil"/>
            </w:tcBorders>
            <w:shd w:val="clear" w:color="auto" w:fill="auto"/>
            <w:noWrap/>
            <w:vAlign w:val="bottom"/>
            <w:hideMark/>
          </w:tcPr>
          <w:p w14:paraId="2775FEFD" w14:textId="6CF36980" w:rsidR="00F82BE2" w:rsidRPr="00F82BE2" w:rsidRDefault="00B528CD"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ln(pH – 5.675)</w:t>
            </w:r>
          </w:p>
        </w:tc>
        <w:tc>
          <w:tcPr>
            <w:tcW w:w="1800" w:type="dxa"/>
            <w:tcBorders>
              <w:bottom w:val="nil"/>
            </w:tcBorders>
            <w:shd w:val="clear" w:color="auto" w:fill="auto"/>
            <w:noWrap/>
            <w:vAlign w:val="bottom"/>
            <w:hideMark/>
          </w:tcPr>
          <w:p w14:paraId="74C3F0DF"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-0.103***</w:t>
            </w:r>
          </w:p>
        </w:tc>
        <w:tc>
          <w:tcPr>
            <w:tcW w:w="1890" w:type="dxa"/>
            <w:tcBorders>
              <w:bottom w:val="nil"/>
            </w:tcBorders>
            <w:shd w:val="clear" w:color="auto" w:fill="auto"/>
            <w:noWrap/>
            <w:vAlign w:val="bottom"/>
            <w:hideMark/>
          </w:tcPr>
          <w:p w14:paraId="1BFC875C"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-0.0576***</w:t>
            </w:r>
          </w:p>
        </w:tc>
        <w:tc>
          <w:tcPr>
            <w:tcW w:w="1890" w:type="dxa"/>
            <w:tcBorders>
              <w:bottom w:val="nil"/>
            </w:tcBorders>
            <w:shd w:val="clear" w:color="auto" w:fill="auto"/>
            <w:noWrap/>
            <w:vAlign w:val="bottom"/>
            <w:hideMark/>
          </w:tcPr>
          <w:p w14:paraId="41E1A11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r>
      <w:tr w:rsidR="00F82BE2" w:rsidRPr="00F82BE2" w14:paraId="4701417A" w14:textId="77777777" w:rsidTr="00CD6648">
        <w:trPr>
          <w:trHeight w:val="276"/>
          <w:jc w:val="center"/>
        </w:trPr>
        <w:tc>
          <w:tcPr>
            <w:tcW w:w="2965" w:type="dxa"/>
            <w:tcBorders>
              <w:top w:val="nil"/>
            </w:tcBorders>
            <w:shd w:val="clear" w:color="auto" w:fill="auto"/>
            <w:noWrap/>
            <w:vAlign w:val="bottom"/>
            <w:hideMark/>
          </w:tcPr>
          <w:p w14:paraId="304209B9"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707BD738"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(0.0129)</w:t>
            </w:r>
          </w:p>
        </w:tc>
        <w:tc>
          <w:tcPr>
            <w:tcW w:w="1890" w:type="dxa"/>
            <w:tcBorders>
              <w:top w:val="nil"/>
            </w:tcBorders>
            <w:shd w:val="clear" w:color="auto" w:fill="auto"/>
            <w:noWrap/>
            <w:vAlign w:val="bottom"/>
            <w:hideMark/>
          </w:tcPr>
          <w:p w14:paraId="59FC7774"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(0.0193)</w:t>
            </w:r>
          </w:p>
        </w:tc>
        <w:tc>
          <w:tcPr>
            <w:tcW w:w="1890" w:type="dxa"/>
            <w:tcBorders>
              <w:top w:val="nil"/>
            </w:tcBorders>
            <w:shd w:val="clear" w:color="auto" w:fill="auto"/>
            <w:noWrap/>
            <w:vAlign w:val="bottom"/>
            <w:hideMark/>
          </w:tcPr>
          <w:p w14:paraId="457F7D9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r>
      <w:tr w:rsidR="00F82BE2" w:rsidRPr="00F82BE2" w14:paraId="297AA45A" w14:textId="77777777" w:rsidTr="00CD6648">
        <w:trPr>
          <w:trHeight w:val="276"/>
          <w:jc w:val="center"/>
        </w:trPr>
        <w:tc>
          <w:tcPr>
            <w:tcW w:w="2965" w:type="dxa"/>
            <w:tcBorders>
              <w:bottom w:val="nil"/>
            </w:tcBorders>
            <w:shd w:val="clear" w:color="auto" w:fill="auto"/>
            <w:noWrap/>
            <w:vAlign w:val="bottom"/>
            <w:hideMark/>
          </w:tcPr>
          <w:p w14:paraId="1639AD54" w14:textId="26582F22" w:rsidR="00F82BE2" w:rsidRPr="00F82BE2" w:rsidRDefault="00B528CD" w:rsidP="00F82B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ln(hardness)</w:t>
            </w:r>
          </w:p>
        </w:tc>
        <w:tc>
          <w:tcPr>
            <w:tcW w:w="1800" w:type="dxa"/>
            <w:tcBorders>
              <w:bottom w:val="nil"/>
            </w:tcBorders>
            <w:shd w:val="clear" w:color="auto" w:fill="auto"/>
            <w:noWrap/>
            <w:vAlign w:val="bottom"/>
            <w:hideMark/>
          </w:tcPr>
          <w:p w14:paraId="3DBB3859"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bottom w:val="nil"/>
            </w:tcBorders>
            <w:shd w:val="clear" w:color="auto" w:fill="auto"/>
            <w:noWrap/>
            <w:vAlign w:val="bottom"/>
            <w:hideMark/>
          </w:tcPr>
          <w:p w14:paraId="526D7716"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-0.0445**</w:t>
            </w:r>
          </w:p>
        </w:tc>
        <w:tc>
          <w:tcPr>
            <w:tcW w:w="1890" w:type="dxa"/>
            <w:tcBorders>
              <w:bottom w:val="nil"/>
            </w:tcBorders>
            <w:shd w:val="clear" w:color="auto" w:fill="auto"/>
            <w:noWrap/>
            <w:vAlign w:val="bottom"/>
            <w:hideMark/>
          </w:tcPr>
          <w:p w14:paraId="4C7E6F24"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r>
      <w:tr w:rsidR="00F82BE2" w:rsidRPr="00F82BE2" w14:paraId="31FBEA8D" w14:textId="77777777" w:rsidTr="00CD6648">
        <w:trPr>
          <w:trHeight w:val="276"/>
          <w:jc w:val="center"/>
        </w:trPr>
        <w:tc>
          <w:tcPr>
            <w:tcW w:w="2965" w:type="dxa"/>
            <w:tcBorders>
              <w:top w:val="nil"/>
            </w:tcBorders>
            <w:shd w:val="clear" w:color="auto" w:fill="auto"/>
            <w:noWrap/>
            <w:vAlign w:val="bottom"/>
            <w:hideMark/>
          </w:tcPr>
          <w:p w14:paraId="60FFD63A" w14:textId="77777777" w:rsidR="00F82BE2" w:rsidRPr="00F82BE2" w:rsidRDefault="00F82BE2" w:rsidP="008629F8">
            <w:pPr>
              <w:spacing w:after="0" w:line="240" w:lineRule="auto"/>
              <w:rPr>
                <w:rFonts w:ascii="Times New Roman" w:eastAsia="Times New Roman" w:hAnsi="Times New Roman" w:cs="Times New Roman"/>
                <w:sz w:val="24"/>
                <w:szCs w:val="24"/>
              </w:rPr>
            </w:pPr>
          </w:p>
        </w:tc>
        <w:tc>
          <w:tcPr>
            <w:tcW w:w="1800" w:type="dxa"/>
            <w:tcBorders>
              <w:top w:val="nil"/>
            </w:tcBorders>
            <w:shd w:val="clear" w:color="auto" w:fill="auto"/>
            <w:noWrap/>
            <w:vAlign w:val="bottom"/>
            <w:hideMark/>
          </w:tcPr>
          <w:p w14:paraId="51CA5E7D"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c>
          <w:tcPr>
            <w:tcW w:w="1890" w:type="dxa"/>
            <w:tcBorders>
              <w:top w:val="nil"/>
            </w:tcBorders>
            <w:shd w:val="clear" w:color="auto" w:fill="auto"/>
            <w:noWrap/>
            <w:vAlign w:val="bottom"/>
            <w:hideMark/>
          </w:tcPr>
          <w:p w14:paraId="5B97BF12"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(0.0177)</w:t>
            </w:r>
          </w:p>
        </w:tc>
        <w:tc>
          <w:tcPr>
            <w:tcW w:w="1890" w:type="dxa"/>
            <w:tcBorders>
              <w:top w:val="nil"/>
            </w:tcBorders>
            <w:shd w:val="clear" w:color="auto" w:fill="auto"/>
            <w:noWrap/>
            <w:vAlign w:val="bottom"/>
            <w:hideMark/>
          </w:tcPr>
          <w:p w14:paraId="6789F15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p>
        </w:tc>
      </w:tr>
      <w:tr w:rsidR="00F82BE2" w:rsidRPr="00F82BE2" w14:paraId="163A1305" w14:textId="77777777" w:rsidTr="00CD6648">
        <w:trPr>
          <w:trHeight w:val="276"/>
          <w:jc w:val="center"/>
        </w:trPr>
        <w:tc>
          <w:tcPr>
            <w:tcW w:w="2965" w:type="dxa"/>
            <w:shd w:val="clear" w:color="auto" w:fill="auto"/>
            <w:noWrap/>
            <w:vAlign w:val="bottom"/>
            <w:hideMark/>
          </w:tcPr>
          <w:p w14:paraId="27A756F7" w14:textId="77777777" w:rsidR="00F82BE2" w:rsidRPr="00F82BE2" w:rsidRDefault="00F82BE2" w:rsidP="00F82BE2">
            <w:pPr>
              <w:spacing w:after="0" w:line="240" w:lineRule="auto"/>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Observations</w:t>
            </w:r>
          </w:p>
        </w:tc>
        <w:tc>
          <w:tcPr>
            <w:tcW w:w="1800" w:type="dxa"/>
            <w:shd w:val="clear" w:color="auto" w:fill="auto"/>
            <w:noWrap/>
            <w:vAlign w:val="bottom"/>
            <w:hideMark/>
          </w:tcPr>
          <w:p w14:paraId="59C01AAB"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117</w:t>
            </w:r>
          </w:p>
        </w:tc>
        <w:tc>
          <w:tcPr>
            <w:tcW w:w="1890" w:type="dxa"/>
            <w:shd w:val="clear" w:color="auto" w:fill="auto"/>
            <w:noWrap/>
            <w:vAlign w:val="bottom"/>
            <w:hideMark/>
          </w:tcPr>
          <w:p w14:paraId="39CC0343"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117</w:t>
            </w:r>
          </w:p>
        </w:tc>
        <w:tc>
          <w:tcPr>
            <w:tcW w:w="1890" w:type="dxa"/>
            <w:shd w:val="clear" w:color="auto" w:fill="auto"/>
            <w:noWrap/>
            <w:vAlign w:val="bottom"/>
            <w:hideMark/>
          </w:tcPr>
          <w:p w14:paraId="62A605D1"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117</w:t>
            </w:r>
          </w:p>
        </w:tc>
      </w:tr>
      <w:tr w:rsidR="00F82BE2" w:rsidRPr="00F82BE2" w14:paraId="1689659E" w14:textId="77777777" w:rsidTr="00CD6648">
        <w:trPr>
          <w:trHeight w:val="276"/>
          <w:jc w:val="center"/>
        </w:trPr>
        <w:tc>
          <w:tcPr>
            <w:tcW w:w="2965" w:type="dxa"/>
            <w:shd w:val="clear" w:color="auto" w:fill="auto"/>
            <w:noWrap/>
            <w:vAlign w:val="bottom"/>
            <w:hideMark/>
          </w:tcPr>
          <w:p w14:paraId="4CF87677" w14:textId="77777777" w:rsidR="00F82BE2" w:rsidRPr="00F82BE2" w:rsidRDefault="00F82BE2" w:rsidP="00F82BE2">
            <w:pPr>
              <w:spacing w:after="0" w:line="240" w:lineRule="auto"/>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R-squared</w:t>
            </w:r>
          </w:p>
        </w:tc>
        <w:tc>
          <w:tcPr>
            <w:tcW w:w="1800" w:type="dxa"/>
            <w:shd w:val="clear" w:color="auto" w:fill="auto"/>
            <w:noWrap/>
            <w:vAlign w:val="bottom"/>
            <w:hideMark/>
          </w:tcPr>
          <w:p w14:paraId="72E5904A"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0.290</w:t>
            </w:r>
          </w:p>
        </w:tc>
        <w:tc>
          <w:tcPr>
            <w:tcW w:w="1890" w:type="dxa"/>
            <w:shd w:val="clear" w:color="auto" w:fill="auto"/>
            <w:noWrap/>
            <w:vAlign w:val="bottom"/>
            <w:hideMark/>
          </w:tcPr>
          <w:p w14:paraId="6BDD57A6"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0.335</w:t>
            </w:r>
          </w:p>
        </w:tc>
        <w:tc>
          <w:tcPr>
            <w:tcW w:w="1890" w:type="dxa"/>
            <w:shd w:val="clear" w:color="auto" w:fill="auto"/>
            <w:noWrap/>
            <w:vAlign w:val="bottom"/>
            <w:hideMark/>
          </w:tcPr>
          <w:p w14:paraId="25786362" w14:textId="77777777" w:rsidR="00F82BE2" w:rsidRPr="00F82BE2" w:rsidRDefault="00F82BE2" w:rsidP="00B528CD">
            <w:pPr>
              <w:spacing w:after="0" w:line="240" w:lineRule="auto"/>
              <w:jc w:val="center"/>
              <w:rPr>
                <w:rFonts w:ascii="Times New Roman" w:eastAsia="Times New Roman" w:hAnsi="Times New Roman" w:cs="Times New Roman"/>
                <w:sz w:val="24"/>
                <w:szCs w:val="24"/>
              </w:rPr>
            </w:pPr>
            <w:r w:rsidRPr="00F82BE2">
              <w:rPr>
                <w:rFonts w:ascii="Times New Roman" w:eastAsia="Times New Roman" w:hAnsi="Times New Roman" w:cs="Times New Roman"/>
                <w:sz w:val="24"/>
                <w:szCs w:val="24"/>
              </w:rPr>
              <w:t>0.387</w:t>
            </w:r>
          </w:p>
        </w:tc>
      </w:tr>
    </w:tbl>
    <w:p w14:paraId="69A1D6BF" w14:textId="2BB5666B" w:rsidR="00E80585" w:rsidRPr="00643848" w:rsidRDefault="00E80585" w:rsidP="00E80585">
      <w:pPr>
        <w:spacing w:before="120" w:after="0" w:line="240" w:lineRule="auto"/>
        <w:jc w:val="center"/>
        <w:rPr>
          <w:rFonts w:ascii="Times New Roman" w:eastAsia="Times New Roman" w:hAnsi="Times New Roman" w:cs="Times New Roman"/>
          <w:i/>
          <w:iCs/>
          <w:sz w:val="24"/>
          <w:szCs w:val="24"/>
        </w:rPr>
      </w:pPr>
      <w:r w:rsidRPr="00643848">
        <w:rPr>
          <w:rFonts w:ascii="Times New Roman" w:eastAsia="Times New Roman" w:hAnsi="Times New Roman" w:cs="Times New Roman"/>
          <w:i/>
          <w:iCs/>
          <w:sz w:val="24"/>
          <w:szCs w:val="24"/>
        </w:rPr>
        <w:t xml:space="preserve">Table </w:t>
      </w:r>
      <w:r>
        <w:rPr>
          <w:rFonts w:ascii="Times New Roman" w:eastAsia="Times New Roman" w:hAnsi="Times New Roman" w:cs="Times New Roman"/>
          <w:i/>
          <w:iCs/>
          <w:sz w:val="24"/>
          <w:szCs w:val="24"/>
        </w:rPr>
        <w:t>5</w:t>
      </w:r>
      <w:r w:rsidRPr="00643848">
        <w:rPr>
          <w:rFonts w:ascii="Times New Roman" w:eastAsia="Times New Roman" w:hAnsi="Times New Roman" w:cs="Times New Roman"/>
          <w:i/>
          <w:iCs/>
          <w:sz w:val="24"/>
          <w:szCs w:val="24"/>
        </w:rPr>
        <w:t xml:space="preserve"> – </w:t>
      </w:r>
      <w:r>
        <w:rPr>
          <w:rFonts w:ascii="Times New Roman" w:eastAsia="Times New Roman" w:hAnsi="Times New Roman" w:cs="Times New Roman"/>
          <w:i/>
          <w:iCs/>
          <w:sz w:val="24"/>
          <w:szCs w:val="24"/>
        </w:rPr>
        <w:t>Effects of Lead and pH, and Hardness on Infant Mortality in 1900</w:t>
      </w:r>
    </w:p>
    <w:p w14:paraId="00B83EA6" w14:textId="77777777" w:rsidR="00E80585" w:rsidRDefault="00E80585" w:rsidP="00E80585">
      <w:pPr>
        <w:spacing w:after="0" w:line="240" w:lineRule="auto"/>
        <w:ind w:left="720" w:right="720"/>
        <w:jc w:val="center"/>
        <w:rPr>
          <w:rFonts w:ascii="Times New Roman" w:eastAsia="Times New Roman" w:hAnsi="Times New Roman" w:cs="Times New Roman"/>
          <w:i/>
          <w:iCs/>
          <w:sz w:val="18"/>
          <w:szCs w:val="18"/>
        </w:rPr>
      </w:pPr>
      <w:r w:rsidRPr="00B71313">
        <w:rPr>
          <w:rFonts w:ascii="Times New Roman" w:eastAsia="Times New Roman" w:hAnsi="Times New Roman" w:cs="Times New Roman"/>
          <w:i/>
          <w:iCs/>
          <w:sz w:val="18"/>
          <w:szCs w:val="18"/>
        </w:rPr>
        <w:t>Note: Robust standard errors in parentheses. A constant was estimated but not reported.</w:t>
      </w:r>
    </w:p>
    <w:p w14:paraId="374810F1" w14:textId="5605337B" w:rsidR="00E80585" w:rsidRPr="00B71313" w:rsidRDefault="00E80585" w:rsidP="00E80585">
      <w:pPr>
        <w:spacing w:after="0" w:line="240" w:lineRule="auto"/>
        <w:ind w:left="720" w:right="720"/>
        <w:jc w:val="center"/>
        <w:rPr>
          <w:rFonts w:ascii="Times New Roman" w:eastAsia="Times New Roman" w:hAnsi="Times New Roman" w:cs="Times New Roman"/>
          <w:i/>
          <w:iCs/>
          <w:sz w:val="18"/>
          <w:szCs w:val="18"/>
        </w:rPr>
      </w:pPr>
      <w:r w:rsidRPr="00B71313">
        <w:rPr>
          <w:rFonts w:ascii="Times New Roman" w:eastAsia="Times New Roman" w:hAnsi="Times New Roman" w:cs="Times New Roman"/>
          <w:i/>
          <w:iCs/>
          <w:sz w:val="18"/>
          <w:szCs w:val="18"/>
        </w:rPr>
        <w:t>Statistically significant at *** p&lt;0.01, ** p&lt;0.05, * p&lt;0.1</w:t>
      </w:r>
    </w:p>
    <w:p w14:paraId="36FA9268" w14:textId="77777777" w:rsidR="00F82BE2" w:rsidRPr="009C67FA" w:rsidRDefault="00F82BE2" w:rsidP="009C67FA">
      <w:pPr>
        <w:spacing w:after="0" w:line="480" w:lineRule="auto"/>
        <w:ind w:firstLine="720"/>
        <w:jc w:val="center"/>
        <w:rPr>
          <w:rFonts w:ascii="Times New Roman" w:eastAsia="Times New Roman" w:hAnsi="Times New Roman" w:cs="Times New Roman"/>
          <w:i/>
          <w:iCs/>
        </w:rPr>
      </w:pPr>
    </w:p>
    <w:p w14:paraId="1D9F2312" w14:textId="43FE4159" w:rsidR="00705225" w:rsidRPr="001F398F" w:rsidRDefault="00705225" w:rsidP="00BF4F1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705225">
        <w:rPr>
          <w:rFonts w:ascii="Times New Roman" w:eastAsia="Times New Roman" w:hAnsi="Times New Roman" w:cs="Times New Roman"/>
          <w:i/>
          <w:iCs/>
          <w:sz w:val="24"/>
          <w:szCs w:val="24"/>
        </w:rPr>
        <w:t>Table 3</w:t>
      </w:r>
      <w:r>
        <w:rPr>
          <w:rFonts w:ascii="Times New Roman" w:eastAsia="Times New Roman" w:hAnsi="Times New Roman" w:cs="Times New Roman"/>
          <w:i/>
          <w:iCs/>
          <w:sz w:val="24"/>
          <w:szCs w:val="24"/>
        </w:rPr>
        <w:t xml:space="preserve">, </w:t>
      </w:r>
      <w:r w:rsidR="001F398F">
        <w:rPr>
          <w:rFonts w:ascii="Times New Roman" w:eastAsia="Times New Roman" w:hAnsi="Times New Roman" w:cs="Times New Roman"/>
          <w:sz w:val="24"/>
          <w:szCs w:val="24"/>
        </w:rPr>
        <w:t xml:space="preserve">unlike in the original study, </w:t>
      </w:r>
      <w:r w:rsidR="00B77824">
        <w:rPr>
          <w:rFonts w:ascii="Times New Roman" w:eastAsia="Times New Roman" w:hAnsi="Times New Roman" w:cs="Times New Roman"/>
          <w:sz w:val="24"/>
          <w:szCs w:val="24"/>
        </w:rPr>
        <w:t xml:space="preserve">in column 1, </w:t>
      </w:r>
      <w:r w:rsidR="00A44D92">
        <w:rPr>
          <w:rFonts w:ascii="Times New Roman" w:eastAsia="Times New Roman" w:hAnsi="Times New Roman" w:cs="Times New Roman"/>
          <w:sz w:val="24"/>
          <w:szCs w:val="24"/>
        </w:rPr>
        <w:t>the coe</w:t>
      </w:r>
      <w:r w:rsidR="007611AB">
        <w:rPr>
          <w:rFonts w:ascii="Times New Roman" w:eastAsia="Times New Roman" w:hAnsi="Times New Roman" w:cs="Times New Roman"/>
          <w:sz w:val="24"/>
          <w:szCs w:val="24"/>
        </w:rPr>
        <w:t xml:space="preserve">fficients </w:t>
      </w:r>
      <w:r w:rsidR="007168C9">
        <w:rPr>
          <w:rFonts w:ascii="Times New Roman" w:eastAsia="Times New Roman" w:hAnsi="Times New Roman" w:cs="Times New Roman"/>
          <w:sz w:val="24"/>
          <w:szCs w:val="24"/>
        </w:rPr>
        <w:t>on ln(pH – 5.675)</w:t>
      </w:r>
      <w:r w:rsidR="004E71CC">
        <w:rPr>
          <w:rFonts w:ascii="Times New Roman" w:eastAsia="Times New Roman" w:hAnsi="Times New Roman" w:cs="Times New Roman"/>
          <w:sz w:val="24"/>
          <w:szCs w:val="24"/>
        </w:rPr>
        <w:t>,</w:t>
      </w:r>
      <w:r w:rsidR="007168C9">
        <w:rPr>
          <w:rFonts w:ascii="Times New Roman" w:eastAsia="Times New Roman" w:hAnsi="Times New Roman" w:cs="Times New Roman"/>
          <w:sz w:val="24"/>
          <w:szCs w:val="24"/>
        </w:rPr>
        <w:t xml:space="preserve"> ln(hardness)</w:t>
      </w:r>
      <w:r w:rsidR="004E71CC">
        <w:rPr>
          <w:rFonts w:ascii="Times New Roman" w:eastAsia="Times New Roman" w:hAnsi="Times New Roman" w:cs="Times New Roman"/>
          <w:sz w:val="24"/>
          <w:szCs w:val="24"/>
        </w:rPr>
        <w:t xml:space="preserve"> and </w:t>
      </w:r>
      <w:r w:rsidR="000557F0">
        <w:rPr>
          <w:rFonts w:ascii="Times New Roman" w:eastAsia="Times New Roman" w:hAnsi="Times New Roman" w:cs="Times New Roman"/>
          <w:sz w:val="24"/>
          <w:szCs w:val="24"/>
        </w:rPr>
        <w:t>typhoid</w:t>
      </w:r>
      <w:r w:rsidR="007168C9">
        <w:rPr>
          <w:rFonts w:ascii="Times New Roman" w:eastAsia="Times New Roman" w:hAnsi="Times New Roman" w:cs="Times New Roman"/>
          <w:sz w:val="24"/>
          <w:szCs w:val="24"/>
        </w:rPr>
        <w:t xml:space="preserve"> are statistically significant. </w:t>
      </w:r>
      <w:r w:rsidR="00220FB7">
        <w:rPr>
          <w:rFonts w:ascii="Times New Roman" w:eastAsia="Times New Roman" w:hAnsi="Times New Roman" w:cs="Times New Roman"/>
          <w:sz w:val="24"/>
          <w:szCs w:val="24"/>
        </w:rPr>
        <w:t>The coefficient on population remains statistically significant, which suggests</w:t>
      </w:r>
      <w:r w:rsidR="007551B2">
        <w:rPr>
          <w:rFonts w:ascii="Times New Roman" w:eastAsia="Times New Roman" w:hAnsi="Times New Roman" w:cs="Times New Roman"/>
          <w:sz w:val="24"/>
          <w:szCs w:val="24"/>
        </w:rPr>
        <w:t xml:space="preserve"> population affects the choice of using lead pipes</w:t>
      </w:r>
      <w:r w:rsidR="00B0437D">
        <w:rPr>
          <w:rFonts w:ascii="Times New Roman" w:eastAsia="Times New Roman" w:hAnsi="Times New Roman" w:cs="Times New Roman"/>
          <w:sz w:val="24"/>
          <w:szCs w:val="24"/>
        </w:rPr>
        <w:t xml:space="preserve">. However, in column 2, </w:t>
      </w:r>
      <w:r w:rsidR="00F202E2">
        <w:rPr>
          <w:rFonts w:ascii="Times New Roman" w:eastAsia="Times New Roman" w:hAnsi="Times New Roman" w:cs="Times New Roman"/>
          <w:sz w:val="24"/>
          <w:szCs w:val="24"/>
        </w:rPr>
        <w:t xml:space="preserve">the results </w:t>
      </w:r>
      <w:r w:rsidR="00E3697E">
        <w:rPr>
          <w:rFonts w:ascii="Times New Roman" w:eastAsia="Times New Roman" w:hAnsi="Times New Roman" w:cs="Times New Roman"/>
          <w:sz w:val="24"/>
          <w:szCs w:val="24"/>
        </w:rPr>
        <w:t xml:space="preserve">are much different compared to </w:t>
      </w:r>
      <w:r w:rsidR="005E241D">
        <w:rPr>
          <w:rFonts w:ascii="Times New Roman" w:eastAsia="Times New Roman" w:hAnsi="Times New Roman" w:cs="Times New Roman"/>
          <w:sz w:val="24"/>
          <w:szCs w:val="24"/>
        </w:rPr>
        <w:t xml:space="preserve">column 1 as R-squared are </w:t>
      </w:r>
      <w:r w:rsidR="006127FB">
        <w:rPr>
          <w:rFonts w:ascii="Times New Roman" w:eastAsia="Times New Roman" w:hAnsi="Times New Roman" w:cs="Times New Roman"/>
          <w:sz w:val="24"/>
          <w:szCs w:val="24"/>
        </w:rPr>
        <w:t>larger, which suggests that the model in column 2 is a better fit</w:t>
      </w:r>
      <w:r w:rsidR="004D5E16">
        <w:rPr>
          <w:rFonts w:ascii="Times New Roman" w:eastAsia="Times New Roman" w:hAnsi="Times New Roman" w:cs="Times New Roman"/>
          <w:sz w:val="24"/>
          <w:szCs w:val="24"/>
        </w:rPr>
        <w:t xml:space="preserve">, as we exclude ln(pH – 5.675) from the </w:t>
      </w:r>
      <w:r w:rsidR="008F0C83">
        <w:rPr>
          <w:rFonts w:ascii="Times New Roman" w:eastAsia="Times New Roman" w:hAnsi="Times New Roman" w:cs="Times New Roman"/>
          <w:sz w:val="24"/>
          <w:szCs w:val="24"/>
        </w:rPr>
        <w:t xml:space="preserve">model and </w:t>
      </w:r>
      <w:r w:rsidR="00C04045">
        <w:rPr>
          <w:rFonts w:ascii="Times New Roman" w:eastAsia="Times New Roman" w:hAnsi="Times New Roman" w:cs="Times New Roman"/>
          <w:sz w:val="24"/>
          <w:szCs w:val="24"/>
        </w:rPr>
        <w:t xml:space="preserve">only include cities with pH </w:t>
      </w:r>
      <m:oMath>
        <m:r>
          <w:rPr>
            <w:rStyle w:val="fontstyle01"/>
            <w:rFonts w:ascii="Cambria Math" w:hAnsi="Cambria Math"/>
          </w:rPr>
          <m:t>≤</m:t>
        </m:r>
        <m:r>
          <w:rPr>
            <w:rStyle w:val="fontstyle01"/>
            <w:rFonts w:ascii="Cambria Math" w:eastAsiaTheme="minorEastAsia" w:hAnsi="Cambria Math"/>
          </w:rPr>
          <m:t xml:space="preserve"> </m:t>
        </m:r>
      </m:oMath>
      <w:r w:rsidR="00C04045">
        <w:rPr>
          <w:rStyle w:val="fontstyle01"/>
          <w:rFonts w:eastAsiaTheme="minorEastAsia"/>
        </w:rPr>
        <w:t>7.3</w:t>
      </w:r>
      <w:r w:rsidR="00603DF9">
        <w:rPr>
          <w:rStyle w:val="fontstyle01"/>
          <w:rFonts w:eastAsiaTheme="minorEastAsia"/>
        </w:rPr>
        <w:t xml:space="preserve">. Coefficient for ln(hardness) becomes not statistically </w:t>
      </w:r>
      <w:r w:rsidR="002B6463">
        <w:rPr>
          <w:rStyle w:val="fontstyle01"/>
          <w:rFonts w:eastAsiaTheme="minorEastAsia"/>
        </w:rPr>
        <w:t>significant</w:t>
      </w:r>
      <w:r w:rsidR="002814DD">
        <w:rPr>
          <w:rStyle w:val="fontstyle01"/>
          <w:rFonts w:eastAsiaTheme="minorEastAsia"/>
        </w:rPr>
        <w:t xml:space="preserve">, </w:t>
      </w:r>
      <w:r w:rsidR="006F2189">
        <w:rPr>
          <w:rStyle w:val="fontstyle01"/>
          <w:rFonts w:eastAsiaTheme="minorEastAsia"/>
        </w:rPr>
        <w:t xml:space="preserve">while coefficients for </w:t>
      </w:r>
      <w:r w:rsidR="006F2189" w:rsidRPr="006F2189">
        <w:rPr>
          <w:rStyle w:val="fontstyle01"/>
          <w:rFonts w:eastAsiaTheme="minorEastAsia"/>
        </w:rPr>
        <w:t>precipitation</w:t>
      </w:r>
      <w:r w:rsidR="006F2189">
        <w:rPr>
          <w:rStyle w:val="fontstyle01"/>
          <w:rFonts w:eastAsiaTheme="minorEastAsia"/>
        </w:rPr>
        <w:t xml:space="preserve"> and temperature </w:t>
      </w:r>
      <w:r w:rsidR="002B6463">
        <w:rPr>
          <w:rStyle w:val="fontstyle01"/>
          <w:rFonts w:eastAsiaTheme="minorEastAsia"/>
        </w:rPr>
        <w:t>become significant</w:t>
      </w:r>
      <w:r w:rsidR="00281D26">
        <w:rPr>
          <w:rStyle w:val="fontstyle01"/>
          <w:rFonts w:eastAsiaTheme="minorEastAsia"/>
        </w:rPr>
        <w:t xml:space="preserve">. </w:t>
      </w:r>
      <w:r w:rsidR="000557F0">
        <w:rPr>
          <w:rStyle w:val="fontstyle01"/>
          <w:rFonts w:eastAsiaTheme="minorEastAsia"/>
        </w:rPr>
        <w:t xml:space="preserve">The coefficient on population and typhoid remains significant. </w:t>
      </w:r>
      <w:r w:rsidR="00643228">
        <w:rPr>
          <w:rStyle w:val="fontstyle01"/>
          <w:rFonts w:eastAsiaTheme="minorEastAsia"/>
        </w:rPr>
        <w:t xml:space="preserve">In sum, </w:t>
      </w:r>
      <w:r w:rsidR="00F53990">
        <w:rPr>
          <w:rStyle w:val="fontstyle01"/>
          <w:rFonts w:eastAsiaTheme="minorEastAsia"/>
        </w:rPr>
        <w:t xml:space="preserve">the replication model is more </w:t>
      </w:r>
      <w:r w:rsidR="78E99D43" w:rsidRPr="1DCA90C9">
        <w:rPr>
          <w:rStyle w:val="fontstyle01"/>
          <w:rFonts w:eastAsiaTheme="minorEastAsia"/>
        </w:rPr>
        <w:t>comparable</w:t>
      </w:r>
      <w:r w:rsidR="00F53990">
        <w:rPr>
          <w:rStyle w:val="fontstyle01"/>
          <w:rFonts w:eastAsiaTheme="minorEastAsia"/>
        </w:rPr>
        <w:t xml:space="preserve"> </w:t>
      </w:r>
      <w:r w:rsidR="00C51526">
        <w:rPr>
          <w:rStyle w:val="fontstyle01"/>
          <w:rFonts w:eastAsiaTheme="minorEastAsia"/>
        </w:rPr>
        <w:t xml:space="preserve">to the original when only cities with </w:t>
      </w:r>
      <w:r w:rsidR="00C51526">
        <w:rPr>
          <w:rFonts w:ascii="Times New Roman" w:eastAsia="Times New Roman" w:hAnsi="Times New Roman" w:cs="Times New Roman"/>
          <w:sz w:val="24"/>
          <w:szCs w:val="24"/>
        </w:rPr>
        <w:t xml:space="preserve">pH </w:t>
      </w:r>
      <m:oMath>
        <m:r>
          <w:rPr>
            <w:rStyle w:val="fontstyle01"/>
            <w:rFonts w:ascii="Cambria Math" w:hAnsi="Cambria Math"/>
          </w:rPr>
          <m:t>≤</m:t>
        </m:r>
        <m:r>
          <w:rPr>
            <w:rStyle w:val="fontstyle01"/>
            <w:rFonts w:ascii="Cambria Math" w:eastAsiaTheme="minorEastAsia" w:hAnsi="Cambria Math"/>
          </w:rPr>
          <m:t xml:space="preserve"> </m:t>
        </m:r>
      </m:oMath>
      <w:r w:rsidR="00C51526">
        <w:rPr>
          <w:rStyle w:val="fontstyle01"/>
          <w:rFonts w:eastAsiaTheme="minorEastAsia"/>
        </w:rPr>
        <w:t xml:space="preserve">7.3 are </w:t>
      </w:r>
      <w:r w:rsidR="14AAE2C1" w:rsidRPr="5E994703">
        <w:rPr>
          <w:rStyle w:val="fontstyle01"/>
          <w:rFonts w:eastAsiaTheme="minorEastAsia"/>
        </w:rPr>
        <w:t>analyzed</w:t>
      </w:r>
      <w:r w:rsidR="00C51526">
        <w:rPr>
          <w:rStyle w:val="fontstyle01"/>
          <w:rFonts w:eastAsiaTheme="minorEastAsia"/>
        </w:rPr>
        <w:t xml:space="preserve">, as </w:t>
      </w:r>
      <w:r w:rsidR="00E40F9F">
        <w:rPr>
          <w:rStyle w:val="fontstyle01"/>
          <w:rFonts w:eastAsiaTheme="minorEastAsia"/>
        </w:rPr>
        <w:t xml:space="preserve">city size and </w:t>
      </w:r>
      <w:r w:rsidR="00E40F9F">
        <w:rPr>
          <w:rStyle w:val="fontstyle01"/>
          <w:rFonts w:eastAsiaTheme="minorEastAsia"/>
        </w:rPr>
        <w:lastRenderedPageBreak/>
        <w:t>temperature</w:t>
      </w:r>
      <w:r w:rsidR="006C6017">
        <w:rPr>
          <w:rStyle w:val="fontstyle01"/>
          <w:rFonts w:eastAsiaTheme="minorEastAsia"/>
        </w:rPr>
        <w:t>, and neither pH nor hardness, influence the choice of pipes; however, the model sug</w:t>
      </w:r>
      <w:r w:rsidR="00C32088">
        <w:rPr>
          <w:rStyle w:val="fontstyle01"/>
          <w:rFonts w:eastAsiaTheme="minorEastAsia"/>
        </w:rPr>
        <w:t>gests that the water quality (typhoid)</w:t>
      </w:r>
      <w:r w:rsidR="002A4EBA">
        <w:rPr>
          <w:rStyle w:val="fontstyle01"/>
          <w:rFonts w:eastAsiaTheme="minorEastAsia"/>
        </w:rPr>
        <w:t xml:space="preserve"> and precipitation can affect the choices. These differences can be </w:t>
      </w:r>
      <w:r w:rsidR="19F60817" w:rsidRPr="0707DDCF">
        <w:rPr>
          <w:rStyle w:val="fontstyle01"/>
          <w:rFonts w:eastAsiaTheme="minorEastAsia"/>
        </w:rPr>
        <w:t>partially</w:t>
      </w:r>
      <w:r w:rsidR="002A4EBA" w:rsidRPr="0707DDCF">
        <w:rPr>
          <w:rStyle w:val="fontstyle01"/>
          <w:rFonts w:eastAsiaTheme="minorEastAsia"/>
        </w:rPr>
        <w:t xml:space="preserve"> </w:t>
      </w:r>
      <w:r w:rsidR="79B60521" w:rsidRPr="0707DDCF">
        <w:rPr>
          <w:rStyle w:val="fontstyle01"/>
          <w:rFonts w:eastAsiaTheme="minorEastAsia"/>
        </w:rPr>
        <w:t>attributed</w:t>
      </w:r>
      <w:r w:rsidR="002A4EBA">
        <w:rPr>
          <w:rStyle w:val="fontstyle01"/>
          <w:rFonts w:eastAsiaTheme="minorEastAsia"/>
        </w:rPr>
        <w:t xml:space="preserve"> to the fact that city population isn’t divided into quartile and the region is not included in the data to </w:t>
      </w:r>
      <w:r w:rsidR="00A118FF">
        <w:rPr>
          <w:rStyle w:val="fontstyle01"/>
          <w:rFonts w:eastAsiaTheme="minorEastAsia"/>
        </w:rPr>
        <w:t>add them to the regression analysis.</w:t>
      </w:r>
    </w:p>
    <w:p w14:paraId="2B3872A9" w14:textId="037E1DB9" w:rsidR="00035BA4" w:rsidRPr="00437BC9" w:rsidRDefault="00437BC9" w:rsidP="1470DA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437BC9">
        <w:rPr>
          <w:rFonts w:ascii="Times New Roman" w:eastAsia="Times New Roman" w:hAnsi="Times New Roman" w:cs="Times New Roman"/>
          <w:i/>
          <w:iCs/>
          <w:sz w:val="24"/>
          <w:szCs w:val="24"/>
        </w:rPr>
        <w:t>Table 4</w:t>
      </w:r>
      <w:r>
        <w:rPr>
          <w:rFonts w:ascii="Times New Roman" w:eastAsia="Times New Roman" w:hAnsi="Times New Roman" w:cs="Times New Roman"/>
          <w:sz w:val="24"/>
          <w:szCs w:val="24"/>
        </w:rPr>
        <w:t>, it is not</w:t>
      </w:r>
      <w:r w:rsidR="058EB36D">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that the inclusion of demographics and other controls significantly improved R-squared, which is the </w:t>
      </w:r>
      <w:r w:rsidR="171BB002">
        <w:rPr>
          <w:rFonts w:ascii="Times New Roman" w:eastAsia="Times New Roman" w:hAnsi="Times New Roman" w:cs="Times New Roman"/>
          <w:sz w:val="24"/>
          <w:szCs w:val="24"/>
        </w:rPr>
        <w:t>explanatory</w:t>
      </w:r>
      <w:r>
        <w:rPr>
          <w:rFonts w:ascii="Times New Roman" w:eastAsia="Times New Roman" w:hAnsi="Times New Roman" w:cs="Times New Roman"/>
          <w:sz w:val="24"/>
          <w:szCs w:val="24"/>
        </w:rPr>
        <w:t xml:space="preserve"> power of the model</w:t>
      </w:r>
      <w:r w:rsidR="002440CA">
        <w:rPr>
          <w:rFonts w:ascii="Times New Roman" w:eastAsia="Times New Roman" w:hAnsi="Times New Roman" w:cs="Times New Roman"/>
          <w:sz w:val="24"/>
          <w:szCs w:val="24"/>
        </w:rPr>
        <w:t>: R-squared jumps from 0.231 in column 1 to over 0.4</w:t>
      </w:r>
      <w:r w:rsidR="00421044">
        <w:rPr>
          <w:rFonts w:ascii="Times New Roman" w:eastAsia="Times New Roman" w:hAnsi="Times New Roman" w:cs="Times New Roman"/>
          <w:sz w:val="24"/>
          <w:szCs w:val="24"/>
        </w:rPr>
        <w:t xml:space="preserve"> in the next three columns. </w:t>
      </w:r>
      <w:r w:rsidR="00625F75">
        <w:rPr>
          <w:rFonts w:ascii="Times New Roman" w:eastAsia="Times New Roman" w:hAnsi="Times New Roman" w:cs="Times New Roman"/>
          <w:sz w:val="24"/>
          <w:szCs w:val="24"/>
        </w:rPr>
        <w:t xml:space="preserve">The inclusion of </w:t>
      </w:r>
      <w:r w:rsidR="00FD5B98">
        <w:rPr>
          <w:rFonts w:ascii="Times New Roman" w:eastAsia="Times New Roman" w:hAnsi="Times New Roman" w:cs="Times New Roman"/>
          <w:sz w:val="24"/>
          <w:szCs w:val="24"/>
        </w:rPr>
        <w:t>n</w:t>
      </w:r>
      <w:r w:rsidR="00625F75" w:rsidRPr="00625F75">
        <w:rPr>
          <w:rFonts w:ascii="Times New Roman" w:eastAsia="Times New Roman" w:hAnsi="Times New Roman" w:cs="Times New Roman"/>
          <w:sz w:val="24"/>
          <w:szCs w:val="24"/>
        </w:rPr>
        <w:t>onpulmonary tuberculosis</w:t>
      </w:r>
      <w:r w:rsidR="00FD5B98">
        <w:rPr>
          <w:rFonts w:ascii="Times New Roman" w:eastAsia="Times New Roman" w:hAnsi="Times New Roman" w:cs="Times New Roman"/>
          <w:sz w:val="24"/>
          <w:szCs w:val="24"/>
        </w:rPr>
        <w:t xml:space="preserve"> and typhoid in the model of column 3 also slightly improve the </w:t>
      </w:r>
      <w:r w:rsidR="001A68B9">
        <w:rPr>
          <w:rFonts w:ascii="Times New Roman" w:eastAsia="Times New Roman" w:hAnsi="Times New Roman" w:cs="Times New Roman"/>
          <w:sz w:val="24"/>
          <w:szCs w:val="24"/>
        </w:rPr>
        <w:t>fit of the regressions</w:t>
      </w:r>
      <w:r w:rsidR="00F443F0">
        <w:rPr>
          <w:rFonts w:ascii="Times New Roman" w:eastAsia="Times New Roman" w:hAnsi="Times New Roman" w:cs="Times New Roman"/>
          <w:sz w:val="24"/>
          <w:szCs w:val="24"/>
        </w:rPr>
        <w:t xml:space="preserve"> as R-squared increases from </w:t>
      </w:r>
      <w:r w:rsidR="00D851B1">
        <w:rPr>
          <w:rFonts w:ascii="Times New Roman" w:eastAsia="Times New Roman" w:hAnsi="Times New Roman" w:cs="Times New Roman"/>
          <w:sz w:val="24"/>
          <w:szCs w:val="24"/>
        </w:rPr>
        <w:t xml:space="preserve">0.423 in column 2 to 0.487 </w:t>
      </w:r>
      <w:r w:rsidR="00AF694F">
        <w:rPr>
          <w:rFonts w:ascii="Times New Roman" w:eastAsia="Times New Roman" w:hAnsi="Times New Roman" w:cs="Times New Roman"/>
          <w:sz w:val="24"/>
          <w:szCs w:val="24"/>
        </w:rPr>
        <w:t>in column 3</w:t>
      </w:r>
      <w:r w:rsidR="00FD5B98">
        <w:rPr>
          <w:rFonts w:ascii="Times New Roman" w:eastAsia="Times New Roman" w:hAnsi="Times New Roman" w:cs="Times New Roman"/>
          <w:sz w:val="24"/>
          <w:szCs w:val="24"/>
        </w:rPr>
        <w:t>. This</w:t>
      </w:r>
      <w:r w:rsidR="00AF694F">
        <w:rPr>
          <w:rFonts w:ascii="Times New Roman" w:eastAsia="Times New Roman" w:hAnsi="Times New Roman" w:cs="Times New Roman"/>
          <w:sz w:val="24"/>
          <w:szCs w:val="24"/>
        </w:rPr>
        <w:t xml:space="preserve"> trend</w:t>
      </w:r>
      <w:r w:rsidR="00FD5B98">
        <w:rPr>
          <w:rFonts w:ascii="Times New Roman" w:eastAsia="Times New Roman" w:hAnsi="Times New Roman" w:cs="Times New Roman"/>
          <w:sz w:val="24"/>
          <w:szCs w:val="24"/>
        </w:rPr>
        <w:t xml:space="preserve"> </w:t>
      </w:r>
      <w:r w:rsidR="001A68B9">
        <w:rPr>
          <w:rFonts w:ascii="Times New Roman" w:eastAsia="Times New Roman" w:hAnsi="Times New Roman" w:cs="Times New Roman"/>
          <w:sz w:val="24"/>
          <w:szCs w:val="24"/>
        </w:rPr>
        <w:t xml:space="preserve">is similar to what </w:t>
      </w:r>
      <w:r w:rsidR="00041A22">
        <w:rPr>
          <w:rFonts w:ascii="Times New Roman" w:eastAsia="Times New Roman" w:hAnsi="Times New Roman" w:cs="Times New Roman"/>
          <w:sz w:val="24"/>
          <w:szCs w:val="24"/>
        </w:rPr>
        <w:t>the original report observe</w:t>
      </w:r>
      <w:r w:rsidR="008E1BD0">
        <w:rPr>
          <w:rFonts w:ascii="Times New Roman" w:eastAsia="Times New Roman" w:hAnsi="Times New Roman" w:cs="Times New Roman"/>
          <w:sz w:val="24"/>
          <w:szCs w:val="24"/>
        </w:rPr>
        <w:t>s</w:t>
      </w:r>
      <w:r w:rsidR="00041A22">
        <w:rPr>
          <w:rFonts w:ascii="Times New Roman" w:eastAsia="Times New Roman" w:hAnsi="Times New Roman" w:cs="Times New Roman"/>
          <w:sz w:val="24"/>
          <w:szCs w:val="24"/>
        </w:rPr>
        <w:t>.</w:t>
      </w:r>
      <w:r w:rsidR="00C92542">
        <w:rPr>
          <w:rFonts w:ascii="Times New Roman" w:eastAsia="Times New Roman" w:hAnsi="Times New Roman" w:cs="Times New Roman"/>
          <w:sz w:val="24"/>
          <w:szCs w:val="24"/>
        </w:rPr>
        <w:t xml:space="preserve"> </w:t>
      </w:r>
      <w:r w:rsidR="00656ED2">
        <w:rPr>
          <w:rFonts w:ascii="Times New Roman" w:eastAsia="Times New Roman" w:hAnsi="Times New Roman" w:cs="Times New Roman"/>
          <w:sz w:val="24"/>
          <w:szCs w:val="24"/>
        </w:rPr>
        <w:t>Also, the coefficients for lead</w:t>
      </w:r>
      <w:r w:rsidR="00175A50">
        <w:rPr>
          <w:rFonts w:ascii="Times New Roman" w:eastAsia="Times New Roman" w:hAnsi="Times New Roman" w:cs="Times New Roman"/>
          <w:sz w:val="24"/>
          <w:szCs w:val="24"/>
        </w:rPr>
        <w:t>, typhoid</w:t>
      </w:r>
      <w:r w:rsidR="00656ED2">
        <w:rPr>
          <w:rFonts w:ascii="Times New Roman" w:eastAsia="Times New Roman" w:hAnsi="Times New Roman" w:cs="Times New Roman"/>
          <w:sz w:val="24"/>
          <w:szCs w:val="24"/>
        </w:rPr>
        <w:t xml:space="preserve"> </w:t>
      </w:r>
      <w:r w:rsidR="002376F1">
        <w:rPr>
          <w:rFonts w:ascii="Times New Roman" w:eastAsia="Times New Roman" w:hAnsi="Times New Roman" w:cs="Times New Roman"/>
          <w:sz w:val="24"/>
          <w:szCs w:val="24"/>
        </w:rPr>
        <w:t>and l</w:t>
      </w:r>
      <w:r w:rsidR="002376F1" w:rsidRPr="00E46A19">
        <w:rPr>
          <w:rFonts w:ascii="Times New Roman" w:eastAsia="Times New Roman" w:hAnsi="Times New Roman" w:cs="Times New Roman"/>
          <w:sz w:val="24"/>
          <w:szCs w:val="24"/>
        </w:rPr>
        <w:t xml:space="preserve">ead </w:t>
      </w:r>
      <m:oMath>
        <m:r>
          <w:rPr>
            <w:rFonts w:ascii="Cambria Math" w:eastAsia="Times New Roman" w:hAnsi="Cambria Math" w:cs="Times New Roman"/>
            <w:sz w:val="24"/>
            <w:szCs w:val="24"/>
          </w:rPr>
          <m:t>×</m:t>
        </m:r>
      </m:oMath>
      <w:r w:rsidR="002376F1" w:rsidRPr="00E46A19">
        <w:rPr>
          <w:rFonts w:ascii="Times New Roman" w:eastAsia="Times New Roman" w:hAnsi="Times New Roman" w:cs="Times New Roman"/>
          <w:sz w:val="24"/>
          <w:szCs w:val="24"/>
        </w:rPr>
        <w:t xml:space="preserve"> ln(pH – 5.675)</w:t>
      </w:r>
      <w:r w:rsidR="00175A50">
        <w:rPr>
          <w:rFonts w:ascii="Times New Roman" w:eastAsia="Times New Roman" w:hAnsi="Times New Roman" w:cs="Times New Roman"/>
          <w:sz w:val="24"/>
          <w:szCs w:val="24"/>
        </w:rPr>
        <w:t xml:space="preserve"> remains statistically significant, which suggests that those variables affect </w:t>
      </w:r>
      <w:r w:rsidR="000D24AE">
        <w:rPr>
          <w:rFonts w:ascii="Times New Roman" w:eastAsia="Times New Roman" w:hAnsi="Times New Roman" w:cs="Times New Roman"/>
          <w:sz w:val="24"/>
          <w:szCs w:val="24"/>
        </w:rPr>
        <w:t>infant mortality.</w:t>
      </w:r>
      <w:r w:rsidR="00C82FEF">
        <w:rPr>
          <w:rFonts w:ascii="Times New Roman" w:eastAsia="Times New Roman" w:hAnsi="Times New Roman" w:cs="Times New Roman"/>
          <w:sz w:val="24"/>
          <w:szCs w:val="24"/>
        </w:rPr>
        <w:t xml:space="preserve"> However, there are still differences from the </w:t>
      </w:r>
      <w:r w:rsidR="00AF694F">
        <w:rPr>
          <w:rFonts w:ascii="Times New Roman" w:eastAsia="Times New Roman" w:hAnsi="Times New Roman" w:cs="Times New Roman"/>
          <w:sz w:val="24"/>
          <w:szCs w:val="24"/>
        </w:rPr>
        <w:t xml:space="preserve">original report’s </w:t>
      </w:r>
      <w:r w:rsidR="00C82FEF">
        <w:rPr>
          <w:rFonts w:ascii="Times New Roman" w:eastAsia="Times New Roman" w:hAnsi="Times New Roman" w:cs="Times New Roman"/>
          <w:sz w:val="24"/>
          <w:szCs w:val="24"/>
        </w:rPr>
        <w:t>regression</w:t>
      </w:r>
      <w:r w:rsidR="000D24AE">
        <w:rPr>
          <w:rFonts w:ascii="Times New Roman" w:eastAsia="Times New Roman" w:hAnsi="Times New Roman" w:cs="Times New Roman"/>
          <w:sz w:val="24"/>
          <w:szCs w:val="24"/>
        </w:rPr>
        <w:t xml:space="preserve"> </w:t>
      </w:r>
      <w:r w:rsidR="00071993">
        <w:rPr>
          <w:rFonts w:ascii="Times New Roman" w:eastAsia="Times New Roman" w:hAnsi="Times New Roman" w:cs="Times New Roman"/>
          <w:sz w:val="24"/>
          <w:szCs w:val="24"/>
        </w:rPr>
        <w:t>as</w:t>
      </w:r>
      <w:r w:rsidR="00AF694F">
        <w:rPr>
          <w:rFonts w:ascii="Times New Roman" w:eastAsia="Times New Roman" w:hAnsi="Times New Roman" w:cs="Times New Roman"/>
          <w:sz w:val="24"/>
          <w:szCs w:val="24"/>
        </w:rPr>
        <w:t xml:space="preserve"> </w:t>
      </w:r>
      <w:r w:rsidR="006D0704" w:rsidRPr="006D0704">
        <w:rPr>
          <w:rFonts w:ascii="Times New Roman" w:eastAsia="Times New Roman" w:hAnsi="Times New Roman" w:cs="Times New Roman"/>
          <w:sz w:val="24"/>
          <w:szCs w:val="24"/>
        </w:rPr>
        <w:t>ln(pH – 5.675)</w:t>
      </w:r>
      <w:r w:rsidR="00586B10">
        <w:rPr>
          <w:rFonts w:ascii="Times New Roman" w:eastAsia="Times New Roman" w:hAnsi="Times New Roman" w:cs="Times New Roman"/>
          <w:sz w:val="24"/>
          <w:szCs w:val="24"/>
        </w:rPr>
        <w:t xml:space="preserve"> and n</w:t>
      </w:r>
      <w:r w:rsidR="00586B10" w:rsidRPr="00586B10">
        <w:rPr>
          <w:rFonts w:ascii="Times New Roman" w:eastAsia="Times New Roman" w:hAnsi="Times New Roman" w:cs="Times New Roman"/>
          <w:sz w:val="24"/>
          <w:szCs w:val="24"/>
        </w:rPr>
        <w:t>onpulmonary tuberculosis</w:t>
      </w:r>
      <w:r w:rsidR="00586B10">
        <w:rPr>
          <w:rFonts w:ascii="Times New Roman" w:eastAsia="Times New Roman" w:hAnsi="Times New Roman" w:cs="Times New Roman"/>
          <w:sz w:val="24"/>
          <w:szCs w:val="24"/>
        </w:rPr>
        <w:t xml:space="preserve"> becomes </w:t>
      </w:r>
      <w:r w:rsidR="00947992">
        <w:rPr>
          <w:rFonts w:ascii="Times New Roman" w:eastAsia="Times New Roman" w:hAnsi="Times New Roman" w:cs="Times New Roman"/>
          <w:sz w:val="24"/>
          <w:szCs w:val="24"/>
        </w:rPr>
        <w:t>significant.</w:t>
      </w:r>
      <w:r w:rsidR="00184793">
        <w:rPr>
          <w:rFonts w:ascii="Times New Roman" w:eastAsia="Times New Roman" w:hAnsi="Times New Roman" w:cs="Times New Roman"/>
          <w:sz w:val="24"/>
          <w:szCs w:val="24"/>
        </w:rPr>
        <w:t xml:space="preserve"> But overall, the regression table</w:t>
      </w:r>
      <w:r w:rsidR="0080341C">
        <w:rPr>
          <w:rFonts w:ascii="Times New Roman" w:eastAsia="Times New Roman" w:hAnsi="Times New Roman" w:cs="Times New Roman"/>
          <w:sz w:val="24"/>
          <w:szCs w:val="24"/>
        </w:rPr>
        <w:t xml:space="preserve"> here </w:t>
      </w:r>
      <w:r w:rsidR="001137DB">
        <w:rPr>
          <w:rFonts w:ascii="Times New Roman" w:eastAsia="Times New Roman" w:hAnsi="Times New Roman" w:cs="Times New Roman"/>
          <w:sz w:val="24"/>
          <w:szCs w:val="24"/>
        </w:rPr>
        <w:t xml:space="preserve">fits most of </w:t>
      </w:r>
      <w:r w:rsidR="00D015F7">
        <w:rPr>
          <w:rFonts w:ascii="Times New Roman" w:eastAsia="Times New Roman" w:hAnsi="Times New Roman" w:cs="Times New Roman"/>
          <w:sz w:val="24"/>
          <w:szCs w:val="24"/>
        </w:rPr>
        <w:t>what the original paper reports</w:t>
      </w:r>
      <w:r w:rsidR="00D06471">
        <w:rPr>
          <w:rFonts w:ascii="Times New Roman" w:eastAsia="Times New Roman" w:hAnsi="Times New Roman" w:cs="Times New Roman"/>
          <w:sz w:val="24"/>
          <w:szCs w:val="24"/>
        </w:rPr>
        <w:t xml:space="preserve"> that </w:t>
      </w:r>
      <w:r w:rsidR="006B6447">
        <w:rPr>
          <w:rFonts w:ascii="Times New Roman" w:eastAsia="Times New Roman" w:hAnsi="Times New Roman" w:cs="Times New Roman"/>
          <w:sz w:val="24"/>
          <w:szCs w:val="24"/>
        </w:rPr>
        <w:t xml:space="preserve">lead pipes and low pH were associated </w:t>
      </w:r>
      <w:r w:rsidR="009F7F55">
        <w:rPr>
          <w:rFonts w:ascii="Times New Roman" w:eastAsia="Times New Roman" w:hAnsi="Times New Roman" w:cs="Times New Roman"/>
          <w:sz w:val="24"/>
          <w:szCs w:val="24"/>
        </w:rPr>
        <w:t xml:space="preserve">with </w:t>
      </w:r>
      <w:r w:rsidR="00DA3B3F" w:rsidRPr="00DA3B3F">
        <w:rPr>
          <w:rFonts w:ascii="Times New Roman" w:eastAsia="Times New Roman" w:hAnsi="Times New Roman" w:cs="Times New Roman"/>
          <w:sz w:val="24"/>
          <w:szCs w:val="24"/>
        </w:rPr>
        <w:t>higher city-level infant mortality</w:t>
      </w:r>
      <w:r w:rsidR="00D015F7">
        <w:rPr>
          <w:rFonts w:ascii="Times New Roman" w:eastAsia="Times New Roman" w:hAnsi="Times New Roman" w:cs="Times New Roman"/>
          <w:sz w:val="24"/>
          <w:szCs w:val="24"/>
        </w:rPr>
        <w:t xml:space="preserve">, even though there are differences which can be blamed to </w:t>
      </w:r>
      <w:r w:rsidR="00FF7F8C">
        <w:rPr>
          <w:rFonts w:ascii="Times New Roman" w:eastAsia="Times New Roman" w:hAnsi="Times New Roman" w:cs="Times New Roman"/>
          <w:sz w:val="24"/>
          <w:szCs w:val="24"/>
        </w:rPr>
        <w:t>the fact th</w:t>
      </w:r>
      <w:r w:rsidR="00815160">
        <w:rPr>
          <w:rFonts w:ascii="Times New Roman" w:eastAsia="Times New Roman" w:hAnsi="Times New Roman" w:cs="Times New Roman"/>
          <w:sz w:val="24"/>
          <w:szCs w:val="24"/>
        </w:rPr>
        <w:t xml:space="preserve">at many coefficients cannot be </w:t>
      </w:r>
      <w:r w:rsidR="003317AB">
        <w:rPr>
          <w:rFonts w:ascii="Times New Roman" w:eastAsia="Times New Roman" w:hAnsi="Times New Roman" w:cs="Times New Roman"/>
          <w:sz w:val="24"/>
          <w:szCs w:val="24"/>
        </w:rPr>
        <w:t>replicated,</w:t>
      </w:r>
      <w:r w:rsidR="00815160">
        <w:rPr>
          <w:rFonts w:ascii="Times New Roman" w:eastAsia="Times New Roman" w:hAnsi="Times New Roman" w:cs="Times New Roman"/>
          <w:sz w:val="24"/>
          <w:szCs w:val="24"/>
        </w:rPr>
        <w:t xml:space="preserve"> and lead variable is divided differently.</w:t>
      </w:r>
    </w:p>
    <w:p w14:paraId="150BF6F1" w14:textId="2F560A44" w:rsidR="3E696308" w:rsidRDefault="00093FFF" w:rsidP="1470DA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797E46E4" w:rsidRPr="1470DACA">
        <w:rPr>
          <w:rFonts w:ascii="Times New Roman" w:eastAsia="Times New Roman" w:hAnsi="Times New Roman" w:cs="Times New Roman"/>
          <w:sz w:val="24"/>
          <w:szCs w:val="24"/>
        </w:rPr>
        <w:t xml:space="preserve">n </w:t>
      </w:r>
      <w:r w:rsidR="797E46E4" w:rsidRPr="1470DACA">
        <w:rPr>
          <w:rFonts w:ascii="Times New Roman" w:eastAsia="Times New Roman" w:hAnsi="Times New Roman" w:cs="Times New Roman"/>
          <w:i/>
          <w:iCs/>
          <w:sz w:val="24"/>
          <w:szCs w:val="24"/>
        </w:rPr>
        <w:t>Table 5</w:t>
      </w:r>
      <w:r>
        <w:rPr>
          <w:rFonts w:ascii="Times New Roman" w:eastAsia="Times New Roman" w:hAnsi="Times New Roman" w:cs="Times New Roman"/>
          <w:i/>
          <w:iCs/>
          <w:sz w:val="24"/>
          <w:szCs w:val="24"/>
        </w:rPr>
        <w:t xml:space="preserve">, </w:t>
      </w:r>
      <w:r w:rsidR="69FB1F10" w:rsidRPr="73E550B8">
        <w:rPr>
          <w:rFonts w:ascii="Times New Roman" w:eastAsia="Times New Roman" w:hAnsi="Times New Roman" w:cs="Times New Roman"/>
          <w:sz w:val="24"/>
          <w:szCs w:val="24"/>
        </w:rPr>
        <w:t>clearly shows that the</w:t>
      </w:r>
      <w:r w:rsidR="7563F114" w:rsidRPr="1470DACA">
        <w:rPr>
          <w:rFonts w:ascii="Times New Roman" w:eastAsia="Times New Roman" w:hAnsi="Times New Roman" w:cs="Times New Roman"/>
          <w:sz w:val="24"/>
          <w:szCs w:val="24"/>
        </w:rPr>
        <w:t xml:space="preserve"> addition of the </w:t>
      </w:r>
      <w:r w:rsidR="629113DD" w:rsidRPr="1470DACA">
        <w:rPr>
          <w:rFonts w:ascii="Times New Roman" w:eastAsia="Times New Roman" w:hAnsi="Times New Roman" w:cs="Times New Roman"/>
          <w:sz w:val="24"/>
          <w:szCs w:val="24"/>
        </w:rPr>
        <w:t xml:space="preserve">other water </w:t>
      </w:r>
      <w:r w:rsidR="02FA9129" w:rsidRPr="1470DACA">
        <w:rPr>
          <w:rFonts w:ascii="Times New Roman" w:eastAsia="Times New Roman" w:hAnsi="Times New Roman" w:cs="Times New Roman"/>
          <w:sz w:val="24"/>
          <w:szCs w:val="24"/>
        </w:rPr>
        <w:t>characteristic</w:t>
      </w:r>
      <w:r w:rsidR="629113DD" w:rsidRPr="1470DACA">
        <w:rPr>
          <w:rFonts w:ascii="Times New Roman" w:eastAsia="Times New Roman" w:hAnsi="Times New Roman" w:cs="Times New Roman"/>
          <w:sz w:val="24"/>
          <w:szCs w:val="24"/>
        </w:rPr>
        <w:t xml:space="preserve"> </w:t>
      </w:r>
      <w:r w:rsidR="2A0E47E7" w:rsidRPr="1470DACA">
        <w:rPr>
          <w:rFonts w:ascii="Times New Roman" w:eastAsia="Times New Roman" w:hAnsi="Times New Roman" w:cs="Times New Roman"/>
          <w:sz w:val="24"/>
          <w:szCs w:val="24"/>
        </w:rPr>
        <w:t>variables such</w:t>
      </w:r>
      <w:r w:rsidR="7F45A229" w:rsidRPr="1470DACA">
        <w:rPr>
          <w:rFonts w:ascii="Times New Roman" w:eastAsia="Times New Roman" w:hAnsi="Times New Roman" w:cs="Times New Roman"/>
          <w:sz w:val="24"/>
          <w:szCs w:val="24"/>
        </w:rPr>
        <w:t xml:space="preserve"> as </w:t>
      </w:r>
      <w:r w:rsidR="7563F114" w:rsidRPr="1470DACA">
        <w:rPr>
          <w:rFonts w:ascii="Times New Roman" w:eastAsia="Times New Roman" w:hAnsi="Times New Roman" w:cs="Times New Roman"/>
          <w:sz w:val="24"/>
          <w:szCs w:val="24"/>
        </w:rPr>
        <w:t>hardness</w:t>
      </w:r>
      <w:r w:rsidR="60491FCB" w:rsidRPr="1470DACA">
        <w:rPr>
          <w:rFonts w:ascii="Times New Roman" w:eastAsia="Times New Roman" w:hAnsi="Times New Roman" w:cs="Times New Roman"/>
          <w:sz w:val="24"/>
          <w:szCs w:val="24"/>
        </w:rPr>
        <w:t xml:space="preserve"> help improve </w:t>
      </w:r>
      <w:r>
        <w:rPr>
          <w:rFonts w:ascii="Times New Roman" w:eastAsia="Times New Roman" w:hAnsi="Times New Roman" w:cs="Times New Roman"/>
          <w:sz w:val="24"/>
          <w:szCs w:val="24"/>
        </w:rPr>
        <w:t>the</w:t>
      </w:r>
      <w:r w:rsidR="60491FCB" w:rsidRPr="1470DACA">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s’</w:t>
      </w:r>
      <w:r w:rsidR="60491FCB" w:rsidRPr="1470DACA">
        <w:rPr>
          <w:rFonts w:ascii="Times New Roman" w:eastAsia="Times New Roman" w:hAnsi="Times New Roman" w:cs="Times New Roman"/>
          <w:sz w:val="24"/>
          <w:szCs w:val="24"/>
        </w:rPr>
        <w:t xml:space="preserve"> fit</w:t>
      </w:r>
      <w:r>
        <w:rPr>
          <w:rFonts w:ascii="Times New Roman" w:eastAsia="Times New Roman" w:hAnsi="Times New Roman" w:cs="Times New Roman"/>
          <w:sz w:val="24"/>
          <w:szCs w:val="24"/>
        </w:rPr>
        <w:t>ness</w:t>
      </w:r>
      <w:r w:rsidR="77CDE3AD" w:rsidRPr="1470DACA">
        <w:rPr>
          <w:rFonts w:ascii="Times New Roman" w:eastAsia="Times New Roman" w:hAnsi="Times New Roman" w:cs="Times New Roman"/>
          <w:sz w:val="24"/>
          <w:szCs w:val="24"/>
        </w:rPr>
        <w:t xml:space="preserve">. The </w:t>
      </w:r>
      <w:r w:rsidR="003C6795">
        <w:rPr>
          <w:rFonts w:ascii="Times New Roman" w:eastAsia="Times New Roman" w:hAnsi="Times New Roman" w:cs="Times New Roman"/>
          <w:sz w:val="24"/>
          <w:szCs w:val="24"/>
        </w:rPr>
        <w:t>R</w:t>
      </w:r>
      <w:r w:rsidR="77CDE3AD" w:rsidRPr="1470DACA">
        <w:rPr>
          <w:rFonts w:ascii="Times New Roman" w:eastAsia="Times New Roman" w:hAnsi="Times New Roman" w:cs="Times New Roman"/>
          <w:sz w:val="24"/>
          <w:szCs w:val="24"/>
        </w:rPr>
        <w:t>-squared observed increased from 29% up to 38.7%</w:t>
      </w:r>
      <w:r w:rsidR="00A63B8C">
        <w:rPr>
          <w:rFonts w:ascii="Times New Roman" w:eastAsia="Times New Roman" w:hAnsi="Times New Roman" w:cs="Times New Roman"/>
          <w:sz w:val="24"/>
          <w:szCs w:val="24"/>
        </w:rPr>
        <w:t>, which is a much more drastic increase compared to the original regression</w:t>
      </w:r>
      <w:r w:rsidR="4232851A" w:rsidRPr="6E954128">
        <w:rPr>
          <w:rFonts w:ascii="Times New Roman" w:eastAsia="Times New Roman" w:hAnsi="Times New Roman" w:cs="Times New Roman"/>
          <w:sz w:val="24"/>
          <w:szCs w:val="24"/>
        </w:rPr>
        <w:t>.</w:t>
      </w:r>
      <w:r w:rsidR="006E194D">
        <w:rPr>
          <w:rFonts w:ascii="Times New Roman" w:eastAsia="Times New Roman" w:hAnsi="Times New Roman" w:cs="Times New Roman"/>
          <w:sz w:val="24"/>
          <w:szCs w:val="24"/>
        </w:rPr>
        <w:t xml:space="preserve"> </w:t>
      </w:r>
      <w:r w:rsidR="4232851A" w:rsidRPr="21AB7DAD">
        <w:rPr>
          <w:rFonts w:ascii="Times New Roman" w:eastAsia="Times New Roman" w:hAnsi="Times New Roman" w:cs="Times New Roman"/>
          <w:sz w:val="24"/>
          <w:szCs w:val="24"/>
        </w:rPr>
        <w:t>However, the</w:t>
      </w:r>
      <w:r w:rsidR="006E194D">
        <w:rPr>
          <w:rFonts w:ascii="Times New Roman" w:eastAsia="Times New Roman" w:hAnsi="Times New Roman" w:cs="Times New Roman"/>
          <w:sz w:val="24"/>
          <w:szCs w:val="24"/>
        </w:rPr>
        <w:t xml:space="preserve"> R-squared of this model is much lower than </w:t>
      </w:r>
      <w:r w:rsidR="006E194D" w:rsidRPr="11E2A2E6">
        <w:rPr>
          <w:rFonts w:ascii="Times New Roman" w:eastAsia="Times New Roman" w:hAnsi="Times New Roman" w:cs="Times New Roman"/>
          <w:sz w:val="24"/>
          <w:szCs w:val="24"/>
        </w:rPr>
        <w:t>th</w:t>
      </w:r>
      <w:r w:rsidR="1BC26111" w:rsidRPr="11E2A2E6">
        <w:rPr>
          <w:rFonts w:ascii="Times New Roman" w:eastAsia="Times New Roman" w:hAnsi="Times New Roman" w:cs="Times New Roman"/>
          <w:sz w:val="24"/>
          <w:szCs w:val="24"/>
        </w:rPr>
        <w:t>at</w:t>
      </w:r>
      <w:r w:rsidR="006E194D">
        <w:rPr>
          <w:rFonts w:ascii="Times New Roman" w:eastAsia="Times New Roman" w:hAnsi="Times New Roman" w:cs="Times New Roman"/>
          <w:sz w:val="24"/>
          <w:szCs w:val="24"/>
        </w:rPr>
        <w:t xml:space="preserve"> </w:t>
      </w:r>
      <w:r w:rsidR="16517F23" w:rsidRPr="1D9663DD">
        <w:rPr>
          <w:rFonts w:ascii="Times New Roman" w:eastAsia="Times New Roman" w:hAnsi="Times New Roman" w:cs="Times New Roman"/>
          <w:sz w:val="24"/>
          <w:szCs w:val="24"/>
        </w:rPr>
        <w:t>in the</w:t>
      </w:r>
      <w:r w:rsidR="006E194D" w:rsidRPr="506B11CD">
        <w:rPr>
          <w:rFonts w:ascii="Times New Roman" w:eastAsia="Times New Roman" w:hAnsi="Times New Roman" w:cs="Times New Roman"/>
          <w:sz w:val="24"/>
          <w:szCs w:val="24"/>
        </w:rPr>
        <w:t xml:space="preserve"> </w:t>
      </w:r>
      <w:r w:rsidR="006E194D">
        <w:rPr>
          <w:rFonts w:ascii="Times New Roman" w:eastAsia="Times New Roman" w:hAnsi="Times New Roman" w:cs="Times New Roman"/>
          <w:sz w:val="24"/>
          <w:szCs w:val="24"/>
        </w:rPr>
        <w:t xml:space="preserve">original </w:t>
      </w:r>
      <w:r w:rsidR="006E194D" w:rsidRPr="3C9812B4">
        <w:rPr>
          <w:rFonts w:ascii="Times New Roman" w:eastAsia="Times New Roman" w:hAnsi="Times New Roman" w:cs="Times New Roman"/>
          <w:sz w:val="24"/>
          <w:szCs w:val="24"/>
        </w:rPr>
        <w:t>report</w:t>
      </w:r>
      <w:r w:rsidR="006E194D">
        <w:rPr>
          <w:rFonts w:ascii="Times New Roman" w:eastAsia="Times New Roman" w:hAnsi="Times New Roman" w:cs="Times New Roman"/>
          <w:sz w:val="24"/>
          <w:szCs w:val="24"/>
        </w:rPr>
        <w:t xml:space="preserve"> </w:t>
      </w:r>
      <w:r w:rsidR="003C6795">
        <w:rPr>
          <w:rFonts w:ascii="Times New Roman" w:eastAsia="Times New Roman" w:hAnsi="Times New Roman" w:cs="Times New Roman"/>
          <w:sz w:val="24"/>
          <w:szCs w:val="24"/>
        </w:rPr>
        <w:t>(which is more than 60%)</w:t>
      </w:r>
      <w:r w:rsidR="77CDE3AD" w:rsidRPr="1470DACA">
        <w:rPr>
          <w:rFonts w:ascii="Times New Roman" w:eastAsia="Times New Roman" w:hAnsi="Times New Roman" w:cs="Times New Roman"/>
          <w:sz w:val="24"/>
          <w:szCs w:val="24"/>
        </w:rPr>
        <w:t xml:space="preserve">. </w:t>
      </w:r>
      <w:r w:rsidR="004D3D12">
        <w:rPr>
          <w:rFonts w:ascii="Times New Roman" w:eastAsia="Times New Roman" w:hAnsi="Times New Roman" w:cs="Times New Roman"/>
          <w:sz w:val="24"/>
          <w:szCs w:val="24"/>
        </w:rPr>
        <w:t xml:space="preserve">In general, </w:t>
      </w:r>
      <w:r w:rsidR="00223F3B">
        <w:rPr>
          <w:rFonts w:ascii="Times New Roman" w:eastAsia="Times New Roman" w:hAnsi="Times New Roman" w:cs="Times New Roman"/>
          <w:sz w:val="24"/>
          <w:szCs w:val="24"/>
        </w:rPr>
        <w:t xml:space="preserve">this </w:t>
      </w:r>
      <w:r w:rsidR="001F13F7">
        <w:rPr>
          <w:rFonts w:ascii="Times New Roman" w:eastAsia="Times New Roman" w:hAnsi="Times New Roman" w:cs="Times New Roman"/>
          <w:sz w:val="24"/>
          <w:szCs w:val="24"/>
        </w:rPr>
        <w:t>table lines up with most of the regression results in the original paper</w:t>
      </w:r>
      <w:r w:rsidR="00844F75">
        <w:rPr>
          <w:rFonts w:ascii="Times New Roman" w:eastAsia="Times New Roman" w:hAnsi="Times New Roman" w:cs="Times New Roman"/>
          <w:sz w:val="24"/>
          <w:szCs w:val="24"/>
        </w:rPr>
        <w:t xml:space="preserve"> </w:t>
      </w:r>
      <w:r w:rsidR="00565C7A">
        <w:rPr>
          <w:rFonts w:ascii="Times New Roman" w:eastAsia="Times New Roman" w:hAnsi="Times New Roman" w:cs="Times New Roman"/>
          <w:sz w:val="24"/>
          <w:szCs w:val="24"/>
        </w:rPr>
        <w:t>that the use of lead</w:t>
      </w:r>
      <w:r w:rsidR="00844F75">
        <w:rPr>
          <w:rFonts w:ascii="Times New Roman" w:eastAsia="Times New Roman" w:hAnsi="Times New Roman" w:cs="Times New Roman"/>
          <w:sz w:val="24"/>
          <w:szCs w:val="24"/>
        </w:rPr>
        <w:t xml:space="preserve"> service pipes</w:t>
      </w:r>
      <w:r w:rsidR="0067412D">
        <w:rPr>
          <w:rFonts w:ascii="Times New Roman" w:eastAsia="Times New Roman" w:hAnsi="Times New Roman" w:cs="Times New Roman"/>
          <w:sz w:val="24"/>
          <w:szCs w:val="24"/>
        </w:rPr>
        <w:t xml:space="preserve"> was related to infant mortality </w:t>
      </w:r>
      <w:r w:rsidR="00D10F9B">
        <w:rPr>
          <w:rFonts w:ascii="Times New Roman" w:eastAsia="Times New Roman" w:hAnsi="Times New Roman" w:cs="Times New Roman"/>
          <w:sz w:val="24"/>
          <w:szCs w:val="24"/>
        </w:rPr>
        <w:t>as</w:t>
      </w:r>
      <w:r w:rsidR="0047100D">
        <w:rPr>
          <w:rFonts w:ascii="Times New Roman" w:eastAsia="Times New Roman" w:hAnsi="Times New Roman" w:cs="Times New Roman"/>
          <w:sz w:val="24"/>
          <w:szCs w:val="24"/>
        </w:rPr>
        <w:t xml:space="preserve"> the coefficients of</w:t>
      </w:r>
      <w:r w:rsidR="00D10F9B">
        <w:rPr>
          <w:rFonts w:ascii="Times New Roman" w:eastAsia="Times New Roman" w:hAnsi="Times New Roman" w:cs="Times New Roman"/>
          <w:sz w:val="24"/>
          <w:szCs w:val="24"/>
        </w:rPr>
        <w:t xml:space="preserve"> </w:t>
      </w:r>
      <w:r w:rsidR="00356C7C">
        <w:rPr>
          <w:rFonts w:ascii="Times New Roman" w:eastAsia="Times New Roman" w:hAnsi="Times New Roman" w:cs="Times New Roman"/>
          <w:sz w:val="24"/>
          <w:szCs w:val="24"/>
        </w:rPr>
        <w:t>l</w:t>
      </w:r>
      <w:r w:rsidR="00356C7C" w:rsidRPr="00356C7C">
        <w:rPr>
          <w:rFonts w:ascii="Times New Roman" w:eastAsia="Times New Roman" w:hAnsi="Times New Roman" w:cs="Times New Roman"/>
          <w:sz w:val="24"/>
          <w:szCs w:val="24"/>
        </w:rPr>
        <w:t xml:space="preserve">n(pH </w:t>
      </w:r>
      <w:r w:rsidR="00356C7C">
        <w:rPr>
          <w:rFonts w:ascii="Times New Roman" w:eastAsia="Times New Roman" w:hAnsi="Times New Roman" w:cs="Times New Roman"/>
          <w:sz w:val="24"/>
          <w:szCs w:val="24"/>
        </w:rPr>
        <w:t>-</w:t>
      </w:r>
      <w:r w:rsidR="00356C7C" w:rsidRPr="00356C7C">
        <w:rPr>
          <w:rFonts w:ascii="Times New Roman" w:eastAsia="Times New Roman" w:hAnsi="Times New Roman" w:cs="Times New Roman"/>
          <w:sz w:val="24"/>
          <w:szCs w:val="24"/>
        </w:rPr>
        <w:t xml:space="preserve"> 5.675)</w:t>
      </w:r>
      <w:r w:rsidR="005D68EC">
        <w:rPr>
          <w:rFonts w:ascii="Times New Roman" w:eastAsia="Times New Roman" w:hAnsi="Times New Roman" w:cs="Times New Roman"/>
          <w:sz w:val="24"/>
          <w:szCs w:val="24"/>
        </w:rPr>
        <w:t xml:space="preserve">, </w:t>
      </w:r>
      <w:r w:rsidR="005D68EC" w:rsidRPr="005D68EC">
        <w:rPr>
          <w:rFonts w:ascii="Times New Roman" w:eastAsia="Times New Roman" w:hAnsi="Times New Roman" w:cs="Times New Roman"/>
          <w:sz w:val="24"/>
          <w:szCs w:val="24"/>
        </w:rPr>
        <w:t xml:space="preserve">pH </w:t>
      </w:r>
      <w:r w:rsidR="005D68EC">
        <w:rPr>
          <w:rFonts w:ascii="Times New Roman" w:eastAsia="Times New Roman" w:hAnsi="Times New Roman" w:cs="Times New Roman"/>
          <w:sz w:val="24"/>
          <w:szCs w:val="24"/>
        </w:rPr>
        <w:t>-</w:t>
      </w:r>
      <w:r w:rsidR="005D68EC" w:rsidRPr="005D68EC">
        <w:rPr>
          <w:rFonts w:ascii="Times New Roman" w:eastAsia="Times New Roman" w:hAnsi="Times New Roman" w:cs="Times New Roman"/>
          <w:sz w:val="24"/>
          <w:szCs w:val="24"/>
        </w:rPr>
        <w:t xml:space="preserve"> 6.675</w:t>
      </w:r>
      <w:r w:rsidR="006A1CBD">
        <w:rPr>
          <w:rFonts w:ascii="Times New Roman" w:eastAsia="Times New Roman" w:hAnsi="Times New Roman" w:cs="Times New Roman"/>
          <w:sz w:val="24"/>
          <w:szCs w:val="24"/>
        </w:rPr>
        <w:t>, and h</w:t>
      </w:r>
      <w:r w:rsidR="006A1CBD" w:rsidRPr="006A1CBD">
        <w:rPr>
          <w:rFonts w:ascii="Times New Roman" w:eastAsia="Times New Roman" w:hAnsi="Times New Roman" w:cs="Times New Roman"/>
          <w:sz w:val="24"/>
          <w:szCs w:val="24"/>
        </w:rPr>
        <w:t>ardness</w:t>
      </w:r>
      <w:r w:rsidR="006A1CBD">
        <w:rPr>
          <w:rFonts w:ascii="Times New Roman" w:eastAsia="Times New Roman" w:hAnsi="Times New Roman" w:cs="Times New Roman"/>
          <w:sz w:val="24"/>
          <w:szCs w:val="24"/>
        </w:rPr>
        <w:t xml:space="preserve"> still remains </w:t>
      </w:r>
      <w:r w:rsidR="00856BD9">
        <w:rPr>
          <w:rFonts w:ascii="Times New Roman" w:eastAsia="Times New Roman" w:hAnsi="Times New Roman" w:cs="Times New Roman"/>
          <w:sz w:val="24"/>
          <w:szCs w:val="24"/>
        </w:rPr>
        <w:t>statistically significant</w:t>
      </w:r>
      <w:r w:rsidR="00DA1517">
        <w:rPr>
          <w:rFonts w:ascii="Times New Roman" w:eastAsia="Times New Roman" w:hAnsi="Times New Roman" w:cs="Times New Roman"/>
          <w:sz w:val="24"/>
          <w:szCs w:val="24"/>
        </w:rPr>
        <w:t xml:space="preserve">. </w:t>
      </w:r>
      <w:r w:rsidR="005155BB">
        <w:rPr>
          <w:rFonts w:ascii="Times New Roman" w:eastAsia="Times New Roman" w:hAnsi="Times New Roman" w:cs="Times New Roman"/>
          <w:sz w:val="24"/>
          <w:szCs w:val="24"/>
        </w:rPr>
        <w:t xml:space="preserve">There are still differences </w:t>
      </w:r>
      <w:r w:rsidR="00B518E5">
        <w:rPr>
          <w:rFonts w:ascii="Times New Roman" w:eastAsia="Times New Roman" w:hAnsi="Times New Roman" w:cs="Times New Roman"/>
          <w:sz w:val="24"/>
          <w:szCs w:val="24"/>
        </w:rPr>
        <w:t xml:space="preserve">such as </w:t>
      </w:r>
      <w:r w:rsidR="0047100D">
        <w:rPr>
          <w:rFonts w:ascii="Times New Roman" w:eastAsia="Times New Roman" w:hAnsi="Times New Roman" w:cs="Times New Roman"/>
          <w:sz w:val="24"/>
          <w:szCs w:val="24"/>
        </w:rPr>
        <w:t xml:space="preserve">the </w:t>
      </w:r>
      <w:r w:rsidR="0047100D">
        <w:rPr>
          <w:rFonts w:ascii="Times New Roman" w:eastAsia="Times New Roman" w:hAnsi="Times New Roman" w:cs="Times New Roman"/>
          <w:sz w:val="24"/>
          <w:szCs w:val="24"/>
        </w:rPr>
        <w:lastRenderedPageBreak/>
        <w:t>coefficient</w:t>
      </w:r>
      <w:r w:rsidR="00613220">
        <w:rPr>
          <w:rFonts w:ascii="Times New Roman" w:eastAsia="Times New Roman" w:hAnsi="Times New Roman" w:cs="Times New Roman"/>
          <w:sz w:val="24"/>
          <w:szCs w:val="24"/>
        </w:rPr>
        <w:t xml:space="preserve"> of </w:t>
      </w:r>
      <w:r w:rsidR="00807AFF">
        <w:rPr>
          <w:rFonts w:ascii="Times New Roman" w:eastAsia="Times New Roman" w:hAnsi="Times New Roman" w:cs="Times New Roman"/>
          <w:sz w:val="24"/>
          <w:szCs w:val="24"/>
        </w:rPr>
        <w:t xml:space="preserve">Hardness </w:t>
      </w:r>
      <m:oMath>
        <m:r>
          <w:rPr>
            <w:rFonts w:ascii="Cambria Math" w:eastAsia="Times New Roman" w:hAnsi="Cambria Math" w:cs="Times New Roman"/>
            <w:sz w:val="24"/>
            <w:szCs w:val="24"/>
          </w:rPr>
          <m:t>×</m:t>
        </m:r>
      </m:oMath>
      <w:r w:rsidR="00807AFF">
        <w:rPr>
          <w:rFonts w:ascii="Times New Roman" w:eastAsia="Times New Roman" w:hAnsi="Times New Roman" w:cs="Times New Roman"/>
          <w:sz w:val="24"/>
          <w:szCs w:val="24"/>
        </w:rPr>
        <w:t xml:space="preserve"> (pH – 6.675) and 1(pH &gt; 7.3) </w:t>
      </w:r>
      <m:oMath>
        <m:r>
          <w:rPr>
            <w:rFonts w:ascii="Cambria Math" w:eastAsia="Times New Roman" w:hAnsi="Cambria Math" w:cs="Times New Roman"/>
            <w:sz w:val="24"/>
            <w:szCs w:val="24"/>
          </w:rPr>
          <m:t>×</m:t>
        </m:r>
      </m:oMath>
      <w:r w:rsidR="00807AFF">
        <w:rPr>
          <w:rFonts w:ascii="Times New Roman" w:eastAsia="Times New Roman" w:hAnsi="Times New Roman" w:cs="Times New Roman"/>
          <w:sz w:val="24"/>
          <w:szCs w:val="24"/>
        </w:rPr>
        <w:t xml:space="preserve"> (pH – 6.675) is not statistically significant</w:t>
      </w:r>
      <w:r w:rsidR="00236453">
        <w:rPr>
          <w:rFonts w:ascii="Times New Roman" w:eastAsia="Times New Roman" w:hAnsi="Times New Roman" w:cs="Times New Roman"/>
          <w:sz w:val="24"/>
          <w:szCs w:val="24"/>
        </w:rPr>
        <w:t xml:space="preserve"> </w:t>
      </w:r>
      <w:r w:rsidR="00C00030">
        <w:rPr>
          <w:rFonts w:ascii="Times New Roman" w:eastAsia="Times New Roman" w:hAnsi="Times New Roman" w:cs="Times New Roman"/>
          <w:sz w:val="24"/>
          <w:szCs w:val="24"/>
        </w:rPr>
        <w:t xml:space="preserve">because of the difference in how </w:t>
      </w:r>
      <w:r w:rsidR="008F3EBC">
        <w:rPr>
          <w:rFonts w:ascii="Times New Roman" w:eastAsia="Times New Roman" w:hAnsi="Times New Roman" w:cs="Times New Roman"/>
          <w:sz w:val="24"/>
          <w:szCs w:val="24"/>
        </w:rPr>
        <w:t>categories of pipes</w:t>
      </w:r>
      <w:r w:rsidR="00BF797A">
        <w:rPr>
          <w:rFonts w:ascii="Times New Roman" w:eastAsia="Times New Roman" w:hAnsi="Times New Roman" w:cs="Times New Roman"/>
          <w:sz w:val="24"/>
          <w:szCs w:val="24"/>
        </w:rPr>
        <w:t xml:space="preserve"> </w:t>
      </w:r>
      <w:r w:rsidR="008F3EBC">
        <w:rPr>
          <w:rFonts w:ascii="Times New Roman" w:eastAsia="Times New Roman" w:hAnsi="Times New Roman" w:cs="Times New Roman"/>
          <w:sz w:val="24"/>
          <w:szCs w:val="24"/>
        </w:rPr>
        <w:t>are</w:t>
      </w:r>
      <w:r w:rsidR="00BF797A">
        <w:rPr>
          <w:rFonts w:ascii="Times New Roman" w:eastAsia="Times New Roman" w:hAnsi="Times New Roman" w:cs="Times New Roman"/>
          <w:sz w:val="24"/>
          <w:szCs w:val="24"/>
        </w:rPr>
        <w:t xml:space="preserve"> divided, but </w:t>
      </w:r>
      <w:r w:rsidR="001F2E7E">
        <w:rPr>
          <w:rFonts w:ascii="Times New Roman" w:eastAsia="Times New Roman" w:hAnsi="Times New Roman" w:cs="Times New Roman"/>
          <w:sz w:val="24"/>
          <w:szCs w:val="24"/>
        </w:rPr>
        <w:t xml:space="preserve">those differences do not affect much to the overall </w:t>
      </w:r>
      <w:r w:rsidR="00535FD4">
        <w:rPr>
          <w:rFonts w:ascii="Times New Roman" w:eastAsia="Times New Roman" w:hAnsi="Times New Roman" w:cs="Times New Roman"/>
          <w:sz w:val="24"/>
          <w:szCs w:val="24"/>
        </w:rPr>
        <w:t>conclusi</w:t>
      </w:r>
      <w:r w:rsidR="00464790">
        <w:rPr>
          <w:rFonts w:ascii="Times New Roman" w:eastAsia="Times New Roman" w:hAnsi="Times New Roman" w:cs="Times New Roman"/>
          <w:sz w:val="24"/>
          <w:szCs w:val="24"/>
        </w:rPr>
        <w:t>on</w:t>
      </w:r>
      <w:r w:rsidR="0053182B">
        <w:rPr>
          <w:rFonts w:ascii="Times New Roman" w:eastAsia="Times New Roman" w:hAnsi="Times New Roman" w:cs="Times New Roman"/>
          <w:sz w:val="24"/>
          <w:szCs w:val="24"/>
        </w:rPr>
        <w:t xml:space="preserve"> of the tables.</w:t>
      </w:r>
      <w:r w:rsidR="00807AFF">
        <w:rPr>
          <w:rFonts w:ascii="Times New Roman" w:eastAsia="Times New Roman" w:hAnsi="Times New Roman" w:cs="Times New Roman"/>
          <w:sz w:val="24"/>
          <w:szCs w:val="24"/>
        </w:rPr>
        <w:t xml:space="preserve"> </w:t>
      </w:r>
    </w:p>
    <w:p w14:paraId="12E62639" w14:textId="167FFD91" w:rsidR="3E696308" w:rsidRDefault="00FA677E" w:rsidP="1470DACA">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To sum up, t</w:t>
      </w:r>
      <w:r w:rsidR="3E696308" w:rsidRPr="1470DACA">
        <w:rPr>
          <w:rFonts w:ascii="Times New Roman" w:eastAsia="Times New Roman" w:hAnsi="Times New Roman" w:cs="Times New Roman"/>
          <w:sz w:val="24"/>
          <w:szCs w:val="24"/>
        </w:rPr>
        <w:t>he replication results corroborate the results shown in</w:t>
      </w:r>
      <w:r>
        <w:rPr>
          <w:rFonts w:ascii="Times New Roman" w:eastAsia="Times New Roman" w:hAnsi="Times New Roman" w:cs="Times New Roman"/>
          <w:sz w:val="24"/>
          <w:szCs w:val="24"/>
        </w:rPr>
        <w:t xml:space="preserve"> the original report</w:t>
      </w:r>
      <w:r w:rsidR="3E696308" w:rsidRPr="1470DACA">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y </w:t>
      </w:r>
      <w:r w:rsidR="3E696308" w:rsidRPr="1470DACA">
        <w:rPr>
          <w:rFonts w:ascii="Times New Roman" w:eastAsia="Times New Roman" w:hAnsi="Times New Roman" w:cs="Times New Roman"/>
          <w:color w:val="000000" w:themeColor="text1"/>
          <w:sz w:val="24"/>
          <w:szCs w:val="24"/>
        </w:rPr>
        <w:t>Clay</w:t>
      </w:r>
      <w:r>
        <w:rPr>
          <w:rFonts w:ascii="Times New Roman" w:eastAsia="Times New Roman" w:hAnsi="Times New Roman" w:cs="Times New Roman"/>
          <w:color w:val="000000" w:themeColor="text1"/>
          <w:sz w:val="24"/>
          <w:szCs w:val="24"/>
        </w:rPr>
        <w:t xml:space="preserve"> et </w:t>
      </w:r>
      <w:r w:rsidR="001250DF">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l</w:t>
      </w:r>
      <w:r w:rsidR="3E696308" w:rsidRPr="1470DACA">
        <w:rPr>
          <w:rFonts w:ascii="Times New Roman" w:eastAsia="Times New Roman" w:hAnsi="Times New Roman" w:cs="Times New Roman"/>
          <w:color w:val="000000" w:themeColor="text1"/>
          <w:sz w:val="24"/>
          <w:szCs w:val="24"/>
        </w:rPr>
        <w:t>.</w:t>
      </w:r>
      <w:r w:rsidR="322E39C3" w:rsidRPr="1470DACA">
        <w:rPr>
          <w:rFonts w:ascii="Times New Roman" w:eastAsia="Times New Roman" w:hAnsi="Times New Roman" w:cs="Times New Roman"/>
          <w:color w:val="000000" w:themeColor="text1"/>
          <w:sz w:val="24"/>
          <w:szCs w:val="24"/>
        </w:rPr>
        <w:t xml:space="preserve"> While the replication data from this experiment could not completely match </w:t>
      </w:r>
      <w:r w:rsidR="095376FC" w:rsidRPr="1470DACA">
        <w:rPr>
          <w:rFonts w:ascii="Times New Roman" w:eastAsia="Times New Roman" w:hAnsi="Times New Roman" w:cs="Times New Roman"/>
          <w:color w:val="000000" w:themeColor="text1"/>
          <w:sz w:val="24"/>
          <w:szCs w:val="24"/>
        </w:rPr>
        <w:t>the data from the study, the replication data supports</w:t>
      </w:r>
      <w:r w:rsidR="0053182B">
        <w:rPr>
          <w:rFonts w:ascii="Times New Roman" w:eastAsia="Times New Roman" w:hAnsi="Times New Roman" w:cs="Times New Roman"/>
          <w:color w:val="000000" w:themeColor="text1"/>
          <w:sz w:val="24"/>
          <w:szCs w:val="24"/>
        </w:rPr>
        <w:t xml:space="preserve"> most of</w:t>
      </w:r>
      <w:r w:rsidR="00E30672" w:rsidRPr="1470DACA">
        <w:rPr>
          <w:rFonts w:ascii="Times New Roman" w:eastAsia="Times New Roman" w:hAnsi="Times New Roman" w:cs="Times New Roman"/>
          <w:color w:val="000000" w:themeColor="text1"/>
          <w:sz w:val="24"/>
          <w:szCs w:val="24"/>
        </w:rPr>
        <w:t xml:space="preserve"> </w:t>
      </w:r>
      <w:r w:rsidR="095376FC" w:rsidRPr="1470DACA">
        <w:rPr>
          <w:rFonts w:ascii="Times New Roman" w:eastAsia="Times New Roman" w:hAnsi="Times New Roman" w:cs="Times New Roman"/>
          <w:color w:val="000000" w:themeColor="text1"/>
          <w:sz w:val="24"/>
          <w:szCs w:val="24"/>
        </w:rPr>
        <w:t>the same conclusion</w:t>
      </w:r>
      <w:r w:rsidR="0053182B">
        <w:rPr>
          <w:rFonts w:ascii="Times New Roman" w:eastAsia="Times New Roman" w:hAnsi="Times New Roman" w:cs="Times New Roman"/>
          <w:color w:val="000000" w:themeColor="text1"/>
          <w:sz w:val="24"/>
          <w:szCs w:val="24"/>
        </w:rPr>
        <w:t>s that the authors make</w:t>
      </w:r>
      <w:r w:rsidR="095376FC" w:rsidRPr="1470DACA">
        <w:rPr>
          <w:rFonts w:ascii="Times New Roman" w:eastAsia="Times New Roman" w:hAnsi="Times New Roman" w:cs="Times New Roman"/>
          <w:color w:val="000000" w:themeColor="text1"/>
          <w:sz w:val="24"/>
          <w:szCs w:val="24"/>
        </w:rPr>
        <w:t>.</w:t>
      </w:r>
      <w:r w:rsidR="00EC0138">
        <w:rPr>
          <w:rFonts w:ascii="Times New Roman" w:eastAsia="Times New Roman" w:hAnsi="Times New Roman" w:cs="Times New Roman"/>
          <w:color w:val="000000" w:themeColor="text1"/>
          <w:sz w:val="24"/>
          <w:szCs w:val="24"/>
        </w:rPr>
        <w:t xml:space="preserve"> </w:t>
      </w:r>
      <w:r w:rsidR="00D401A4" w:rsidRPr="1470DACA">
        <w:rPr>
          <w:rFonts w:ascii="Times New Roman" w:eastAsia="Times New Roman" w:hAnsi="Times New Roman" w:cs="Times New Roman"/>
          <w:color w:val="000000" w:themeColor="text1"/>
          <w:sz w:val="24"/>
          <w:szCs w:val="24"/>
        </w:rPr>
        <w:t>The lack of variables that could be included in the regression</w:t>
      </w:r>
      <w:r w:rsidR="0095629D">
        <w:rPr>
          <w:rFonts w:ascii="Times New Roman" w:eastAsia="Times New Roman" w:hAnsi="Times New Roman" w:cs="Times New Roman"/>
          <w:color w:val="000000" w:themeColor="text1"/>
          <w:sz w:val="24"/>
          <w:szCs w:val="24"/>
        </w:rPr>
        <w:t xml:space="preserve"> (geographical region) or how different</w:t>
      </w:r>
      <w:r w:rsidR="00EC0138">
        <w:rPr>
          <w:rFonts w:ascii="Times New Roman" w:eastAsia="Times New Roman" w:hAnsi="Times New Roman" w:cs="Times New Roman"/>
          <w:color w:val="000000" w:themeColor="text1"/>
          <w:sz w:val="24"/>
          <w:szCs w:val="24"/>
        </w:rPr>
        <w:t xml:space="preserve"> the data is divided (categories of pipes)</w:t>
      </w:r>
      <w:r w:rsidR="00D401A4" w:rsidRPr="1470DACA">
        <w:rPr>
          <w:rFonts w:ascii="Times New Roman" w:eastAsia="Times New Roman" w:hAnsi="Times New Roman" w:cs="Times New Roman"/>
          <w:color w:val="000000" w:themeColor="text1"/>
          <w:sz w:val="24"/>
          <w:szCs w:val="24"/>
        </w:rPr>
        <w:t xml:space="preserve"> may </w:t>
      </w:r>
      <w:r w:rsidR="2EFE62C2" w:rsidRPr="1470DACA">
        <w:rPr>
          <w:rFonts w:ascii="Times New Roman" w:eastAsia="Times New Roman" w:hAnsi="Times New Roman" w:cs="Times New Roman"/>
          <w:color w:val="000000" w:themeColor="text1"/>
          <w:sz w:val="24"/>
          <w:szCs w:val="24"/>
        </w:rPr>
        <w:t xml:space="preserve">affect variable bias and </w:t>
      </w:r>
      <w:r w:rsidR="00D401A4" w:rsidRPr="1470DACA">
        <w:rPr>
          <w:rFonts w:ascii="Times New Roman" w:eastAsia="Times New Roman" w:hAnsi="Times New Roman" w:cs="Times New Roman"/>
          <w:color w:val="000000" w:themeColor="text1"/>
          <w:sz w:val="24"/>
          <w:szCs w:val="24"/>
        </w:rPr>
        <w:t>decrease the validity of the results</w:t>
      </w:r>
      <w:r w:rsidR="004A4E59">
        <w:rPr>
          <w:rFonts w:ascii="Times New Roman" w:eastAsia="Times New Roman" w:hAnsi="Times New Roman" w:cs="Times New Roman"/>
          <w:color w:val="000000" w:themeColor="text1"/>
          <w:sz w:val="24"/>
          <w:szCs w:val="24"/>
        </w:rPr>
        <w:t xml:space="preserve"> but it </w:t>
      </w:r>
      <w:r w:rsidR="0095629D">
        <w:rPr>
          <w:rFonts w:ascii="Times New Roman" w:eastAsia="Times New Roman" w:hAnsi="Times New Roman" w:cs="Times New Roman"/>
          <w:color w:val="000000" w:themeColor="text1"/>
          <w:sz w:val="24"/>
          <w:szCs w:val="24"/>
        </w:rPr>
        <w:t>still holds most of the points that the authors discuss in the original report.</w:t>
      </w:r>
    </w:p>
    <w:p w14:paraId="7F10CDAB" w14:textId="167FEDAF" w:rsidR="2EF9F92C" w:rsidRDefault="2EF9F92C" w:rsidP="00BF4F1F">
      <w:pPr>
        <w:pStyle w:val="ListParagraph"/>
        <w:numPr>
          <w:ilvl w:val="0"/>
          <w:numId w:val="1"/>
        </w:numPr>
        <w:spacing w:after="0" w:line="480" w:lineRule="auto"/>
        <w:ind w:left="0" w:firstLine="720"/>
        <w:jc w:val="both"/>
        <w:rPr>
          <w:rFonts w:ascii="Times New Roman" w:eastAsia="Times New Roman" w:hAnsi="Times New Roman" w:cs="Times New Roman"/>
          <w:b/>
          <w:bCs/>
          <w:color w:val="000000" w:themeColor="text1"/>
          <w:sz w:val="24"/>
          <w:szCs w:val="24"/>
        </w:rPr>
      </w:pPr>
      <w:r w:rsidRPr="6209BDDA">
        <w:rPr>
          <w:rFonts w:ascii="Times New Roman" w:eastAsia="Times New Roman" w:hAnsi="Times New Roman" w:cs="Times New Roman"/>
          <w:b/>
          <w:bCs/>
          <w:color w:val="000000" w:themeColor="text1"/>
          <w:sz w:val="24"/>
          <w:szCs w:val="24"/>
        </w:rPr>
        <w:t>Potential Extension</w:t>
      </w:r>
    </w:p>
    <w:p w14:paraId="0B4706D2" w14:textId="1D859AE5" w:rsidR="1C0DEF02" w:rsidRDefault="1C0DEF02" w:rsidP="00E8360C">
      <w:pPr>
        <w:spacing w:after="0" w:line="480" w:lineRule="auto"/>
        <w:ind w:firstLine="720"/>
        <w:jc w:val="both"/>
        <w:rPr>
          <w:rFonts w:ascii="Times New Roman" w:eastAsia="Times New Roman" w:hAnsi="Times New Roman" w:cs="Times New Roman"/>
          <w:color w:val="000000" w:themeColor="text1"/>
          <w:sz w:val="24"/>
          <w:szCs w:val="24"/>
        </w:rPr>
      </w:pPr>
      <w:r w:rsidRPr="6209BDDA">
        <w:rPr>
          <w:rFonts w:ascii="Times New Roman" w:eastAsia="Times New Roman" w:hAnsi="Times New Roman" w:cs="Times New Roman"/>
          <w:color w:val="000000" w:themeColor="text1"/>
          <w:sz w:val="24"/>
          <w:szCs w:val="24"/>
        </w:rPr>
        <w:t xml:space="preserve">This study explored the phenomenon of infant mortality rate being affected by water pH and lead exposure. </w:t>
      </w:r>
      <w:r w:rsidR="71220A78" w:rsidRPr="6209BDDA">
        <w:rPr>
          <w:rFonts w:ascii="Times New Roman" w:eastAsia="Times New Roman" w:hAnsi="Times New Roman" w:cs="Times New Roman"/>
          <w:color w:val="000000" w:themeColor="text1"/>
          <w:sz w:val="24"/>
          <w:szCs w:val="24"/>
        </w:rPr>
        <w:t>Examining the o</w:t>
      </w:r>
      <w:r w:rsidR="22EBF674" w:rsidRPr="6209BDDA">
        <w:rPr>
          <w:rFonts w:ascii="Times New Roman" w:eastAsia="Times New Roman" w:hAnsi="Times New Roman" w:cs="Times New Roman"/>
          <w:color w:val="000000" w:themeColor="text1"/>
          <w:sz w:val="24"/>
          <w:szCs w:val="24"/>
        </w:rPr>
        <w:t xml:space="preserve">ther </w:t>
      </w:r>
      <w:r w:rsidRPr="6209BDDA">
        <w:rPr>
          <w:rFonts w:ascii="Times New Roman" w:eastAsia="Times New Roman" w:hAnsi="Times New Roman" w:cs="Times New Roman"/>
          <w:color w:val="000000" w:themeColor="text1"/>
          <w:sz w:val="24"/>
          <w:szCs w:val="24"/>
        </w:rPr>
        <w:t xml:space="preserve">effects of lead exposure could be </w:t>
      </w:r>
      <w:r w:rsidR="74A47814" w:rsidRPr="6209BDDA">
        <w:rPr>
          <w:rFonts w:ascii="Times New Roman" w:eastAsia="Times New Roman" w:hAnsi="Times New Roman" w:cs="Times New Roman"/>
          <w:color w:val="000000" w:themeColor="text1"/>
          <w:sz w:val="24"/>
          <w:szCs w:val="24"/>
        </w:rPr>
        <w:t xml:space="preserve">a </w:t>
      </w:r>
      <w:r w:rsidR="6EBEFC50" w:rsidRPr="6209BDDA">
        <w:rPr>
          <w:rFonts w:ascii="Times New Roman" w:eastAsia="Times New Roman" w:hAnsi="Times New Roman" w:cs="Times New Roman"/>
          <w:color w:val="000000" w:themeColor="text1"/>
          <w:sz w:val="24"/>
          <w:szCs w:val="24"/>
        </w:rPr>
        <w:t xml:space="preserve">potential extension to the data already studied. For example, the authors mention that morbidity and IQ are related to lead exposure, and </w:t>
      </w:r>
      <w:r w:rsidR="315891AC" w:rsidRPr="6209BDDA">
        <w:rPr>
          <w:rFonts w:ascii="Times New Roman" w:eastAsia="Times New Roman" w:hAnsi="Times New Roman" w:cs="Times New Roman"/>
          <w:color w:val="000000" w:themeColor="text1"/>
          <w:sz w:val="24"/>
          <w:szCs w:val="24"/>
        </w:rPr>
        <w:t>so access to data related to those variables would expand the scope of this study.</w:t>
      </w:r>
      <w:r w:rsidR="000E6225">
        <w:rPr>
          <w:rFonts w:ascii="Times New Roman" w:eastAsia="Times New Roman" w:hAnsi="Times New Roman" w:cs="Times New Roman"/>
          <w:color w:val="000000" w:themeColor="text1"/>
          <w:sz w:val="24"/>
          <w:szCs w:val="24"/>
        </w:rPr>
        <w:t xml:space="preserve"> </w:t>
      </w:r>
      <w:r w:rsidR="315891AC" w:rsidRPr="6209BDDA">
        <w:rPr>
          <w:rFonts w:ascii="Times New Roman" w:eastAsia="Times New Roman" w:hAnsi="Times New Roman" w:cs="Times New Roman"/>
          <w:color w:val="000000" w:themeColor="text1"/>
          <w:sz w:val="24"/>
          <w:szCs w:val="24"/>
        </w:rPr>
        <w:t xml:space="preserve">The phenomena investigated by the study could also be extended by looking into </w:t>
      </w:r>
      <w:r w:rsidR="3338943C" w:rsidRPr="6209BDDA">
        <w:rPr>
          <w:rFonts w:ascii="Times New Roman" w:eastAsia="Times New Roman" w:hAnsi="Times New Roman" w:cs="Times New Roman"/>
          <w:color w:val="000000" w:themeColor="text1"/>
          <w:sz w:val="24"/>
          <w:szCs w:val="24"/>
        </w:rPr>
        <w:t>high</w:t>
      </w:r>
      <w:r w:rsidR="0CEC9616" w:rsidRPr="6209BDDA">
        <w:rPr>
          <w:rFonts w:ascii="Times New Roman" w:eastAsia="Times New Roman" w:hAnsi="Times New Roman" w:cs="Times New Roman"/>
          <w:color w:val="000000" w:themeColor="text1"/>
          <w:sz w:val="24"/>
          <w:szCs w:val="24"/>
        </w:rPr>
        <w:t xml:space="preserve"> </w:t>
      </w:r>
      <w:r w:rsidR="3338943C" w:rsidRPr="6209BDDA">
        <w:rPr>
          <w:rFonts w:ascii="Times New Roman" w:eastAsia="Times New Roman" w:hAnsi="Times New Roman" w:cs="Times New Roman"/>
          <w:color w:val="000000" w:themeColor="text1"/>
          <w:sz w:val="24"/>
          <w:szCs w:val="24"/>
        </w:rPr>
        <w:t xml:space="preserve">school graduation </w:t>
      </w:r>
      <w:r w:rsidR="315891AC" w:rsidRPr="6209BDDA">
        <w:rPr>
          <w:rFonts w:ascii="Times New Roman" w:eastAsia="Times New Roman" w:hAnsi="Times New Roman" w:cs="Times New Roman"/>
          <w:color w:val="000000" w:themeColor="text1"/>
          <w:sz w:val="24"/>
          <w:szCs w:val="24"/>
        </w:rPr>
        <w:t>rates</w:t>
      </w:r>
      <w:r w:rsidR="6FD8CDCD" w:rsidRPr="6209BDDA">
        <w:rPr>
          <w:rFonts w:ascii="Times New Roman" w:eastAsia="Times New Roman" w:hAnsi="Times New Roman" w:cs="Times New Roman"/>
          <w:color w:val="000000" w:themeColor="text1"/>
          <w:sz w:val="24"/>
          <w:szCs w:val="24"/>
        </w:rPr>
        <w:t xml:space="preserve">, </w:t>
      </w:r>
      <w:r w:rsidR="1E459714" w:rsidRPr="6209BDDA">
        <w:rPr>
          <w:rFonts w:ascii="Times New Roman" w:eastAsia="Times New Roman" w:hAnsi="Times New Roman" w:cs="Times New Roman"/>
          <w:color w:val="000000" w:themeColor="text1"/>
          <w:sz w:val="24"/>
          <w:szCs w:val="24"/>
        </w:rPr>
        <w:t xml:space="preserve">further </w:t>
      </w:r>
      <w:r w:rsidR="315891AC" w:rsidRPr="6209BDDA">
        <w:rPr>
          <w:rFonts w:ascii="Times New Roman" w:eastAsia="Times New Roman" w:hAnsi="Times New Roman" w:cs="Times New Roman"/>
          <w:color w:val="000000" w:themeColor="text1"/>
          <w:sz w:val="24"/>
          <w:szCs w:val="24"/>
        </w:rPr>
        <w:t>educational attainment</w:t>
      </w:r>
      <w:r w:rsidR="4C17DA2C" w:rsidRPr="6209BDDA">
        <w:rPr>
          <w:rFonts w:ascii="Times New Roman" w:eastAsia="Times New Roman" w:hAnsi="Times New Roman" w:cs="Times New Roman"/>
          <w:color w:val="000000" w:themeColor="text1"/>
          <w:sz w:val="24"/>
          <w:szCs w:val="24"/>
        </w:rPr>
        <w:t>,</w:t>
      </w:r>
      <w:r w:rsidR="383E0801" w:rsidRPr="6209BDDA">
        <w:rPr>
          <w:rFonts w:ascii="Times New Roman" w:eastAsia="Times New Roman" w:hAnsi="Times New Roman" w:cs="Times New Roman"/>
          <w:color w:val="000000" w:themeColor="text1"/>
          <w:sz w:val="24"/>
          <w:szCs w:val="24"/>
        </w:rPr>
        <w:t xml:space="preserve"> and </w:t>
      </w:r>
      <w:r w:rsidR="3DB3B817" w:rsidRPr="6209BDDA">
        <w:rPr>
          <w:rFonts w:ascii="Times New Roman" w:eastAsia="Times New Roman" w:hAnsi="Times New Roman" w:cs="Times New Roman"/>
          <w:color w:val="000000" w:themeColor="text1"/>
          <w:sz w:val="24"/>
          <w:szCs w:val="24"/>
        </w:rPr>
        <w:t xml:space="preserve">how </w:t>
      </w:r>
      <w:r w:rsidR="315891AC" w:rsidRPr="6209BDDA">
        <w:rPr>
          <w:rFonts w:ascii="Times New Roman" w:eastAsia="Times New Roman" w:hAnsi="Times New Roman" w:cs="Times New Roman"/>
          <w:color w:val="000000" w:themeColor="text1"/>
          <w:sz w:val="24"/>
          <w:szCs w:val="24"/>
        </w:rPr>
        <w:t>popula</w:t>
      </w:r>
      <w:r w:rsidR="2B67A8AF" w:rsidRPr="6209BDDA">
        <w:rPr>
          <w:rFonts w:ascii="Times New Roman" w:eastAsia="Times New Roman" w:hAnsi="Times New Roman" w:cs="Times New Roman"/>
          <w:color w:val="000000" w:themeColor="text1"/>
          <w:sz w:val="24"/>
          <w:szCs w:val="24"/>
        </w:rPr>
        <w:t xml:space="preserve">tions affected </w:t>
      </w:r>
      <w:r w:rsidR="76DB0129" w:rsidRPr="6209BDDA">
        <w:rPr>
          <w:rFonts w:ascii="Times New Roman" w:eastAsia="Times New Roman" w:hAnsi="Times New Roman" w:cs="Times New Roman"/>
          <w:color w:val="000000" w:themeColor="text1"/>
          <w:sz w:val="24"/>
          <w:szCs w:val="24"/>
        </w:rPr>
        <w:t xml:space="preserve">differently </w:t>
      </w:r>
      <w:r w:rsidR="2B67A8AF" w:rsidRPr="6209BDDA">
        <w:rPr>
          <w:rFonts w:ascii="Times New Roman" w:eastAsia="Times New Roman" w:hAnsi="Times New Roman" w:cs="Times New Roman"/>
          <w:color w:val="000000" w:themeColor="text1"/>
          <w:sz w:val="24"/>
          <w:szCs w:val="24"/>
        </w:rPr>
        <w:t xml:space="preserve">by lead exposure </w:t>
      </w:r>
      <w:r w:rsidR="6D8226E5" w:rsidRPr="6209BDDA">
        <w:rPr>
          <w:rFonts w:ascii="Times New Roman" w:eastAsia="Times New Roman" w:hAnsi="Times New Roman" w:cs="Times New Roman"/>
          <w:color w:val="000000" w:themeColor="text1"/>
          <w:sz w:val="24"/>
          <w:szCs w:val="24"/>
        </w:rPr>
        <w:t>compare</w:t>
      </w:r>
      <w:r w:rsidR="2B67A8AF" w:rsidRPr="6209BDDA">
        <w:rPr>
          <w:rFonts w:ascii="Times New Roman" w:eastAsia="Times New Roman" w:hAnsi="Times New Roman" w:cs="Times New Roman"/>
          <w:color w:val="000000" w:themeColor="text1"/>
          <w:sz w:val="24"/>
          <w:szCs w:val="24"/>
        </w:rPr>
        <w:t xml:space="preserve">. </w:t>
      </w:r>
      <w:r w:rsidR="1CAB25BB" w:rsidRPr="6209BDDA">
        <w:rPr>
          <w:rFonts w:ascii="Times New Roman" w:eastAsia="Times New Roman" w:hAnsi="Times New Roman" w:cs="Times New Roman"/>
          <w:color w:val="000000" w:themeColor="text1"/>
          <w:sz w:val="24"/>
          <w:szCs w:val="24"/>
        </w:rPr>
        <w:t xml:space="preserve">There are also ways in which the data in the present study could have been extended to improve our understanding of the causal relationship between lead exposure and </w:t>
      </w:r>
      <w:r w:rsidR="7EDFAAD1" w:rsidRPr="6209BDDA">
        <w:rPr>
          <w:rFonts w:ascii="Times New Roman" w:eastAsia="Times New Roman" w:hAnsi="Times New Roman" w:cs="Times New Roman"/>
          <w:color w:val="000000" w:themeColor="text1"/>
          <w:sz w:val="24"/>
          <w:szCs w:val="24"/>
        </w:rPr>
        <w:t>infant mortality rate.</w:t>
      </w:r>
    </w:p>
    <w:p w14:paraId="4BFF8025" w14:textId="23872110" w:rsidR="7071665B" w:rsidRDefault="7071665B" w:rsidP="00E8360C">
      <w:pPr>
        <w:spacing w:after="0" w:line="480" w:lineRule="auto"/>
        <w:ind w:firstLine="720"/>
        <w:jc w:val="both"/>
        <w:rPr>
          <w:rFonts w:ascii="Times New Roman" w:eastAsia="Times New Roman" w:hAnsi="Times New Roman" w:cs="Times New Roman"/>
          <w:color w:val="000000" w:themeColor="text1"/>
          <w:sz w:val="24"/>
          <w:szCs w:val="24"/>
        </w:rPr>
      </w:pPr>
      <w:r w:rsidRPr="6209BDDA">
        <w:rPr>
          <w:rFonts w:ascii="Times New Roman" w:eastAsia="Times New Roman" w:hAnsi="Times New Roman" w:cs="Times New Roman"/>
          <w:color w:val="000000" w:themeColor="text1"/>
          <w:sz w:val="24"/>
          <w:szCs w:val="24"/>
        </w:rPr>
        <w:t xml:space="preserve">Future studies could attempt to eliminate omitted variable bias by including other factors which may affect infant mortality rate </w:t>
      </w:r>
      <w:r w:rsidR="37DFCCB9" w:rsidRPr="6209BDDA">
        <w:rPr>
          <w:rFonts w:ascii="Times New Roman" w:eastAsia="Times New Roman" w:hAnsi="Times New Roman" w:cs="Times New Roman"/>
          <w:color w:val="000000" w:themeColor="text1"/>
          <w:sz w:val="24"/>
          <w:szCs w:val="24"/>
        </w:rPr>
        <w:t xml:space="preserve">other than those listed. This study placed a heavy focus on the effects of water acidity </w:t>
      </w:r>
      <w:r w:rsidR="2D6663AC" w:rsidRPr="6209BDDA">
        <w:rPr>
          <w:rFonts w:ascii="Times New Roman" w:eastAsia="Times New Roman" w:hAnsi="Times New Roman" w:cs="Times New Roman"/>
          <w:color w:val="000000" w:themeColor="text1"/>
          <w:sz w:val="24"/>
          <w:szCs w:val="24"/>
        </w:rPr>
        <w:t xml:space="preserve">in lead pipes </w:t>
      </w:r>
      <w:r w:rsidR="37DFCCB9" w:rsidRPr="6209BDDA">
        <w:rPr>
          <w:rFonts w:ascii="Times New Roman" w:eastAsia="Times New Roman" w:hAnsi="Times New Roman" w:cs="Times New Roman"/>
          <w:color w:val="000000" w:themeColor="text1"/>
          <w:sz w:val="24"/>
          <w:szCs w:val="24"/>
        </w:rPr>
        <w:t>on infant mortality rate</w:t>
      </w:r>
      <w:r w:rsidR="39DB6841" w:rsidRPr="6209BDDA">
        <w:rPr>
          <w:rFonts w:ascii="Times New Roman" w:eastAsia="Times New Roman" w:hAnsi="Times New Roman" w:cs="Times New Roman"/>
          <w:color w:val="000000" w:themeColor="text1"/>
          <w:sz w:val="24"/>
          <w:szCs w:val="24"/>
        </w:rPr>
        <w:t xml:space="preserve">. Some of the variables involved in the study were the pH of the water, noninfant rate, percent lead only, percent white, </w:t>
      </w:r>
      <w:r w:rsidR="0D93E6B1" w:rsidRPr="6209BDDA">
        <w:rPr>
          <w:rFonts w:ascii="Times New Roman" w:eastAsia="Times New Roman" w:hAnsi="Times New Roman" w:cs="Times New Roman"/>
          <w:color w:val="000000" w:themeColor="text1"/>
          <w:sz w:val="24"/>
          <w:szCs w:val="24"/>
        </w:rPr>
        <w:t xml:space="preserve">and </w:t>
      </w:r>
      <w:r w:rsidR="39DB6841" w:rsidRPr="6209BDDA">
        <w:rPr>
          <w:rFonts w:ascii="Times New Roman" w:eastAsia="Times New Roman" w:hAnsi="Times New Roman" w:cs="Times New Roman"/>
          <w:color w:val="000000" w:themeColor="text1"/>
          <w:sz w:val="24"/>
          <w:szCs w:val="24"/>
        </w:rPr>
        <w:t xml:space="preserve">percent </w:t>
      </w:r>
      <w:r w:rsidR="39DB6841" w:rsidRPr="6209BDDA">
        <w:rPr>
          <w:rFonts w:ascii="Times New Roman" w:eastAsia="Times New Roman" w:hAnsi="Times New Roman" w:cs="Times New Roman"/>
          <w:color w:val="000000" w:themeColor="text1"/>
          <w:sz w:val="24"/>
          <w:szCs w:val="24"/>
        </w:rPr>
        <w:lastRenderedPageBreak/>
        <w:t xml:space="preserve">women ages 20-40. However, </w:t>
      </w:r>
      <w:r w:rsidR="62A4372E" w:rsidRPr="6209BDDA">
        <w:rPr>
          <w:rFonts w:ascii="Times New Roman" w:eastAsia="Times New Roman" w:hAnsi="Times New Roman" w:cs="Times New Roman"/>
          <w:color w:val="000000" w:themeColor="text1"/>
          <w:sz w:val="24"/>
          <w:szCs w:val="24"/>
        </w:rPr>
        <w:t xml:space="preserve">factors such as </w:t>
      </w:r>
      <w:r w:rsidR="5F66D425" w:rsidRPr="6209BDDA">
        <w:rPr>
          <w:rFonts w:ascii="Times New Roman" w:eastAsia="Times New Roman" w:hAnsi="Times New Roman" w:cs="Times New Roman"/>
          <w:color w:val="000000" w:themeColor="text1"/>
          <w:sz w:val="24"/>
          <w:szCs w:val="24"/>
        </w:rPr>
        <w:t xml:space="preserve">income, education, or socioeconomic status altogether may affect the quality of water, therefore leading to </w:t>
      </w:r>
      <w:r w:rsidR="1EC84E9C" w:rsidRPr="6209BDDA">
        <w:rPr>
          <w:rFonts w:ascii="Times New Roman" w:eastAsia="Times New Roman" w:hAnsi="Times New Roman" w:cs="Times New Roman"/>
          <w:color w:val="000000" w:themeColor="text1"/>
          <w:sz w:val="24"/>
          <w:szCs w:val="24"/>
        </w:rPr>
        <w:t xml:space="preserve">bias that has not been accounted for in the study. </w:t>
      </w:r>
      <w:r w:rsidR="67DAE320" w:rsidRPr="6209BDDA">
        <w:rPr>
          <w:rFonts w:ascii="Times New Roman" w:eastAsia="Times New Roman" w:hAnsi="Times New Roman" w:cs="Times New Roman"/>
          <w:color w:val="000000" w:themeColor="text1"/>
          <w:sz w:val="24"/>
          <w:szCs w:val="24"/>
        </w:rPr>
        <w:t>Since th</w:t>
      </w:r>
      <w:r w:rsidR="21DCC535" w:rsidRPr="6209BDDA">
        <w:rPr>
          <w:rFonts w:ascii="Times New Roman" w:eastAsia="Times New Roman" w:hAnsi="Times New Roman" w:cs="Times New Roman"/>
          <w:color w:val="000000" w:themeColor="text1"/>
          <w:sz w:val="24"/>
          <w:szCs w:val="24"/>
        </w:rPr>
        <w:t>e</w:t>
      </w:r>
      <w:r w:rsidR="67DAE320" w:rsidRPr="6209BDDA">
        <w:rPr>
          <w:rFonts w:ascii="Times New Roman" w:eastAsia="Times New Roman" w:hAnsi="Times New Roman" w:cs="Times New Roman"/>
          <w:color w:val="000000" w:themeColor="text1"/>
          <w:sz w:val="24"/>
          <w:szCs w:val="24"/>
        </w:rPr>
        <w:t xml:space="preserve">se factors were ignored, the results from the study may be incomplete. </w:t>
      </w:r>
      <w:r w:rsidR="1EC84E9C" w:rsidRPr="6209BDDA">
        <w:rPr>
          <w:rFonts w:ascii="Times New Roman" w:eastAsia="Times New Roman" w:hAnsi="Times New Roman" w:cs="Times New Roman"/>
          <w:color w:val="000000" w:themeColor="text1"/>
          <w:sz w:val="24"/>
          <w:szCs w:val="24"/>
        </w:rPr>
        <w:t xml:space="preserve">A dataset that included more variables about </w:t>
      </w:r>
      <w:r w:rsidR="3994AC40" w:rsidRPr="6209BDDA">
        <w:rPr>
          <w:rFonts w:ascii="Times New Roman" w:eastAsia="Times New Roman" w:hAnsi="Times New Roman" w:cs="Times New Roman"/>
          <w:color w:val="000000" w:themeColor="text1"/>
          <w:sz w:val="24"/>
          <w:szCs w:val="24"/>
        </w:rPr>
        <w:t xml:space="preserve">the populations involved could yield more robust and sound results. </w:t>
      </w:r>
      <w:r w:rsidR="0D573DCB" w:rsidRPr="6209BDDA">
        <w:rPr>
          <w:rFonts w:ascii="Times New Roman" w:eastAsia="Times New Roman" w:hAnsi="Times New Roman" w:cs="Times New Roman"/>
          <w:color w:val="000000" w:themeColor="text1"/>
          <w:sz w:val="24"/>
          <w:szCs w:val="24"/>
        </w:rPr>
        <w:t>Improving our understanding of the effects of lead exposure on issues such as infant mortality rate, IQ,</w:t>
      </w:r>
      <w:r w:rsidR="000E6225">
        <w:rPr>
          <w:rFonts w:ascii="Times New Roman" w:eastAsia="Times New Roman" w:hAnsi="Times New Roman" w:cs="Times New Roman"/>
          <w:color w:val="000000" w:themeColor="text1"/>
          <w:sz w:val="24"/>
          <w:szCs w:val="24"/>
        </w:rPr>
        <w:t xml:space="preserve"> </w:t>
      </w:r>
      <w:r w:rsidR="0D573DCB" w:rsidRPr="6209BDDA">
        <w:rPr>
          <w:rFonts w:ascii="Times New Roman" w:eastAsia="Times New Roman" w:hAnsi="Times New Roman" w:cs="Times New Roman"/>
          <w:color w:val="000000" w:themeColor="text1"/>
          <w:sz w:val="24"/>
          <w:szCs w:val="24"/>
        </w:rPr>
        <w:t>and morbidity is important</w:t>
      </w:r>
      <w:r w:rsidR="6808F7FE" w:rsidRPr="6209BDDA">
        <w:rPr>
          <w:rFonts w:ascii="Times New Roman" w:eastAsia="Times New Roman" w:hAnsi="Times New Roman" w:cs="Times New Roman"/>
          <w:color w:val="000000" w:themeColor="text1"/>
          <w:sz w:val="24"/>
          <w:szCs w:val="24"/>
        </w:rPr>
        <w:t xml:space="preserve"> to increasing the quality of life and safety of populations.</w:t>
      </w:r>
      <w:r w:rsidR="69B11A36" w:rsidRPr="6209BDDA">
        <w:rPr>
          <w:rFonts w:ascii="Times New Roman" w:eastAsia="Times New Roman" w:hAnsi="Times New Roman" w:cs="Times New Roman"/>
          <w:color w:val="000000" w:themeColor="text1"/>
          <w:sz w:val="24"/>
          <w:szCs w:val="24"/>
        </w:rPr>
        <w:t xml:space="preserve"> Therefore, future studies should consider some of these possible extensions to yield informative results regarding </w:t>
      </w:r>
      <w:r w:rsidR="683E284D" w:rsidRPr="6209BDDA">
        <w:rPr>
          <w:rFonts w:ascii="Times New Roman" w:eastAsia="Times New Roman" w:hAnsi="Times New Roman" w:cs="Times New Roman"/>
          <w:color w:val="000000" w:themeColor="text1"/>
          <w:sz w:val="24"/>
          <w:szCs w:val="24"/>
        </w:rPr>
        <w:t>the effects of lead exposure on human life.</w:t>
      </w:r>
    </w:p>
    <w:p w14:paraId="726ED388" w14:textId="1896DF13" w:rsidR="6209BDDA" w:rsidRDefault="6209BDDA" w:rsidP="00E8360C">
      <w:pPr>
        <w:spacing w:after="0" w:line="480" w:lineRule="auto"/>
        <w:ind w:firstLine="720"/>
        <w:jc w:val="both"/>
        <w:rPr>
          <w:rFonts w:ascii="Times New Roman" w:eastAsia="Times New Roman" w:hAnsi="Times New Roman" w:cs="Times New Roman"/>
          <w:color w:val="000000" w:themeColor="text1"/>
          <w:sz w:val="24"/>
          <w:szCs w:val="24"/>
        </w:rPr>
      </w:pPr>
    </w:p>
    <w:sectPr w:rsidR="6209BDDA" w:rsidSect="00E659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340DA" w14:textId="77777777" w:rsidR="00A07CFF" w:rsidRDefault="00A07CFF" w:rsidP="00E659DA">
      <w:pPr>
        <w:spacing w:after="0" w:line="240" w:lineRule="auto"/>
      </w:pPr>
      <w:r>
        <w:separator/>
      </w:r>
    </w:p>
  </w:endnote>
  <w:endnote w:type="continuationSeparator" w:id="0">
    <w:p w14:paraId="14DBC788" w14:textId="77777777" w:rsidR="00A07CFF" w:rsidRDefault="00A07CFF" w:rsidP="00E659DA">
      <w:pPr>
        <w:spacing w:after="0" w:line="240" w:lineRule="auto"/>
      </w:pPr>
      <w:r>
        <w:continuationSeparator/>
      </w:r>
    </w:p>
  </w:endnote>
  <w:endnote w:type="continuationNotice" w:id="1">
    <w:p w14:paraId="7C34C0CB" w14:textId="77777777" w:rsidR="00A07CFF" w:rsidRDefault="00A07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541794"/>
      <w:docPartObj>
        <w:docPartGallery w:val="Page Numbers (Bottom of Page)"/>
        <w:docPartUnique/>
      </w:docPartObj>
    </w:sdtPr>
    <w:sdtEndPr>
      <w:rPr>
        <w:noProof/>
      </w:rPr>
    </w:sdtEndPr>
    <w:sdtContent>
      <w:p w14:paraId="07B7FB84" w14:textId="71D50549" w:rsidR="00E659DA" w:rsidRDefault="00E659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41C80" w14:textId="77777777" w:rsidR="00E659DA" w:rsidRDefault="00E65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189E6" w14:textId="77777777" w:rsidR="00A07CFF" w:rsidRDefault="00A07CFF" w:rsidP="00E659DA">
      <w:pPr>
        <w:spacing w:after="0" w:line="240" w:lineRule="auto"/>
      </w:pPr>
      <w:r>
        <w:separator/>
      </w:r>
    </w:p>
  </w:footnote>
  <w:footnote w:type="continuationSeparator" w:id="0">
    <w:p w14:paraId="71A7B84F" w14:textId="77777777" w:rsidR="00A07CFF" w:rsidRDefault="00A07CFF" w:rsidP="00E659DA">
      <w:pPr>
        <w:spacing w:after="0" w:line="240" w:lineRule="auto"/>
      </w:pPr>
      <w:r>
        <w:continuationSeparator/>
      </w:r>
    </w:p>
  </w:footnote>
  <w:footnote w:type="continuationNotice" w:id="1">
    <w:p w14:paraId="7A192A51" w14:textId="77777777" w:rsidR="00A07CFF" w:rsidRDefault="00A07C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707"/>
    <w:multiLevelType w:val="hybridMultilevel"/>
    <w:tmpl w:val="DC543D82"/>
    <w:lvl w:ilvl="0" w:tplc="C93A6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4691C"/>
    <w:multiLevelType w:val="hybridMultilevel"/>
    <w:tmpl w:val="725CC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B697E"/>
    <w:rsid w:val="00000A1E"/>
    <w:rsid w:val="00023907"/>
    <w:rsid w:val="00025DF1"/>
    <w:rsid w:val="00033D93"/>
    <w:rsid w:val="00035BA4"/>
    <w:rsid w:val="00041A22"/>
    <w:rsid w:val="000557F0"/>
    <w:rsid w:val="000613D7"/>
    <w:rsid w:val="00071993"/>
    <w:rsid w:val="000755EA"/>
    <w:rsid w:val="00092B34"/>
    <w:rsid w:val="00093FFF"/>
    <w:rsid w:val="00097EC8"/>
    <w:rsid w:val="000A2F44"/>
    <w:rsid w:val="000B22AD"/>
    <w:rsid w:val="000C3266"/>
    <w:rsid w:val="000C608B"/>
    <w:rsid w:val="000D0609"/>
    <w:rsid w:val="000D24AE"/>
    <w:rsid w:val="000E03F5"/>
    <w:rsid w:val="000E6225"/>
    <w:rsid w:val="000F14A2"/>
    <w:rsid w:val="000F4EEE"/>
    <w:rsid w:val="001137DB"/>
    <w:rsid w:val="00120787"/>
    <w:rsid w:val="001250DF"/>
    <w:rsid w:val="00144FFB"/>
    <w:rsid w:val="0014643F"/>
    <w:rsid w:val="001471CB"/>
    <w:rsid w:val="00162278"/>
    <w:rsid w:val="00165B05"/>
    <w:rsid w:val="001678C2"/>
    <w:rsid w:val="00175A50"/>
    <w:rsid w:val="00184793"/>
    <w:rsid w:val="001A4BC7"/>
    <w:rsid w:val="001A5FAE"/>
    <w:rsid w:val="001A68B9"/>
    <w:rsid w:val="001A755A"/>
    <w:rsid w:val="001A7A89"/>
    <w:rsid w:val="001B3AC2"/>
    <w:rsid w:val="001C7938"/>
    <w:rsid w:val="001D3362"/>
    <w:rsid w:val="001E357D"/>
    <w:rsid w:val="001E7019"/>
    <w:rsid w:val="001F13F7"/>
    <w:rsid w:val="001F2E7E"/>
    <w:rsid w:val="001F398F"/>
    <w:rsid w:val="001F3CB7"/>
    <w:rsid w:val="002170A3"/>
    <w:rsid w:val="00220FB7"/>
    <w:rsid w:val="00222E44"/>
    <w:rsid w:val="00223F3B"/>
    <w:rsid w:val="002271B9"/>
    <w:rsid w:val="002272D6"/>
    <w:rsid w:val="00236453"/>
    <w:rsid w:val="002376F1"/>
    <w:rsid w:val="00241254"/>
    <w:rsid w:val="002440CA"/>
    <w:rsid w:val="002631A4"/>
    <w:rsid w:val="0026325B"/>
    <w:rsid w:val="002814DD"/>
    <w:rsid w:val="00281D26"/>
    <w:rsid w:val="00287207"/>
    <w:rsid w:val="002925FB"/>
    <w:rsid w:val="002A0992"/>
    <w:rsid w:val="002A4EBA"/>
    <w:rsid w:val="002B309B"/>
    <w:rsid w:val="002B6463"/>
    <w:rsid w:val="002B7F94"/>
    <w:rsid w:val="002C2458"/>
    <w:rsid w:val="002E1141"/>
    <w:rsid w:val="002E462E"/>
    <w:rsid w:val="002F5258"/>
    <w:rsid w:val="002F7756"/>
    <w:rsid w:val="00303CD7"/>
    <w:rsid w:val="00306D57"/>
    <w:rsid w:val="003106DB"/>
    <w:rsid w:val="00312A75"/>
    <w:rsid w:val="00315639"/>
    <w:rsid w:val="003317AB"/>
    <w:rsid w:val="00333520"/>
    <w:rsid w:val="003352C2"/>
    <w:rsid w:val="00350FB2"/>
    <w:rsid w:val="00351E5D"/>
    <w:rsid w:val="00355DE1"/>
    <w:rsid w:val="00356C7C"/>
    <w:rsid w:val="003657DA"/>
    <w:rsid w:val="00375DB2"/>
    <w:rsid w:val="0037732B"/>
    <w:rsid w:val="0037788D"/>
    <w:rsid w:val="00381BE8"/>
    <w:rsid w:val="00383089"/>
    <w:rsid w:val="00394A36"/>
    <w:rsid w:val="003979D7"/>
    <w:rsid w:val="003A689F"/>
    <w:rsid w:val="003B7B3D"/>
    <w:rsid w:val="003C6795"/>
    <w:rsid w:val="003E235E"/>
    <w:rsid w:val="003F0BD1"/>
    <w:rsid w:val="003F6758"/>
    <w:rsid w:val="003F7B07"/>
    <w:rsid w:val="0040391C"/>
    <w:rsid w:val="004111BF"/>
    <w:rsid w:val="00421044"/>
    <w:rsid w:val="0042686C"/>
    <w:rsid w:val="00431EDE"/>
    <w:rsid w:val="00437BC9"/>
    <w:rsid w:val="004415D3"/>
    <w:rsid w:val="00464790"/>
    <w:rsid w:val="0047100D"/>
    <w:rsid w:val="00477FAE"/>
    <w:rsid w:val="00480DA9"/>
    <w:rsid w:val="00482C09"/>
    <w:rsid w:val="004A2BF1"/>
    <w:rsid w:val="004A4E59"/>
    <w:rsid w:val="004A580F"/>
    <w:rsid w:val="004B0146"/>
    <w:rsid w:val="004B02BC"/>
    <w:rsid w:val="004B65A4"/>
    <w:rsid w:val="004C6ED7"/>
    <w:rsid w:val="004D3D12"/>
    <w:rsid w:val="004D4440"/>
    <w:rsid w:val="004D5E16"/>
    <w:rsid w:val="004E17D7"/>
    <w:rsid w:val="004E7103"/>
    <w:rsid w:val="004E71CC"/>
    <w:rsid w:val="004F55A9"/>
    <w:rsid w:val="004F715D"/>
    <w:rsid w:val="0050517A"/>
    <w:rsid w:val="0051243F"/>
    <w:rsid w:val="00512BE0"/>
    <w:rsid w:val="005151F5"/>
    <w:rsid w:val="005155BB"/>
    <w:rsid w:val="005164BE"/>
    <w:rsid w:val="0053182B"/>
    <w:rsid w:val="00535FD4"/>
    <w:rsid w:val="00546D89"/>
    <w:rsid w:val="00547967"/>
    <w:rsid w:val="00560E87"/>
    <w:rsid w:val="00565C7A"/>
    <w:rsid w:val="00566B48"/>
    <w:rsid w:val="00570C3C"/>
    <w:rsid w:val="00584865"/>
    <w:rsid w:val="005862E8"/>
    <w:rsid w:val="00586B10"/>
    <w:rsid w:val="005A7858"/>
    <w:rsid w:val="005C371C"/>
    <w:rsid w:val="005C41BE"/>
    <w:rsid w:val="005D68EC"/>
    <w:rsid w:val="005E08C1"/>
    <w:rsid w:val="005E241D"/>
    <w:rsid w:val="00602803"/>
    <w:rsid w:val="00603DF9"/>
    <w:rsid w:val="006127FB"/>
    <w:rsid w:val="00613220"/>
    <w:rsid w:val="00625F75"/>
    <w:rsid w:val="00643228"/>
    <w:rsid w:val="00643848"/>
    <w:rsid w:val="0064700A"/>
    <w:rsid w:val="0064781F"/>
    <w:rsid w:val="00647B87"/>
    <w:rsid w:val="00655064"/>
    <w:rsid w:val="00656ED2"/>
    <w:rsid w:val="00661423"/>
    <w:rsid w:val="0067412D"/>
    <w:rsid w:val="006807E4"/>
    <w:rsid w:val="006842F7"/>
    <w:rsid w:val="00686F3E"/>
    <w:rsid w:val="006A1CBD"/>
    <w:rsid w:val="006A219F"/>
    <w:rsid w:val="006A4EFF"/>
    <w:rsid w:val="006B5C5B"/>
    <w:rsid w:val="006B6447"/>
    <w:rsid w:val="006C016C"/>
    <w:rsid w:val="006C6017"/>
    <w:rsid w:val="006D0704"/>
    <w:rsid w:val="006E194D"/>
    <w:rsid w:val="006E51E1"/>
    <w:rsid w:val="006F2189"/>
    <w:rsid w:val="006F2254"/>
    <w:rsid w:val="007007C9"/>
    <w:rsid w:val="00705225"/>
    <w:rsid w:val="007168C9"/>
    <w:rsid w:val="00723DE8"/>
    <w:rsid w:val="00736208"/>
    <w:rsid w:val="00736657"/>
    <w:rsid w:val="00746A54"/>
    <w:rsid w:val="007551B2"/>
    <w:rsid w:val="00755599"/>
    <w:rsid w:val="007611AB"/>
    <w:rsid w:val="00762998"/>
    <w:rsid w:val="00786C2F"/>
    <w:rsid w:val="00791081"/>
    <w:rsid w:val="00791113"/>
    <w:rsid w:val="007A23BF"/>
    <w:rsid w:val="007A3A42"/>
    <w:rsid w:val="007B32D6"/>
    <w:rsid w:val="007E5124"/>
    <w:rsid w:val="007F5F3B"/>
    <w:rsid w:val="0080341C"/>
    <w:rsid w:val="00807AFF"/>
    <w:rsid w:val="00812510"/>
    <w:rsid w:val="00812DAD"/>
    <w:rsid w:val="00815160"/>
    <w:rsid w:val="008303C9"/>
    <w:rsid w:val="008427B7"/>
    <w:rsid w:val="00844F75"/>
    <w:rsid w:val="00856BD9"/>
    <w:rsid w:val="008625EE"/>
    <w:rsid w:val="008629F8"/>
    <w:rsid w:val="00865E33"/>
    <w:rsid w:val="00867DAD"/>
    <w:rsid w:val="00883748"/>
    <w:rsid w:val="00887C30"/>
    <w:rsid w:val="008911C2"/>
    <w:rsid w:val="00892668"/>
    <w:rsid w:val="00894504"/>
    <w:rsid w:val="00895954"/>
    <w:rsid w:val="008A1FED"/>
    <w:rsid w:val="008A2F0C"/>
    <w:rsid w:val="008B0B5F"/>
    <w:rsid w:val="008B0ED5"/>
    <w:rsid w:val="008C79F2"/>
    <w:rsid w:val="008D2894"/>
    <w:rsid w:val="008E1BD0"/>
    <w:rsid w:val="008E7E26"/>
    <w:rsid w:val="008F0C83"/>
    <w:rsid w:val="008F14CE"/>
    <w:rsid w:val="008F3EBC"/>
    <w:rsid w:val="008F41D3"/>
    <w:rsid w:val="00907069"/>
    <w:rsid w:val="00916E40"/>
    <w:rsid w:val="00947992"/>
    <w:rsid w:val="009535B2"/>
    <w:rsid w:val="0095629D"/>
    <w:rsid w:val="009578D3"/>
    <w:rsid w:val="00966D10"/>
    <w:rsid w:val="00975836"/>
    <w:rsid w:val="009A101F"/>
    <w:rsid w:val="009B41F0"/>
    <w:rsid w:val="009B52C4"/>
    <w:rsid w:val="009C2D86"/>
    <w:rsid w:val="009C639A"/>
    <w:rsid w:val="009C67FA"/>
    <w:rsid w:val="009D22B9"/>
    <w:rsid w:val="009E0DEF"/>
    <w:rsid w:val="009E35CC"/>
    <w:rsid w:val="009F36CA"/>
    <w:rsid w:val="009F7F55"/>
    <w:rsid w:val="00A01FC4"/>
    <w:rsid w:val="00A07CFF"/>
    <w:rsid w:val="00A118FF"/>
    <w:rsid w:val="00A13897"/>
    <w:rsid w:val="00A1396B"/>
    <w:rsid w:val="00A34354"/>
    <w:rsid w:val="00A44D92"/>
    <w:rsid w:val="00A63B8C"/>
    <w:rsid w:val="00A824ED"/>
    <w:rsid w:val="00A926CD"/>
    <w:rsid w:val="00AA7E0C"/>
    <w:rsid w:val="00AB08CF"/>
    <w:rsid w:val="00AC18F8"/>
    <w:rsid w:val="00AD0214"/>
    <w:rsid w:val="00AD19BE"/>
    <w:rsid w:val="00AD5410"/>
    <w:rsid w:val="00AF694F"/>
    <w:rsid w:val="00B0437D"/>
    <w:rsid w:val="00B263B9"/>
    <w:rsid w:val="00B34778"/>
    <w:rsid w:val="00B3575A"/>
    <w:rsid w:val="00B42CB0"/>
    <w:rsid w:val="00B446F1"/>
    <w:rsid w:val="00B469E4"/>
    <w:rsid w:val="00B4724D"/>
    <w:rsid w:val="00B512BC"/>
    <w:rsid w:val="00B518E5"/>
    <w:rsid w:val="00B528CD"/>
    <w:rsid w:val="00B55427"/>
    <w:rsid w:val="00B65001"/>
    <w:rsid w:val="00B71313"/>
    <w:rsid w:val="00B76B6B"/>
    <w:rsid w:val="00B77824"/>
    <w:rsid w:val="00B86B29"/>
    <w:rsid w:val="00B90364"/>
    <w:rsid w:val="00B9338F"/>
    <w:rsid w:val="00B95396"/>
    <w:rsid w:val="00BA5AD4"/>
    <w:rsid w:val="00BB1F90"/>
    <w:rsid w:val="00BB2231"/>
    <w:rsid w:val="00BC39CC"/>
    <w:rsid w:val="00BC571C"/>
    <w:rsid w:val="00BD129D"/>
    <w:rsid w:val="00BD15D4"/>
    <w:rsid w:val="00BD1C2C"/>
    <w:rsid w:val="00BD6EAC"/>
    <w:rsid w:val="00BF4F1F"/>
    <w:rsid w:val="00BF797A"/>
    <w:rsid w:val="00BF7FF7"/>
    <w:rsid w:val="00C00030"/>
    <w:rsid w:val="00C04045"/>
    <w:rsid w:val="00C06C5A"/>
    <w:rsid w:val="00C32088"/>
    <w:rsid w:val="00C3714B"/>
    <w:rsid w:val="00C42E45"/>
    <w:rsid w:val="00C45C4B"/>
    <w:rsid w:val="00C51081"/>
    <w:rsid w:val="00C51526"/>
    <w:rsid w:val="00C51AE4"/>
    <w:rsid w:val="00C569B2"/>
    <w:rsid w:val="00C65A58"/>
    <w:rsid w:val="00C67748"/>
    <w:rsid w:val="00C70195"/>
    <w:rsid w:val="00C74481"/>
    <w:rsid w:val="00C82FEF"/>
    <w:rsid w:val="00C873F2"/>
    <w:rsid w:val="00C92542"/>
    <w:rsid w:val="00CC1C48"/>
    <w:rsid w:val="00CC3EC1"/>
    <w:rsid w:val="00CD6648"/>
    <w:rsid w:val="00CE1758"/>
    <w:rsid w:val="00CE1BA3"/>
    <w:rsid w:val="00CF146B"/>
    <w:rsid w:val="00D015F7"/>
    <w:rsid w:val="00D06471"/>
    <w:rsid w:val="00D10F9B"/>
    <w:rsid w:val="00D17293"/>
    <w:rsid w:val="00D17E3B"/>
    <w:rsid w:val="00D401A4"/>
    <w:rsid w:val="00D42E16"/>
    <w:rsid w:val="00D677C9"/>
    <w:rsid w:val="00D719E9"/>
    <w:rsid w:val="00D851B1"/>
    <w:rsid w:val="00D85EB1"/>
    <w:rsid w:val="00D90B78"/>
    <w:rsid w:val="00D915E6"/>
    <w:rsid w:val="00DA1517"/>
    <w:rsid w:val="00DA3B3F"/>
    <w:rsid w:val="00DB645B"/>
    <w:rsid w:val="00DB692E"/>
    <w:rsid w:val="00DC3086"/>
    <w:rsid w:val="00DD2E4E"/>
    <w:rsid w:val="00DE00D8"/>
    <w:rsid w:val="00DE0E8B"/>
    <w:rsid w:val="00E04E60"/>
    <w:rsid w:val="00E06683"/>
    <w:rsid w:val="00E12BEE"/>
    <w:rsid w:val="00E30672"/>
    <w:rsid w:val="00E3079E"/>
    <w:rsid w:val="00E31A30"/>
    <w:rsid w:val="00E32976"/>
    <w:rsid w:val="00E34EC5"/>
    <w:rsid w:val="00E3697E"/>
    <w:rsid w:val="00E40F9F"/>
    <w:rsid w:val="00E4572B"/>
    <w:rsid w:val="00E46A19"/>
    <w:rsid w:val="00E52591"/>
    <w:rsid w:val="00E54DA4"/>
    <w:rsid w:val="00E55F80"/>
    <w:rsid w:val="00E565F8"/>
    <w:rsid w:val="00E659DA"/>
    <w:rsid w:val="00E80585"/>
    <w:rsid w:val="00E8360C"/>
    <w:rsid w:val="00E83F30"/>
    <w:rsid w:val="00EB3FDA"/>
    <w:rsid w:val="00EC0138"/>
    <w:rsid w:val="00EC12A2"/>
    <w:rsid w:val="00EE4752"/>
    <w:rsid w:val="00EF2DBF"/>
    <w:rsid w:val="00EF48DC"/>
    <w:rsid w:val="00F202E2"/>
    <w:rsid w:val="00F443F0"/>
    <w:rsid w:val="00F53990"/>
    <w:rsid w:val="00F73B3E"/>
    <w:rsid w:val="00F74BEB"/>
    <w:rsid w:val="00F81F7A"/>
    <w:rsid w:val="00F82BE2"/>
    <w:rsid w:val="00F93F69"/>
    <w:rsid w:val="00FA0E69"/>
    <w:rsid w:val="00FA40E8"/>
    <w:rsid w:val="00FA677E"/>
    <w:rsid w:val="00FD5B98"/>
    <w:rsid w:val="00FF7F8C"/>
    <w:rsid w:val="01523044"/>
    <w:rsid w:val="0165C74A"/>
    <w:rsid w:val="029794E0"/>
    <w:rsid w:val="02B79DD6"/>
    <w:rsid w:val="02E256AA"/>
    <w:rsid w:val="02FA9129"/>
    <w:rsid w:val="049B9877"/>
    <w:rsid w:val="04AE9930"/>
    <w:rsid w:val="04FB6422"/>
    <w:rsid w:val="0529E738"/>
    <w:rsid w:val="0550ECD9"/>
    <w:rsid w:val="057801A7"/>
    <w:rsid w:val="058EB36D"/>
    <w:rsid w:val="05EAC7EE"/>
    <w:rsid w:val="0644565A"/>
    <w:rsid w:val="0707DDCF"/>
    <w:rsid w:val="071EC599"/>
    <w:rsid w:val="088ECFC6"/>
    <w:rsid w:val="095376FC"/>
    <w:rsid w:val="097C414B"/>
    <w:rsid w:val="098741C6"/>
    <w:rsid w:val="0AA34F67"/>
    <w:rsid w:val="0B0A7222"/>
    <w:rsid w:val="0B163002"/>
    <w:rsid w:val="0BD8F580"/>
    <w:rsid w:val="0C5613A7"/>
    <w:rsid w:val="0C5939F3"/>
    <w:rsid w:val="0C7689E2"/>
    <w:rsid w:val="0C9802D5"/>
    <w:rsid w:val="0C9B87A9"/>
    <w:rsid w:val="0CA58372"/>
    <w:rsid w:val="0CEC9616"/>
    <w:rsid w:val="0D573DCB"/>
    <w:rsid w:val="0D93E6B1"/>
    <w:rsid w:val="0DE2D335"/>
    <w:rsid w:val="0DE506B9"/>
    <w:rsid w:val="0E2EAFAA"/>
    <w:rsid w:val="0E528C6F"/>
    <w:rsid w:val="0E6EB5A7"/>
    <w:rsid w:val="0FCB5F2B"/>
    <w:rsid w:val="10016179"/>
    <w:rsid w:val="102691CE"/>
    <w:rsid w:val="1088681A"/>
    <w:rsid w:val="110E3FE2"/>
    <w:rsid w:val="115A3396"/>
    <w:rsid w:val="11E2A2E6"/>
    <w:rsid w:val="124C2658"/>
    <w:rsid w:val="12654051"/>
    <w:rsid w:val="129384F0"/>
    <w:rsid w:val="12B2D9C4"/>
    <w:rsid w:val="13076D04"/>
    <w:rsid w:val="1360A891"/>
    <w:rsid w:val="13E7E0CE"/>
    <w:rsid w:val="1470DACA"/>
    <w:rsid w:val="14AAE2C1"/>
    <w:rsid w:val="14AD4E31"/>
    <w:rsid w:val="15090A20"/>
    <w:rsid w:val="15BEBF8F"/>
    <w:rsid w:val="16517F23"/>
    <w:rsid w:val="171BB002"/>
    <w:rsid w:val="17B589FA"/>
    <w:rsid w:val="184C95DD"/>
    <w:rsid w:val="185587FC"/>
    <w:rsid w:val="18E126F6"/>
    <w:rsid w:val="19E10786"/>
    <w:rsid w:val="19F60817"/>
    <w:rsid w:val="1BC26111"/>
    <w:rsid w:val="1C0DEF02"/>
    <w:rsid w:val="1C209A29"/>
    <w:rsid w:val="1C20DCEC"/>
    <w:rsid w:val="1CA2C173"/>
    <w:rsid w:val="1CAB25BB"/>
    <w:rsid w:val="1CECC064"/>
    <w:rsid w:val="1D9663DD"/>
    <w:rsid w:val="1DB55522"/>
    <w:rsid w:val="1DCA90C9"/>
    <w:rsid w:val="1E1B697E"/>
    <w:rsid w:val="1E459714"/>
    <w:rsid w:val="1E492AEB"/>
    <w:rsid w:val="1E51B38D"/>
    <w:rsid w:val="1E9274F6"/>
    <w:rsid w:val="1EC36644"/>
    <w:rsid w:val="1EC84E9C"/>
    <w:rsid w:val="1EF597F1"/>
    <w:rsid w:val="1EFC394A"/>
    <w:rsid w:val="1F6E5138"/>
    <w:rsid w:val="1FC3F0F2"/>
    <w:rsid w:val="1FD23AC0"/>
    <w:rsid w:val="207E8FF1"/>
    <w:rsid w:val="21AB7DAD"/>
    <w:rsid w:val="21DCC535"/>
    <w:rsid w:val="21F7FB8A"/>
    <w:rsid w:val="22BF0EC3"/>
    <w:rsid w:val="22D0547A"/>
    <w:rsid w:val="22EA73C9"/>
    <w:rsid w:val="22EBF674"/>
    <w:rsid w:val="234498F2"/>
    <w:rsid w:val="236C5EDB"/>
    <w:rsid w:val="23DD955C"/>
    <w:rsid w:val="23EF33E4"/>
    <w:rsid w:val="257F7C22"/>
    <w:rsid w:val="25E7972B"/>
    <w:rsid w:val="27516568"/>
    <w:rsid w:val="2761A746"/>
    <w:rsid w:val="28054EA5"/>
    <w:rsid w:val="29CEFF4C"/>
    <w:rsid w:val="2A0E47E7"/>
    <w:rsid w:val="2A668C9E"/>
    <w:rsid w:val="2AF5AD9C"/>
    <w:rsid w:val="2AF7AA25"/>
    <w:rsid w:val="2B3165B1"/>
    <w:rsid w:val="2B50368C"/>
    <w:rsid w:val="2B568015"/>
    <w:rsid w:val="2B6611B6"/>
    <w:rsid w:val="2B67A8AF"/>
    <w:rsid w:val="2B702494"/>
    <w:rsid w:val="2BC65BC9"/>
    <w:rsid w:val="2C455658"/>
    <w:rsid w:val="2CB9EC2E"/>
    <w:rsid w:val="2D09DD89"/>
    <w:rsid w:val="2D6663AC"/>
    <w:rsid w:val="2D78DA5D"/>
    <w:rsid w:val="2DD244EA"/>
    <w:rsid w:val="2EC0499E"/>
    <w:rsid w:val="2EF9F92C"/>
    <w:rsid w:val="2EFE62C2"/>
    <w:rsid w:val="2F1A0796"/>
    <w:rsid w:val="31057D3A"/>
    <w:rsid w:val="311C8F13"/>
    <w:rsid w:val="315891AC"/>
    <w:rsid w:val="316D27FB"/>
    <w:rsid w:val="322E39C3"/>
    <w:rsid w:val="32363ECB"/>
    <w:rsid w:val="3238F37B"/>
    <w:rsid w:val="32C76E5B"/>
    <w:rsid w:val="32F63E9E"/>
    <w:rsid w:val="3338943C"/>
    <w:rsid w:val="352D85EC"/>
    <w:rsid w:val="3688DF88"/>
    <w:rsid w:val="36BFEB1B"/>
    <w:rsid w:val="372D5226"/>
    <w:rsid w:val="377B97BB"/>
    <w:rsid w:val="37DFCCB9"/>
    <w:rsid w:val="37EA9584"/>
    <w:rsid w:val="37FD7A61"/>
    <w:rsid w:val="3804CB00"/>
    <w:rsid w:val="383E0801"/>
    <w:rsid w:val="3859C73B"/>
    <w:rsid w:val="388A912B"/>
    <w:rsid w:val="388DBD02"/>
    <w:rsid w:val="38C56DF6"/>
    <w:rsid w:val="3923AE72"/>
    <w:rsid w:val="3994AC40"/>
    <w:rsid w:val="39DB6841"/>
    <w:rsid w:val="3A2B454F"/>
    <w:rsid w:val="3B93DDFB"/>
    <w:rsid w:val="3C2E480D"/>
    <w:rsid w:val="3C9812B4"/>
    <w:rsid w:val="3DA4A02F"/>
    <w:rsid w:val="3DB3B817"/>
    <w:rsid w:val="3DFD3786"/>
    <w:rsid w:val="3E696308"/>
    <w:rsid w:val="3F2B4BFE"/>
    <w:rsid w:val="3FEAD38B"/>
    <w:rsid w:val="400A519F"/>
    <w:rsid w:val="401EB31A"/>
    <w:rsid w:val="418E4724"/>
    <w:rsid w:val="4232851A"/>
    <w:rsid w:val="42EC2ED3"/>
    <w:rsid w:val="43FF4B28"/>
    <w:rsid w:val="449E0F1E"/>
    <w:rsid w:val="44F4ABB7"/>
    <w:rsid w:val="451928E9"/>
    <w:rsid w:val="454DBDFC"/>
    <w:rsid w:val="457E22A7"/>
    <w:rsid w:val="460CCC88"/>
    <w:rsid w:val="463662F8"/>
    <w:rsid w:val="46BB4D28"/>
    <w:rsid w:val="46DAC610"/>
    <w:rsid w:val="47D3130D"/>
    <w:rsid w:val="48132086"/>
    <w:rsid w:val="4835CF98"/>
    <w:rsid w:val="488203C9"/>
    <w:rsid w:val="48B303D5"/>
    <w:rsid w:val="493206E7"/>
    <w:rsid w:val="499B1209"/>
    <w:rsid w:val="4A23FADE"/>
    <w:rsid w:val="4B10A596"/>
    <w:rsid w:val="4BFD23A9"/>
    <w:rsid w:val="4C17DA2C"/>
    <w:rsid w:val="4C86A9B7"/>
    <w:rsid w:val="4CEF40CE"/>
    <w:rsid w:val="4E118286"/>
    <w:rsid w:val="4E702EC3"/>
    <w:rsid w:val="4F55B4B4"/>
    <w:rsid w:val="506B11CD"/>
    <w:rsid w:val="5078281B"/>
    <w:rsid w:val="50B23FE1"/>
    <w:rsid w:val="5144E001"/>
    <w:rsid w:val="51690B2E"/>
    <w:rsid w:val="517A8790"/>
    <w:rsid w:val="521654FC"/>
    <w:rsid w:val="5267BA16"/>
    <w:rsid w:val="52D8AEFE"/>
    <w:rsid w:val="52DD478D"/>
    <w:rsid w:val="53959EAF"/>
    <w:rsid w:val="53A3D325"/>
    <w:rsid w:val="544C6006"/>
    <w:rsid w:val="54559071"/>
    <w:rsid w:val="54C3EE2F"/>
    <w:rsid w:val="54CD1B1C"/>
    <w:rsid w:val="54ED472D"/>
    <w:rsid w:val="5509AF0E"/>
    <w:rsid w:val="5522026E"/>
    <w:rsid w:val="556F9A58"/>
    <w:rsid w:val="558CD8E7"/>
    <w:rsid w:val="55994289"/>
    <w:rsid w:val="560F2767"/>
    <w:rsid w:val="561A2F1A"/>
    <w:rsid w:val="56847557"/>
    <w:rsid w:val="572CB649"/>
    <w:rsid w:val="57BEC2D8"/>
    <w:rsid w:val="5897F2A7"/>
    <w:rsid w:val="591700BD"/>
    <w:rsid w:val="5926E69D"/>
    <w:rsid w:val="593D92F2"/>
    <w:rsid w:val="5992E38B"/>
    <w:rsid w:val="5A3F338E"/>
    <w:rsid w:val="5AF7E3A0"/>
    <w:rsid w:val="5B406E0B"/>
    <w:rsid w:val="5BC5DCB5"/>
    <w:rsid w:val="5C55806B"/>
    <w:rsid w:val="5C5A141C"/>
    <w:rsid w:val="5DB0A9AD"/>
    <w:rsid w:val="5DDB0A24"/>
    <w:rsid w:val="5DF1486F"/>
    <w:rsid w:val="5E626F38"/>
    <w:rsid w:val="5E994703"/>
    <w:rsid w:val="5F342EDB"/>
    <w:rsid w:val="5F4C260A"/>
    <w:rsid w:val="5F66D425"/>
    <w:rsid w:val="5FA06B7C"/>
    <w:rsid w:val="5FD572F8"/>
    <w:rsid w:val="5FEEC01F"/>
    <w:rsid w:val="601FA7D4"/>
    <w:rsid w:val="60491FCB"/>
    <w:rsid w:val="6100D9D0"/>
    <w:rsid w:val="6209BDDA"/>
    <w:rsid w:val="629113DD"/>
    <w:rsid w:val="62A4372E"/>
    <w:rsid w:val="62AE9DE5"/>
    <w:rsid w:val="632DBE73"/>
    <w:rsid w:val="6396093A"/>
    <w:rsid w:val="63C0B1FD"/>
    <w:rsid w:val="645D6ADF"/>
    <w:rsid w:val="64796781"/>
    <w:rsid w:val="64D8E431"/>
    <w:rsid w:val="64DA93B2"/>
    <w:rsid w:val="64FA24CD"/>
    <w:rsid w:val="651EC9ED"/>
    <w:rsid w:val="66031481"/>
    <w:rsid w:val="664904B9"/>
    <w:rsid w:val="665F33BA"/>
    <w:rsid w:val="674E99A2"/>
    <w:rsid w:val="6780DA50"/>
    <w:rsid w:val="67DAE320"/>
    <w:rsid w:val="6808F7FE"/>
    <w:rsid w:val="6809DE47"/>
    <w:rsid w:val="683E284D"/>
    <w:rsid w:val="68AD8672"/>
    <w:rsid w:val="68F3024A"/>
    <w:rsid w:val="69B11A36"/>
    <w:rsid w:val="69E9DD73"/>
    <w:rsid w:val="69FB1F10"/>
    <w:rsid w:val="6B4DEE48"/>
    <w:rsid w:val="6B51CAAC"/>
    <w:rsid w:val="6B533B86"/>
    <w:rsid w:val="6B94CA04"/>
    <w:rsid w:val="6C9272F2"/>
    <w:rsid w:val="6C9C11B2"/>
    <w:rsid w:val="6CB8D04A"/>
    <w:rsid w:val="6D6AB335"/>
    <w:rsid w:val="6D8226E5"/>
    <w:rsid w:val="6DC3E011"/>
    <w:rsid w:val="6E5B60C5"/>
    <w:rsid w:val="6E954128"/>
    <w:rsid w:val="6EBEFC50"/>
    <w:rsid w:val="6EE1B04C"/>
    <w:rsid w:val="6F41703A"/>
    <w:rsid w:val="6FD8CDCD"/>
    <w:rsid w:val="7071665B"/>
    <w:rsid w:val="70EE304D"/>
    <w:rsid w:val="71220A78"/>
    <w:rsid w:val="721DDBBC"/>
    <w:rsid w:val="726DF507"/>
    <w:rsid w:val="7315C0DF"/>
    <w:rsid w:val="73B94D27"/>
    <w:rsid w:val="73E550B8"/>
    <w:rsid w:val="74032ABE"/>
    <w:rsid w:val="74A47814"/>
    <w:rsid w:val="74B8C119"/>
    <w:rsid w:val="7563F114"/>
    <w:rsid w:val="75DED546"/>
    <w:rsid w:val="76956731"/>
    <w:rsid w:val="76B75EB9"/>
    <w:rsid w:val="76D0A969"/>
    <w:rsid w:val="76DB0129"/>
    <w:rsid w:val="76E36752"/>
    <w:rsid w:val="777E6A81"/>
    <w:rsid w:val="77CDE3AD"/>
    <w:rsid w:val="78227B85"/>
    <w:rsid w:val="7859CD9C"/>
    <w:rsid w:val="78E99D43"/>
    <w:rsid w:val="7976918D"/>
    <w:rsid w:val="797E46E4"/>
    <w:rsid w:val="79B28221"/>
    <w:rsid w:val="79B60521"/>
    <w:rsid w:val="79CD551D"/>
    <w:rsid w:val="79D3575E"/>
    <w:rsid w:val="7A530694"/>
    <w:rsid w:val="7B119D44"/>
    <w:rsid w:val="7B194784"/>
    <w:rsid w:val="7C2D9A1B"/>
    <w:rsid w:val="7D158A2D"/>
    <w:rsid w:val="7E1329F6"/>
    <w:rsid w:val="7EDFAAD1"/>
    <w:rsid w:val="7F3CC78C"/>
    <w:rsid w:val="7F45A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C36"/>
  <w15:chartTrackingRefBased/>
  <w15:docId w15:val="{938C1E51-061D-4707-B0FF-0002212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2BC"/>
    <w:pPr>
      <w:ind w:left="720"/>
      <w:contextualSpacing/>
    </w:pPr>
  </w:style>
  <w:style w:type="paragraph" w:styleId="Header">
    <w:name w:val="header"/>
    <w:basedOn w:val="Normal"/>
    <w:link w:val="HeaderChar"/>
    <w:uiPriority w:val="99"/>
    <w:unhideWhenUsed/>
    <w:rsid w:val="00E6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9DA"/>
  </w:style>
  <w:style w:type="paragraph" w:styleId="Footer">
    <w:name w:val="footer"/>
    <w:basedOn w:val="Normal"/>
    <w:link w:val="FooterChar"/>
    <w:uiPriority w:val="99"/>
    <w:unhideWhenUsed/>
    <w:rsid w:val="00E6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9D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966D10"/>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0B2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5182">
      <w:bodyDiv w:val="1"/>
      <w:marLeft w:val="0"/>
      <w:marRight w:val="0"/>
      <w:marTop w:val="0"/>
      <w:marBottom w:val="0"/>
      <w:divBdr>
        <w:top w:val="none" w:sz="0" w:space="0" w:color="auto"/>
        <w:left w:val="none" w:sz="0" w:space="0" w:color="auto"/>
        <w:bottom w:val="none" w:sz="0" w:space="0" w:color="auto"/>
        <w:right w:val="none" w:sz="0" w:space="0" w:color="auto"/>
      </w:divBdr>
    </w:div>
    <w:div w:id="110903190">
      <w:bodyDiv w:val="1"/>
      <w:marLeft w:val="0"/>
      <w:marRight w:val="0"/>
      <w:marTop w:val="0"/>
      <w:marBottom w:val="0"/>
      <w:divBdr>
        <w:top w:val="none" w:sz="0" w:space="0" w:color="auto"/>
        <w:left w:val="none" w:sz="0" w:space="0" w:color="auto"/>
        <w:bottom w:val="none" w:sz="0" w:space="0" w:color="auto"/>
        <w:right w:val="none" w:sz="0" w:space="0" w:color="auto"/>
      </w:divBdr>
    </w:div>
    <w:div w:id="314338088">
      <w:bodyDiv w:val="1"/>
      <w:marLeft w:val="0"/>
      <w:marRight w:val="0"/>
      <w:marTop w:val="0"/>
      <w:marBottom w:val="0"/>
      <w:divBdr>
        <w:top w:val="none" w:sz="0" w:space="0" w:color="auto"/>
        <w:left w:val="none" w:sz="0" w:space="0" w:color="auto"/>
        <w:bottom w:val="none" w:sz="0" w:space="0" w:color="auto"/>
        <w:right w:val="none" w:sz="0" w:space="0" w:color="auto"/>
      </w:divBdr>
    </w:div>
    <w:div w:id="391851061">
      <w:bodyDiv w:val="1"/>
      <w:marLeft w:val="0"/>
      <w:marRight w:val="0"/>
      <w:marTop w:val="0"/>
      <w:marBottom w:val="0"/>
      <w:divBdr>
        <w:top w:val="none" w:sz="0" w:space="0" w:color="auto"/>
        <w:left w:val="none" w:sz="0" w:space="0" w:color="auto"/>
        <w:bottom w:val="none" w:sz="0" w:space="0" w:color="auto"/>
        <w:right w:val="none" w:sz="0" w:space="0" w:color="auto"/>
      </w:divBdr>
    </w:div>
    <w:div w:id="410351442">
      <w:bodyDiv w:val="1"/>
      <w:marLeft w:val="0"/>
      <w:marRight w:val="0"/>
      <w:marTop w:val="0"/>
      <w:marBottom w:val="0"/>
      <w:divBdr>
        <w:top w:val="none" w:sz="0" w:space="0" w:color="auto"/>
        <w:left w:val="none" w:sz="0" w:space="0" w:color="auto"/>
        <w:bottom w:val="none" w:sz="0" w:space="0" w:color="auto"/>
        <w:right w:val="none" w:sz="0" w:space="0" w:color="auto"/>
      </w:divBdr>
    </w:div>
    <w:div w:id="553732974">
      <w:bodyDiv w:val="1"/>
      <w:marLeft w:val="0"/>
      <w:marRight w:val="0"/>
      <w:marTop w:val="0"/>
      <w:marBottom w:val="0"/>
      <w:divBdr>
        <w:top w:val="none" w:sz="0" w:space="0" w:color="auto"/>
        <w:left w:val="none" w:sz="0" w:space="0" w:color="auto"/>
        <w:bottom w:val="none" w:sz="0" w:space="0" w:color="auto"/>
        <w:right w:val="none" w:sz="0" w:space="0" w:color="auto"/>
      </w:divBdr>
    </w:div>
    <w:div w:id="590242563">
      <w:bodyDiv w:val="1"/>
      <w:marLeft w:val="0"/>
      <w:marRight w:val="0"/>
      <w:marTop w:val="0"/>
      <w:marBottom w:val="0"/>
      <w:divBdr>
        <w:top w:val="none" w:sz="0" w:space="0" w:color="auto"/>
        <w:left w:val="none" w:sz="0" w:space="0" w:color="auto"/>
        <w:bottom w:val="none" w:sz="0" w:space="0" w:color="auto"/>
        <w:right w:val="none" w:sz="0" w:space="0" w:color="auto"/>
      </w:divBdr>
    </w:div>
    <w:div w:id="834876673">
      <w:bodyDiv w:val="1"/>
      <w:marLeft w:val="0"/>
      <w:marRight w:val="0"/>
      <w:marTop w:val="0"/>
      <w:marBottom w:val="0"/>
      <w:divBdr>
        <w:top w:val="none" w:sz="0" w:space="0" w:color="auto"/>
        <w:left w:val="none" w:sz="0" w:space="0" w:color="auto"/>
        <w:bottom w:val="none" w:sz="0" w:space="0" w:color="auto"/>
        <w:right w:val="none" w:sz="0" w:space="0" w:color="auto"/>
      </w:divBdr>
    </w:div>
    <w:div w:id="1283803761">
      <w:bodyDiv w:val="1"/>
      <w:marLeft w:val="0"/>
      <w:marRight w:val="0"/>
      <w:marTop w:val="0"/>
      <w:marBottom w:val="0"/>
      <w:divBdr>
        <w:top w:val="none" w:sz="0" w:space="0" w:color="auto"/>
        <w:left w:val="none" w:sz="0" w:space="0" w:color="auto"/>
        <w:bottom w:val="none" w:sz="0" w:space="0" w:color="auto"/>
        <w:right w:val="none" w:sz="0" w:space="0" w:color="auto"/>
      </w:divBdr>
    </w:div>
    <w:div w:id="1410929737">
      <w:bodyDiv w:val="1"/>
      <w:marLeft w:val="0"/>
      <w:marRight w:val="0"/>
      <w:marTop w:val="0"/>
      <w:marBottom w:val="0"/>
      <w:divBdr>
        <w:top w:val="none" w:sz="0" w:space="0" w:color="auto"/>
        <w:left w:val="none" w:sz="0" w:space="0" w:color="auto"/>
        <w:bottom w:val="none" w:sz="0" w:space="0" w:color="auto"/>
        <w:right w:val="none" w:sz="0" w:space="0" w:color="auto"/>
      </w:divBdr>
    </w:div>
    <w:div w:id="1420448175">
      <w:bodyDiv w:val="1"/>
      <w:marLeft w:val="0"/>
      <w:marRight w:val="0"/>
      <w:marTop w:val="0"/>
      <w:marBottom w:val="0"/>
      <w:divBdr>
        <w:top w:val="none" w:sz="0" w:space="0" w:color="auto"/>
        <w:left w:val="none" w:sz="0" w:space="0" w:color="auto"/>
        <w:bottom w:val="none" w:sz="0" w:space="0" w:color="auto"/>
        <w:right w:val="none" w:sz="0" w:space="0" w:color="auto"/>
      </w:divBdr>
    </w:div>
    <w:div w:id="1422140813">
      <w:bodyDiv w:val="1"/>
      <w:marLeft w:val="0"/>
      <w:marRight w:val="0"/>
      <w:marTop w:val="0"/>
      <w:marBottom w:val="0"/>
      <w:divBdr>
        <w:top w:val="none" w:sz="0" w:space="0" w:color="auto"/>
        <w:left w:val="none" w:sz="0" w:space="0" w:color="auto"/>
        <w:bottom w:val="none" w:sz="0" w:space="0" w:color="auto"/>
        <w:right w:val="none" w:sz="0" w:space="0" w:color="auto"/>
      </w:divBdr>
    </w:div>
    <w:div w:id="1568608807">
      <w:bodyDiv w:val="1"/>
      <w:marLeft w:val="0"/>
      <w:marRight w:val="0"/>
      <w:marTop w:val="0"/>
      <w:marBottom w:val="0"/>
      <w:divBdr>
        <w:top w:val="none" w:sz="0" w:space="0" w:color="auto"/>
        <w:left w:val="none" w:sz="0" w:space="0" w:color="auto"/>
        <w:bottom w:val="none" w:sz="0" w:space="0" w:color="auto"/>
        <w:right w:val="none" w:sz="0" w:space="0" w:color="auto"/>
      </w:divBdr>
    </w:div>
    <w:div w:id="1707900426">
      <w:bodyDiv w:val="1"/>
      <w:marLeft w:val="0"/>
      <w:marRight w:val="0"/>
      <w:marTop w:val="0"/>
      <w:marBottom w:val="0"/>
      <w:divBdr>
        <w:top w:val="none" w:sz="0" w:space="0" w:color="auto"/>
        <w:left w:val="none" w:sz="0" w:space="0" w:color="auto"/>
        <w:bottom w:val="none" w:sz="0" w:space="0" w:color="auto"/>
        <w:right w:val="none" w:sz="0" w:space="0" w:color="auto"/>
      </w:divBdr>
    </w:div>
    <w:div w:id="1730498619">
      <w:bodyDiv w:val="1"/>
      <w:marLeft w:val="0"/>
      <w:marRight w:val="0"/>
      <w:marTop w:val="0"/>
      <w:marBottom w:val="0"/>
      <w:divBdr>
        <w:top w:val="none" w:sz="0" w:space="0" w:color="auto"/>
        <w:left w:val="none" w:sz="0" w:space="0" w:color="auto"/>
        <w:bottom w:val="none" w:sz="0" w:space="0" w:color="auto"/>
        <w:right w:val="none" w:sz="0" w:space="0" w:color="auto"/>
      </w:divBdr>
    </w:div>
    <w:div w:id="1760717190">
      <w:bodyDiv w:val="1"/>
      <w:marLeft w:val="0"/>
      <w:marRight w:val="0"/>
      <w:marTop w:val="0"/>
      <w:marBottom w:val="0"/>
      <w:divBdr>
        <w:top w:val="none" w:sz="0" w:space="0" w:color="auto"/>
        <w:left w:val="none" w:sz="0" w:space="0" w:color="auto"/>
        <w:bottom w:val="none" w:sz="0" w:space="0" w:color="auto"/>
        <w:right w:val="none" w:sz="0" w:space="0" w:color="auto"/>
      </w:divBdr>
    </w:div>
    <w:div w:id="20752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B02E-6CC3-4406-84CF-50BFF8B4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Percy</dc:creator>
  <cp:keywords/>
  <dc:description/>
  <cp:lastModifiedBy>Pham, Percy</cp:lastModifiedBy>
  <cp:revision>332</cp:revision>
  <cp:lastPrinted>2020-05-01T19:08:00Z</cp:lastPrinted>
  <dcterms:created xsi:type="dcterms:W3CDTF">2020-04-29T08:59:00Z</dcterms:created>
  <dcterms:modified xsi:type="dcterms:W3CDTF">2020-05-01T19:08:00Z</dcterms:modified>
</cp:coreProperties>
</file>