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8F0841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8F0841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8F0841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8F0841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8F0841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8F0841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8F0841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8F0841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8F0841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8F0841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8F0841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3D6347">
        <w:rPr>
          <w:sz w:val="20"/>
          <w:szCs w:val="20"/>
        </w:rPr>
        <w:t>Hai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3D6347">
        <w:rPr>
          <w:sz w:val="20"/>
          <w:szCs w:val="20"/>
        </w:rPr>
        <w:t>tỷ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8F0841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8F0841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3D6347">
                    <w:rPr>
                      <w:b/>
                      <w:sz w:val="20"/>
                      <w:szCs w:val="20"/>
                    </w:rPr>
                    <w:t>VND 2.00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8F0841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2015-10-02T07:43:00Z</cp:lastPrinted>
  <dcterms:created xsi:type="dcterms:W3CDTF">2015-10-02T07:42:00Z</dcterms:created>
  <dcterms:modified xsi:type="dcterms:W3CDTF">2015-10-02T07:45:00Z</dcterms:modified>
</cp:coreProperties>
</file>