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9151E2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9151E2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9151E2">
        <w:rPr>
          <w:rFonts w:ascii="Arial" w:hAnsi="Arial" w:cs="Arial"/>
          <w:sz w:val="18"/>
          <w:szCs w:val="18"/>
          <w:lang w:val="fr-FR"/>
        </w:rPr>
        <w:t>0000 0000 6072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D57BD4">
        <w:rPr>
          <w:rFonts w:ascii="Arial" w:hAnsi="Arial" w:cs="Arial"/>
          <w:sz w:val="18"/>
          <w:szCs w:val="18"/>
          <w:lang w:val="fr-FR"/>
        </w:rPr>
        <w:t>9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sz w:val="22"/>
          <w:szCs w:val="22"/>
          <w:lang w:val="es-ES_tradnl"/>
        </w:rPr>
        <w:t>7111.0.2995080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IV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9151E2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3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9151E2">
              <w:rPr>
                <w:rFonts w:ascii="Arial" w:hAnsi="Arial" w:cs="Arial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D04078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95197" w:rsidRPr="002509FB" w:rsidRDefault="00295197" w:rsidP="0077748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295197" w:rsidP="00777488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D04078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81D56">
        <w:rPr>
          <w:rFonts w:ascii="Arial" w:hAnsi="Arial" w:cs="Arial"/>
          <w:i/>
          <w:sz w:val="18"/>
          <w:szCs w:val="18"/>
        </w:rPr>
        <w:t>Hai</w:t>
      </w:r>
      <w:proofErr w:type="spellEnd"/>
      <w:r w:rsidR="00381D5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81D56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218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BCD" w:rsidRDefault="00942BCD">
      <w:r>
        <w:separator/>
      </w:r>
    </w:p>
  </w:endnote>
  <w:endnote w:type="continuationSeparator" w:id="0">
    <w:p w:rsidR="00942BCD" w:rsidRDefault="0094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BCD" w:rsidRDefault="00942BCD">
      <w:r>
        <w:separator/>
      </w:r>
    </w:p>
  </w:footnote>
  <w:footnote w:type="continuationSeparator" w:id="0">
    <w:p w:rsidR="00942BCD" w:rsidRDefault="00942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34E90"/>
    <w:rsid w:val="00161398"/>
    <w:rsid w:val="00162EC3"/>
    <w:rsid w:val="0018794B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AAD"/>
    <w:rsid w:val="003B7DA5"/>
    <w:rsid w:val="003C18D0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151E2"/>
    <w:rsid w:val="009310AF"/>
    <w:rsid w:val="00942BCD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87E65"/>
    <w:rsid w:val="00F92263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5</cp:revision>
  <cp:lastPrinted>2015-07-28T05:28:00Z</cp:lastPrinted>
  <dcterms:created xsi:type="dcterms:W3CDTF">2016-06-04T08:53:00Z</dcterms:created>
  <dcterms:modified xsi:type="dcterms:W3CDTF">2017-02-06T02:51:00Z</dcterms:modified>
</cp:coreProperties>
</file>