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CCAR-F Study Notes: MCP and Claude Tooling</w:t>
      </w:r>
    </w:p>
    <w:p>
      <w:pPr>
        <w:spacing w:after="200"/>
      </w:pPr>
      <w:r>
        <w:rPr>
          <w:i/>
          <w:iCs/>
        </w:rPr>
        <w:t xml:space="preserve">Condensed review of lessons 1-7: transports, sampling, notifications and roots, access scoping, and built-in vs. custom tools.</w:t>
      </w:r>
    </w:p>
    <w:p>
      <w:pPr>
        <w:pStyle w:val="Heading1"/>
      </w:pPr>
      <w:r>
        <w:t xml:space="preserve">1. MCP Transports</w:t>
      </w:r>
    </w:p>
    <w:p>
      <w:pPr>
        <w:pStyle w:val="Heading2"/>
      </w:pPr>
      <w:r>
        <w:t xml:space="preserve">STDIO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runs as a child process of the client; messages are newline-delimited JSON over stdin/stdout.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network configuration: no port, firewall rule, or TLS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user scope; the server starts when the client spawns it and exits when the client exits.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can be held in memory for the session; no stale state leaks between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Limitations: no remote access, no multi-user sharing, not appropriate for production API deployments.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fit: local development, desktop tool integrations, and Claude Code with local MCP servers.</w:t>
      </w:r>
    </w:p>
    <w:p>
      <w:pPr>
        <w:pStyle w:val="Heading2"/>
      </w:pPr>
      <w:r>
        <w:t xml:space="preserve">Streamable HTTP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standard for remote and production deployments; server binds to a port and exposes a single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sends each message as an HTTP POST; the server decides whether to reply with plain JSON or upgrade to an SSE 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separate long-lived HTTP GET lets the server push its own notifications and requests to the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SSE is not a peer transport. </w:t>
      </w:r>
      <w:r>
        <w:t xml:space="preserve">It is the streaming mechanism inside Streamable HTTP. The older standalone HTTP+SSE transport (2024-11-05 spec) is deprecated.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Stateless: </w:t>
      </w:r>
      <w:r>
        <w:t xml:space="preserve">each request is self-contained, so any instance behind a load balancer can serve it and it scales horizontally.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Session-based: </w:t>
      </w:r>
      <w:r>
        <w:t xml:space="preserve">client sends a session token and the server keeps context; needs sticky sessions or a shared state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requirements: TLS, authentication (bearer token or API key), and load balancing.</w:t>
      </w:r>
    </w:p>
    <w:p>
      <w:pPr>
        <w:pStyle w:val="Heading2"/>
      </w:pPr>
      <w:r>
        <w:t xml:space="preserve">Decision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STDIO when client and server are on the same machine, there is one user, and you want zero network setup.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deployment crosses a network boundary or serves more than one user, STDIO is eliminated; use Streamable HTTP.</w:t>
      </w:r>
    </w:p>
    <w:p>
      <w:pPr>
        <w:pStyle w:val="Heading1"/>
      </w:pPr>
      <w:r>
        <w:t xml:space="preserve">2. Sampling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sends a createMessage request to the client; the client calls an LLM and returns the result over MCP.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Flow: server request, optional human approval, client calls the model, client returns the result to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owns: </w:t>
      </w:r>
      <w:r>
        <w:t xml:space="preserve">message content, system prompt, and model 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owns: </w:t>
      </w:r>
      <w:r>
        <w:t xml:space="preserve">actual model selection, credentials, and data policies.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preferences (cost, speed, intelligence priorities from 0 to 1, plus name hints) are advisory; the client may honor, substitute, or ignore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 is an optional approval gate (approve, edit, or reject) and can act as a compliance checkpoint.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Benefits: no credential sprawl across servers, one audit point, and model swaps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Implementation: register an async sampling handler on the client before connecting; it receives the request, calls the LLM API, and returns a createMessageResult.</w:t>
      </w:r>
    </w:p>
    <w:p>
      <w:pPr>
        <w:pStyle w:val="Heading1"/>
      </w:pPr>
      <w:r>
        <w:t xml:space="preserve">3. Notifications and Roots</w:t>
      </w:r>
    </w:p>
    <w:p>
      <w:pPr>
        <w:pStyle w:val="Heading2"/>
      </w:pPr>
      <w:r>
        <w:t xml:space="preserve">Progress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 status for a long-running tool call: progress plus an optional total (total enables a percentage).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Tied to the request by a progressToken supplied in the request meta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client sent no token, skip reporting. Report at meaningful checkpoints, not every iteration.</w:t>
      </w:r>
    </w:p>
    <w:p>
      <w:pPr>
        <w:pStyle w:val="Heading2"/>
      </w:pPr>
      <w:r>
        <w:t xml:space="preserve">Log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 text with a severity level and optional logger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Eight levels in increasing urgency: debug, info, notice, warning, error, critical, alert, emergency.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Fire-and-forget; no response expected. Use logs for observability and progress for user-facing feedback.</w:t>
      </w:r>
    </w:p>
    <w:p>
      <w:pPr>
        <w:pStyle w:val="Heading2"/>
      </w:pPr>
      <w:r>
        <w:t xml:space="preserve">Roots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client (not the server) declares the roots capability during initialization.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 retrieves the list by calling roots/list; each root is a URI.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Roots are advisory only. </w:t>
      </w:r>
      <w:r>
        <w:t xml:space="preserve">The protocol does not enforce them; real enforcement needs OS permissions, sandboxing, or client-side path validation.</w:t>
      </w:r>
    </w:p>
    <w:p>
      <w:pPr>
        <w:pStyle w:val="Heading1"/>
      </w:pPr>
      <w:r>
        <w:t xml:space="preserve">4. Access Scoping and Input Sanitization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tool definition is a trust boundary: schema plus handler define what the model can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Least privilege: one tool per logical operation, with credentials and paths limited to what that tool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enforcement layers: </w:t>
      </w:r>
      <w:r>
        <w:t xml:space="preserve">schema constraints (such as enums), server-side authorization, and operating system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all arguments as untrusted: validate types and formats, escape SQL wildcards, shell metacharacters, and path traversal sequences, and enforce length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 returned results to what the caller is authorized to see.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Common mistakes: free-form strings where an enum would work, shared backend credentials across tools, and missing output filtering.</w:t>
      </w:r>
    </w:p>
    <w:p>
      <w:pPr>
        <w:pStyle w:val="Heading1"/>
      </w:pPr>
      <w:r>
        <w:t xml:space="preserve">5. Built-in Tools</w:t>
      </w:r>
    </w:p>
    <w:p>
      <w:pPr>
        <w:pStyle w:val="Heading2"/>
      </w:pPr>
      <w:r>
        <w:t xml:space="preserve">Server tools vs. client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Server tools </w:t>
      </w:r>
      <w:r>
        <w:t xml:space="preserve">(Web Search, Code Execution) run on Anthropic infrastructure; no handler code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tools </w:t>
      </w:r>
      <w:r>
        <w:t xml:space="preserve">(Text Editor, Bash, Computer) use Anthropic-published schemas but your application executes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built-in glob or grep tool; file discovery goes through Bash.</w:t>
      </w:r>
    </w:p>
    <w:p>
      <w:pPr>
        <w:pStyle w:val="Heading2"/>
      </w:pPr>
      <w:r>
        <w:t xml:space="preserve">Tool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Search: </w:t>
      </w:r>
      <w:r>
        <w:t xml:space="preserve">the model builds the query itself; max_uses bounds cost; rate-limit problems return a too_many_requests error object inside a successful response; results include source citations.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Computer tool: </w:t>
      </w:r>
      <w:r>
        <w:t xml:space="preserve">screenshots, mouse, and keyboard; your app controls the agent loop. There is no Anthropic-enforced sandbox, so run it in a VM or container with minimal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 execution: </w:t>
      </w:r>
      <w:r>
        <w:t xml:space="preserve">container persists up to 30 days and can be reused via container ID; fixed pre-installed libraries (pandas, numpy, matplotlib); no internet access; newer versions add REPL state persistence.</w:t>
      </w:r>
    </w:p>
    <w:p>
      <w:pPr>
        <w:pStyle w:val="Heading2"/>
      </w:pPr>
      <w:r>
        <w:t xml:space="preserve">Cost and latency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search adds a round trip per query, and latency compounds with multiple searches.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 tool is expensive per screenshot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execution has cold-start overhead when the container spins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well-optimized custom internal service can beat a built-in on latency; measure before committing for real-time use.</w:t>
      </w:r>
    </w:p>
    <w:p>
      <w:pPr>
        <w:pStyle w:val="Heading1"/>
      </w:pPr>
      <w:r>
        <w:t xml:space="preserve">6. Built-in vs. Custom Tools</w:t>
      </w:r>
    </w:p>
    <w:p>
      <w:pPr>
        <w:pStyle w:val="Heading2"/>
      </w:pPr>
      <w:r>
        <w:t xml:space="preserve">Choose built-in when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are prototyping quickly.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built-in scope fits the need.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internal or regulated data flows through the tool.</w:t>
      </w:r>
    </w:p>
    <w:p>
      <w:pPr>
        <w:pStyle w:val="Heading2"/>
      </w:pPr>
      <w:r>
        <w:t xml:space="preserve">Choose custom when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need domain-specific schemas.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must reach internal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 regulated and must stay in your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needs per-call audit trails.</w:t>
      </w:r>
    </w:p>
    <w:p>
      <w:pPr>
        <w:pStyle w:val="Heading2"/>
      </w:pPr>
      <w:r>
        <w:t xml:space="preserve">Hybrid pattern and security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Built-ins handle general work (public research, code transformation); a custom MCP server handles proprietary data, internal APIs, and regulated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system prompt should clearly state which tool to use in each situation to avoid inconsistent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tools stay outside your network with a bounded blast radius; client tools run inside your environment, so scope what they can touch.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assume all built-ins are sandboxed; match each tool to the trust boundary you intend.</w:t>
      </w:r>
    </w:p>
    <w:p>
      <w:pPr>
        <w:pStyle w:val="Heading2"/>
      </w:pPr>
      <w:r>
        <w:t xml:space="preserve">Naming and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distinct service-prefixed names for custom tools (for example crm_lookup, billing_refund); duplicate or invalid definitions are generally rejected at request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Built-in behavior can change between model releases: pin output formats in the system prompt and retest in staging after each update, as with any third-party dependency.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 question: can the built-in reach far enough, and can this data safely leave your ecosystem?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2026-10-27T09:20:12.056Z</dcterms:created>
  <dcterms:modified xsi:type="dcterms:W3CDTF">2026-10-27T09:20:12.064Z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