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F9D5C" w14:textId="7181F983" w:rsidR="004B21FA" w:rsidRDefault="00447628" w:rsidP="00447628">
      <w:pPr>
        <w:spacing w:after="120"/>
        <w:jc w:val="center"/>
        <w:rPr>
          <w:rFonts w:ascii="Calibri" w:hAnsi="Calibri"/>
          <w:b/>
          <w:color w:val="1B2A4A"/>
          <w:sz w:val="52"/>
        </w:rPr>
      </w:pPr>
      <w:r>
        <w:rPr>
          <w:rFonts w:ascii="Calibri" w:hAnsi="Calibri"/>
          <w:b/>
          <w:color w:val="1B2A4A"/>
          <w:sz w:val="52"/>
        </w:rPr>
        <w:t>Slide-by-Slide Explainer</w:t>
      </w:r>
    </w:p>
    <w:p w14:paraId="26B0D3CF" w14:textId="68BA6DAF" w:rsidR="00447628" w:rsidRDefault="00447628" w:rsidP="00447628">
      <w:pPr>
        <w:spacing w:after="80"/>
        <w:jc w:val="center"/>
        <w:rPr>
          <w:rFonts w:ascii="Calibri" w:hAnsi="Calibri" w:cs="Calibri"/>
          <w:color w:val="F47B20"/>
          <w:sz w:val="30"/>
        </w:rPr>
      </w:pPr>
      <w:r>
        <w:rPr>
          <w:rFonts w:ascii="Calibri" w:hAnsi="Calibri" w:cs="Calibri"/>
          <w:color w:val="F47B20"/>
          <w:sz w:val="30"/>
        </w:rPr>
        <w:t>Agentic Microservices Platform - 16-Slide Case Study</w:t>
      </w:r>
    </w:p>
    <w:p w14:paraId="794EBE42" w14:textId="5CE5D7E5" w:rsidR="00447628" w:rsidRDefault="00447628" w:rsidP="00447628">
      <w:pPr>
        <w:spacing w:after="80"/>
        <w:jc w:val="center"/>
        <w:rPr>
          <w:rFonts w:ascii="Calibri" w:hAnsi="Calibri" w:cs="Calibri"/>
          <w:i/>
          <w:color w:val="34495E"/>
        </w:rPr>
      </w:pPr>
      <w:r>
        <w:rPr>
          <w:rFonts w:ascii="Calibri" w:hAnsi="Calibri" w:cs="Calibri"/>
          <w:i/>
          <w:color w:val="34495E"/>
        </w:rPr>
        <w:t>What Each Slide Shows, Why It Matters, and How We Achieve It</w:t>
      </w:r>
    </w:p>
    <w:p w14:paraId="0775538B" w14:textId="3B12B711" w:rsidR="00447628" w:rsidRDefault="00447628" w:rsidP="00447628">
      <w:pPr>
        <w:spacing w:after="400"/>
        <w:jc w:val="center"/>
        <w:rPr>
          <w:rFonts w:ascii="Calibri" w:hAnsi="Calibri" w:cs="Calibri"/>
          <w:color w:val="34495E"/>
          <w:sz w:val="20"/>
        </w:rPr>
      </w:pPr>
      <w:r>
        <w:rPr>
          <w:rFonts w:ascii="Calibri" w:hAnsi="Calibri" w:cs="Calibri"/>
          <w:color w:val="34495E"/>
          <w:sz w:val="20"/>
        </w:rPr>
        <w:t>Engineering Excellence | 2026</w:t>
      </w:r>
    </w:p>
    <w:p w14:paraId="71296F91" w14:textId="77777777" w:rsidR="00447628" w:rsidRDefault="00447628" w:rsidP="00447628">
      <w:pPr>
        <w:pBdr>
          <w:bottom w:val="single" w:sz="18" w:space="0" w:color="1B2A4A"/>
        </w:pBdr>
        <w:spacing w:after="280"/>
        <w:rPr>
          <w:sz w:val="4"/>
        </w:rPr>
      </w:pPr>
    </w:p>
    <w:p w14:paraId="5E7632D5" w14:textId="5EEE7F3E" w:rsidR="00447628" w:rsidRDefault="00447628" w:rsidP="00447628">
      <w:pPr>
        <w:spacing w:after="200"/>
        <w:jc w:val="both"/>
        <w:rPr>
          <w:rFonts w:ascii="Calibri" w:hAnsi="Calibri" w:cs="Calibri"/>
          <w:color w:val="34495E"/>
          <w:sz w:val="24"/>
        </w:rPr>
      </w:pPr>
      <w:r>
        <w:rPr>
          <w:rFonts w:ascii="Calibri" w:hAnsi="Calibri" w:cs="Calibri"/>
          <w:color w:val="34495E"/>
          <w:sz w:val="24"/>
        </w:rPr>
        <w:t>How to use this document: For each of the 16 slides in the Agentic_Microservices_Case_Study.pptx deck, this explainer answers three questions. WHAT describes what the slide visually shows and what data or message it communicates. WHY explains why this point matters to the audience - whether technical engineers, architects, or business stakeholders. HOW explains the specific technology, design decision, or implementation approach behind the result.</w:t>
      </w:r>
    </w:p>
    <w:p w14:paraId="1B31B910" w14:textId="5D95497E" w:rsidR="00447628" w:rsidRDefault="00447628">
      <w:pPr>
        <w:rPr>
          <w:sz w:val="4"/>
        </w:rPr>
      </w:pPr>
      <w:r>
        <w:rPr>
          <w:sz w:val="4"/>
        </w:rPr>
        <w:br w:type="page"/>
      </w:r>
    </w:p>
    <w:p w14:paraId="433146D5" w14:textId="54772DF9" w:rsidR="00447628" w:rsidRDefault="00447628" w:rsidP="00447628">
      <w:pPr>
        <w:pStyle w:val="Heading1"/>
        <w:spacing w:before="320"/>
        <w:rPr>
          <w:rFonts w:ascii="Calibri" w:hAnsi="Calibri" w:cs="Calibri"/>
          <w:b/>
          <w:color w:val="1B2A4A"/>
          <w:sz w:val="34"/>
        </w:rPr>
      </w:pPr>
      <w:r>
        <w:rPr>
          <w:rFonts w:ascii="Calibri" w:hAnsi="Calibri" w:cs="Calibri"/>
          <w:b/>
          <w:color w:val="1B2A4A"/>
          <w:sz w:val="34"/>
        </w:rPr>
        <w:lastRenderedPageBreak/>
        <w:t>Slide 1 - Title: Agentic Microservices Platform</w:t>
      </w:r>
    </w:p>
    <w:p w14:paraId="4FC3277F" w14:textId="0CCF0D94" w:rsidR="00447628" w:rsidRDefault="00447628" w:rsidP="00447628">
      <w:pPr>
        <w:spacing w:before="120" w:after="40"/>
        <w:rPr>
          <w:rFonts w:ascii="Calibri" w:hAnsi="Calibri" w:cs="Calibri"/>
          <w:b/>
          <w:color w:val="F47B20"/>
          <w:sz w:val="24"/>
        </w:rPr>
      </w:pPr>
      <w:r>
        <w:rPr>
          <w:rFonts w:ascii="Calibri" w:hAnsi="Calibri" w:cs="Calibri"/>
          <w:b/>
          <w:color w:val="F47B20"/>
          <w:sz w:val="24"/>
        </w:rPr>
        <w:t>WHAT - What the slide shows</w:t>
      </w:r>
    </w:p>
    <w:p w14:paraId="43B39E4A" w14:textId="24E017A0" w:rsidR="00447628" w:rsidRDefault="00447628" w:rsidP="00447628">
      <w:pPr>
        <w:jc w:val="both"/>
        <w:rPr>
          <w:rFonts w:ascii="Calibri" w:hAnsi="Calibri" w:cs="Calibri"/>
          <w:color w:val="000000"/>
        </w:rPr>
      </w:pPr>
      <w:r>
        <w:rPr>
          <w:rFonts w:ascii="Calibri" w:hAnsi="Calibri" w:cs="Calibri"/>
          <w:color w:val="000000"/>
        </w:rPr>
        <w:t>The opening slide establishes platform identity and sets the tone for a premium engineering briefing. It presents the full platform name in large type, the core value proposition (AI-powered observability and auto-scaling), the technology stack fingerprint (ECS Fargate, Spring Boot, LangGraph, GPT-4.1-mini), and the confidentiality classification at the bottom. The design uses a dark navy background with orange accent shapes to signal authority and energy.</w:t>
      </w:r>
    </w:p>
    <w:p w14:paraId="786ABE18" w14:textId="320BA2AB" w:rsidR="00447628" w:rsidRDefault="00447628" w:rsidP="00447628">
      <w:pPr>
        <w:spacing w:before="120" w:after="40"/>
        <w:rPr>
          <w:rFonts w:ascii="Calibri" w:hAnsi="Calibri" w:cs="Calibri"/>
          <w:b/>
          <w:color w:val="F47B20"/>
          <w:sz w:val="24"/>
        </w:rPr>
      </w:pPr>
      <w:r>
        <w:rPr>
          <w:rFonts w:ascii="Calibri" w:hAnsi="Calibri" w:cs="Calibri"/>
          <w:b/>
          <w:color w:val="F47B20"/>
          <w:sz w:val="24"/>
        </w:rPr>
        <w:t>WHY - Why it matters</w:t>
      </w:r>
    </w:p>
    <w:p w14:paraId="6D201E92" w14:textId="6AF86218" w:rsidR="00447628" w:rsidRDefault="00447628" w:rsidP="00447628">
      <w:pPr>
        <w:jc w:val="both"/>
        <w:rPr>
          <w:rFonts w:ascii="Calibri" w:hAnsi="Calibri" w:cs="Calibri"/>
          <w:color w:val="000000"/>
        </w:rPr>
      </w:pPr>
      <w:r>
        <w:rPr>
          <w:rFonts w:ascii="Calibri" w:hAnsi="Calibri" w:cs="Calibri"/>
          <w:color w:val="000000"/>
        </w:rPr>
        <w:t>Management and senior engineers form their first impression in the opening 10 seconds of any presentation. A strong, confident title slide signals that the work is production-grade and thoroughly considered. The technology callouts immediately anchor the conversation in concrete, recognisable tools rather than buzzwords. The subtitle is deliberately outcome-focused - it describes the transformation, not just the tool.</w:t>
      </w:r>
    </w:p>
    <w:p w14:paraId="616B81F6" w14:textId="7465A104" w:rsidR="00447628" w:rsidRDefault="00447628" w:rsidP="00447628">
      <w:pPr>
        <w:spacing w:before="120" w:after="40"/>
        <w:rPr>
          <w:rFonts w:ascii="Calibri" w:hAnsi="Calibri" w:cs="Calibri"/>
          <w:b/>
          <w:color w:val="F47B20"/>
          <w:sz w:val="24"/>
        </w:rPr>
      </w:pPr>
      <w:r>
        <w:rPr>
          <w:rFonts w:ascii="Calibri" w:hAnsi="Calibri" w:cs="Calibri"/>
          <w:b/>
          <w:color w:val="F47B20"/>
          <w:sz w:val="24"/>
        </w:rPr>
        <w:t>HOW - How we achieve this</w:t>
      </w:r>
    </w:p>
    <w:p w14:paraId="7D94C6DD" w14:textId="7ABCC6E6" w:rsidR="00447628" w:rsidRDefault="00447628" w:rsidP="00447628">
      <w:pPr>
        <w:jc w:val="both"/>
        <w:rPr>
          <w:rFonts w:ascii="Calibri" w:hAnsi="Calibri" w:cs="Calibri"/>
          <w:color w:val="000000"/>
        </w:rPr>
      </w:pPr>
      <w:r>
        <w:rPr>
          <w:rFonts w:ascii="Calibri" w:hAnsi="Calibri" w:cs="Calibri"/>
          <w:color w:val="000000"/>
        </w:rPr>
        <w:t>The visual design uses navy (1B2A4A) as the dominant authority colour with orange (F47B20) accent shapes. The subtitle - From 45-Minute Manual Incidents to 18-Minute AI-Driven Resolution - was chosen after measuring actual MTTR before and after the POC. The technology tagline (Cloud-Native, ECS Fargate, Spring Boot, LangGraph, GPT-4.1-mini) lists only deployed, working components - nothing aspirational.</w:t>
      </w:r>
    </w:p>
    <w:p w14:paraId="7CC27D4B" w14:textId="77777777" w:rsidR="00447628" w:rsidRDefault="00447628" w:rsidP="00447628">
      <w:pPr>
        <w:spacing w:after="0"/>
        <w:rPr>
          <w:sz w:val="10"/>
        </w:rPr>
      </w:pPr>
    </w:p>
    <w:p w14:paraId="58900BC3" w14:textId="29202F94" w:rsidR="00447628" w:rsidRDefault="00447628" w:rsidP="00447628">
      <w:pPr>
        <w:pStyle w:val="Heading1"/>
        <w:spacing w:before="320"/>
        <w:rPr>
          <w:rFonts w:ascii="Calibri" w:hAnsi="Calibri" w:cs="Calibri"/>
          <w:b/>
          <w:color w:val="1B2A4A"/>
          <w:sz w:val="34"/>
        </w:rPr>
      </w:pPr>
      <w:r>
        <w:rPr>
          <w:rFonts w:ascii="Calibri" w:hAnsi="Calibri" w:cs="Calibri"/>
          <w:b/>
          <w:color w:val="1B2A4A"/>
          <w:sz w:val="34"/>
        </w:rPr>
        <w:t>Slide 2 - Executive Summary: Challenge / Solution / Outcome</w:t>
      </w:r>
    </w:p>
    <w:p w14:paraId="43A0EEDE" w14:textId="0FF884E8" w:rsidR="00447628" w:rsidRDefault="00447628" w:rsidP="00447628">
      <w:pPr>
        <w:spacing w:before="120" w:after="40"/>
        <w:rPr>
          <w:rFonts w:ascii="Calibri" w:hAnsi="Calibri" w:cs="Calibri"/>
          <w:b/>
          <w:color w:val="F47B20"/>
          <w:sz w:val="24"/>
        </w:rPr>
      </w:pPr>
      <w:r>
        <w:rPr>
          <w:rFonts w:ascii="Calibri" w:hAnsi="Calibri" w:cs="Calibri"/>
          <w:b/>
          <w:color w:val="F47B20"/>
          <w:sz w:val="24"/>
        </w:rPr>
        <w:t>WHAT - What the slide shows</w:t>
      </w:r>
    </w:p>
    <w:p w14:paraId="06AE62C4" w14:textId="5174D6FF" w:rsidR="00447628" w:rsidRDefault="00447628" w:rsidP="00447628">
      <w:pPr>
        <w:jc w:val="both"/>
        <w:rPr>
          <w:rFonts w:ascii="Calibri" w:hAnsi="Calibri" w:cs="Calibri"/>
          <w:color w:val="000000"/>
        </w:rPr>
      </w:pPr>
      <w:r>
        <w:rPr>
          <w:rFonts w:ascii="Calibri" w:hAnsi="Calibri" w:cs="Calibri"/>
          <w:color w:val="000000"/>
        </w:rPr>
        <w:t>A three-column before/after/result layout that compresses the entire business case into one slide. The CHALLENGE column (red header) lists five legacy pain points. The SOLUTION column (blue header) names each technical response. The OUTCOME column (green header) shows three hard numbers: 60% MTTR reduction, 40% cost reduction, and P99 SLA under 500 ms. Large percentage figures in orange make the outcomes scannable at a glance.</w:t>
      </w:r>
    </w:p>
    <w:p w14:paraId="73D6D831" w14:textId="1430D88C" w:rsidR="00447628" w:rsidRDefault="00447628" w:rsidP="00447628">
      <w:pPr>
        <w:spacing w:before="120" w:after="40"/>
        <w:rPr>
          <w:rFonts w:ascii="Calibri" w:hAnsi="Calibri" w:cs="Calibri"/>
          <w:b/>
          <w:color w:val="F47B20"/>
          <w:sz w:val="24"/>
        </w:rPr>
      </w:pPr>
      <w:r>
        <w:rPr>
          <w:rFonts w:ascii="Calibri" w:hAnsi="Calibri" w:cs="Calibri"/>
          <w:b/>
          <w:color w:val="F47B20"/>
          <w:sz w:val="24"/>
        </w:rPr>
        <w:t>WHY - Why it matters</w:t>
      </w:r>
    </w:p>
    <w:p w14:paraId="0AD5A212" w14:textId="4F6ABEC8" w:rsidR="00447628" w:rsidRDefault="00447628" w:rsidP="00447628">
      <w:pPr>
        <w:jc w:val="both"/>
        <w:rPr>
          <w:rFonts w:ascii="Calibri" w:hAnsi="Calibri" w:cs="Calibri"/>
          <w:color w:val="000000"/>
        </w:rPr>
      </w:pPr>
      <w:r>
        <w:rPr>
          <w:rFonts w:ascii="Calibri" w:hAnsi="Calibri" w:cs="Calibri"/>
          <w:color w:val="000000"/>
        </w:rPr>
        <w:t>Decision-makers rarely read past the executive summary. This slide must be self-contained: someone who sees only this one slide should walk away with the complete value story. The colour-coded columns reinforce the emotional arc - red for pain, blue for solution, green for relief. The specific numbers (45 min, 60%, 500 ms) make the claims verifiable rather than vague.</w:t>
      </w:r>
    </w:p>
    <w:p w14:paraId="41C0FCDC" w14:textId="23B14DE1" w:rsidR="00447628" w:rsidRDefault="00447628" w:rsidP="00447628">
      <w:pPr>
        <w:spacing w:before="120" w:after="40"/>
        <w:rPr>
          <w:rFonts w:ascii="Calibri" w:hAnsi="Calibri" w:cs="Calibri"/>
          <w:b/>
          <w:color w:val="F47B20"/>
          <w:sz w:val="24"/>
        </w:rPr>
      </w:pPr>
      <w:r>
        <w:rPr>
          <w:rFonts w:ascii="Calibri" w:hAnsi="Calibri" w:cs="Calibri"/>
          <w:b/>
          <w:color w:val="F47B20"/>
          <w:sz w:val="24"/>
        </w:rPr>
        <w:t>HOW - How we achieve this</w:t>
      </w:r>
    </w:p>
    <w:p w14:paraId="3F7D7129" w14:textId="0588F5AD" w:rsidR="00447628" w:rsidRDefault="00447628" w:rsidP="00447628">
      <w:pPr>
        <w:jc w:val="both"/>
        <w:rPr>
          <w:rFonts w:ascii="Calibri" w:hAnsi="Calibri" w:cs="Calibri"/>
          <w:color w:val="000000"/>
        </w:rPr>
      </w:pPr>
      <w:r>
        <w:rPr>
          <w:rFonts w:ascii="Calibri" w:hAnsi="Calibri" w:cs="Calibri"/>
          <w:color w:val="000000"/>
        </w:rPr>
        <w:t>Each column maps to a real delivery. The CHALLENGE list was compiled from incident post-mortems. The SOLUTION list corresponds to actual deployed services. The OUTCOME numbers are measured from the running platform using Prometheus metrics and Loki log timestamps. Nothing on this slide is projected - it is all measured from the live system.</w:t>
      </w:r>
    </w:p>
    <w:p w14:paraId="71737F8A" w14:textId="76F0D7C7" w:rsidR="00447628" w:rsidRDefault="00447628">
      <w:pPr>
        <w:rPr>
          <w:sz w:val="4"/>
        </w:rPr>
      </w:pPr>
      <w:r>
        <w:rPr>
          <w:sz w:val="4"/>
        </w:rPr>
        <w:br w:type="page"/>
      </w:r>
    </w:p>
    <w:p w14:paraId="1092D6DF" w14:textId="6C49D9F0" w:rsidR="00447628" w:rsidRDefault="00447628" w:rsidP="00447628">
      <w:pPr>
        <w:pStyle w:val="Heading1"/>
        <w:spacing w:before="320"/>
        <w:rPr>
          <w:rFonts w:ascii="Calibri" w:hAnsi="Calibri" w:cs="Calibri"/>
          <w:b/>
          <w:color w:val="1B2A4A"/>
          <w:sz w:val="34"/>
        </w:rPr>
      </w:pPr>
      <w:r>
        <w:rPr>
          <w:rFonts w:ascii="Calibri" w:hAnsi="Calibri" w:cs="Calibri"/>
          <w:b/>
          <w:color w:val="1B2A4A"/>
          <w:sz w:val="34"/>
        </w:rPr>
        <w:lastRenderedPageBreak/>
        <w:t>Slide 3 - Platform Architecture: ECS Fargate on AWS</w:t>
      </w:r>
    </w:p>
    <w:p w14:paraId="3083E3BD" w14:textId="4EC48B26" w:rsidR="00447628" w:rsidRDefault="00447628" w:rsidP="00447628">
      <w:pPr>
        <w:spacing w:before="120" w:after="40"/>
        <w:rPr>
          <w:rFonts w:ascii="Calibri" w:hAnsi="Calibri" w:cs="Calibri"/>
          <w:b/>
          <w:color w:val="F47B20"/>
          <w:sz w:val="24"/>
        </w:rPr>
      </w:pPr>
      <w:r>
        <w:rPr>
          <w:rFonts w:ascii="Calibri" w:hAnsi="Calibri" w:cs="Calibri"/>
          <w:b/>
          <w:color w:val="F47B20"/>
          <w:sz w:val="24"/>
        </w:rPr>
        <w:t>WHAT - What the slide shows</w:t>
      </w:r>
    </w:p>
    <w:p w14:paraId="5809FDE8" w14:textId="5274DF46" w:rsidR="00447628" w:rsidRDefault="00447628" w:rsidP="00447628">
      <w:pPr>
        <w:jc w:val="both"/>
        <w:rPr>
          <w:rFonts w:ascii="Calibri" w:hAnsi="Calibri" w:cs="Calibri"/>
          <w:color w:val="000000"/>
        </w:rPr>
      </w:pPr>
      <w:r>
        <w:rPr>
          <w:rFonts w:ascii="Calibri" w:hAnsi="Calibri" w:cs="Calibri"/>
          <w:color w:val="000000"/>
        </w:rPr>
        <w:t>A four-layer architecture diagram showing the complete AWS topology: ALB (ingress layer), ECS Fargate application services, the observability stack (Prometheus, Loki, Grafana), and AWS managed services (CloudWatch, Secrets Manager, Cloud Map). Each layer is a colour-coded horizontal band with labelled service boxes showing service names and port numbers.</w:t>
      </w:r>
    </w:p>
    <w:p w14:paraId="52070D8C" w14:textId="739F8EE5" w:rsidR="00447628" w:rsidRDefault="00447628" w:rsidP="00447628">
      <w:pPr>
        <w:spacing w:before="120" w:after="40"/>
        <w:rPr>
          <w:rFonts w:ascii="Calibri" w:hAnsi="Calibri" w:cs="Calibri"/>
          <w:b/>
          <w:color w:val="F47B20"/>
          <w:sz w:val="24"/>
        </w:rPr>
      </w:pPr>
      <w:r>
        <w:rPr>
          <w:rFonts w:ascii="Calibri" w:hAnsi="Calibri" w:cs="Calibri"/>
          <w:b/>
          <w:color w:val="F47B20"/>
          <w:sz w:val="24"/>
        </w:rPr>
        <w:t>WHY - Why it matters</w:t>
      </w:r>
    </w:p>
    <w:p w14:paraId="05AB93D2" w14:textId="56144C85" w:rsidR="00447628" w:rsidRDefault="00447628" w:rsidP="00447628">
      <w:pPr>
        <w:jc w:val="both"/>
        <w:rPr>
          <w:rFonts w:ascii="Calibri" w:hAnsi="Calibri" w:cs="Calibri"/>
          <w:color w:val="000000"/>
        </w:rPr>
      </w:pPr>
      <w:r>
        <w:rPr>
          <w:rFonts w:ascii="Calibri" w:hAnsi="Calibri" w:cs="Calibri"/>
          <w:color w:val="000000"/>
        </w:rPr>
        <w:t>Architecture slides answer the question every engineer and CTO asks first: how does this actually fit together? Showing the layers sequentially - from internet through ALB to application services to observability to AWS infrastructure - maps directly to the mental model of request flow. Reviewers can immediately spot whether concerns like security, networking, high availability, and observability are addressed.</w:t>
      </w:r>
    </w:p>
    <w:p w14:paraId="1A15FFF0" w14:textId="59085EAC" w:rsidR="00447628" w:rsidRDefault="00447628" w:rsidP="00447628">
      <w:pPr>
        <w:spacing w:before="120" w:after="40"/>
        <w:rPr>
          <w:rFonts w:ascii="Calibri" w:hAnsi="Calibri" w:cs="Calibri"/>
          <w:b/>
          <w:color w:val="F47B20"/>
          <w:sz w:val="24"/>
        </w:rPr>
      </w:pPr>
      <w:r>
        <w:rPr>
          <w:rFonts w:ascii="Calibri" w:hAnsi="Calibri" w:cs="Calibri"/>
          <w:b/>
          <w:color w:val="F47B20"/>
          <w:sz w:val="24"/>
        </w:rPr>
        <w:t>HOW - How we achieve this</w:t>
      </w:r>
    </w:p>
    <w:p w14:paraId="6AF5EE87" w14:textId="023A1554" w:rsidR="00447628" w:rsidRDefault="00447628" w:rsidP="00447628">
      <w:pPr>
        <w:jc w:val="both"/>
        <w:rPr>
          <w:rFonts w:ascii="Calibri" w:hAnsi="Calibri" w:cs="Calibri"/>
          <w:color w:val="000000"/>
        </w:rPr>
      </w:pPr>
      <w:r>
        <w:rPr>
          <w:rFonts w:ascii="Calibri" w:hAnsi="Calibri" w:cs="Calibri"/>
          <w:color w:val="000000"/>
        </w:rPr>
        <w:t>The architecture was implemented via three CloudFormation stacks: 01-infrastructure creates the VPC, subnets, ALB, IAM roles, and Cloud Map namespace. 02-microservices defines ECS task definitions for all five services. 03-observability deploys Prometheus, Grafana, and Loki as ECS Fargate tasks. Path-based ALB routing (by URL prefix) eliminates the need for a service mesh at this POC scale.</w:t>
      </w:r>
    </w:p>
    <w:p w14:paraId="7FBE6AAB" w14:textId="77777777" w:rsidR="00447628" w:rsidRDefault="00447628" w:rsidP="00447628">
      <w:pPr>
        <w:spacing w:after="0"/>
        <w:rPr>
          <w:sz w:val="10"/>
        </w:rPr>
      </w:pPr>
    </w:p>
    <w:p w14:paraId="2BA41474" w14:textId="50B175DD" w:rsidR="00447628" w:rsidRDefault="00447628" w:rsidP="00447628">
      <w:pPr>
        <w:pStyle w:val="Heading1"/>
        <w:spacing w:before="320"/>
        <w:rPr>
          <w:rFonts w:ascii="Calibri" w:hAnsi="Calibri" w:cs="Calibri"/>
          <w:b/>
          <w:color w:val="1B2A4A"/>
          <w:sz w:val="34"/>
        </w:rPr>
      </w:pPr>
      <w:r>
        <w:rPr>
          <w:rFonts w:ascii="Calibri" w:hAnsi="Calibri" w:cs="Calibri"/>
          <w:b/>
          <w:color w:val="1B2A4A"/>
          <w:sz w:val="34"/>
        </w:rPr>
        <w:t>Slide 4 - Service Portfolio</w:t>
      </w:r>
    </w:p>
    <w:p w14:paraId="78D180B5" w14:textId="18438822" w:rsidR="00447628" w:rsidRDefault="00447628" w:rsidP="00447628">
      <w:pPr>
        <w:spacing w:before="120" w:after="40"/>
        <w:rPr>
          <w:rFonts w:ascii="Calibri" w:hAnsi="Calibri" w:cs="Calibri"/>
          <w:b/>
          <w:color w:val="F47B20"/>
          <w:sz w:val="24"/>
        </w:rPr>
      </w:pPr>
      <w:r>
        <w:rPr>
          <w:rFonts w:ascii="Calibri" w:hAnsi="Calibri" w:cs="Calibri"/>
          <w:b/>
          <w:color w:val="F47B20"/>
          <w:sz w:val="24"/>
        </w:rPr>
        <w:t>WHAT - What the slide shows</w:t>
      </w:r>
    </w:p>
    <w:p w14:paraId="755B5BE0" w14:textId="5D8641A7" w:rsidR="00447628" w:rsidRDefault="00447628" w:rsidP="00447628">
      <w:pPr>
        <w:jc w:val="both"/>
        <w:rPr>
          <w:rFonts w:ascii="Calibri" w:hAnsi="Calibri" w:cs="Calibri"/>
          <w:color w:val="000000"/>
        </w:rPr>
      </w:pPr>
      <w:r>
        <w:rPr>
          <w:rFonts w:ascii="Calibri" w:hAnsi="Calibri" w:cs="Calibri"/>
          <w:color w:val="000000"/>
        </w:rPr>
        <w:t>A six-column table cataloguing all five microservices with their technology stack, port number, Docker image reference on Docker Hub, health endpoint URL, and resource allocation (CPU and memory). Row alternating background colours improve readability. A footnote explains that all Java services expose the Prometheus scrape endpoint automatically via Spring Boot Actuator.</w:t>
      </w:r>
    </w:p>
    <w:p w14:paraId="2593B2DA" w14:textId="2E412A51" w:rsidR="00447628" w:rsidRDefault="00447628" w:rsidP="00447628">
      <w:pPr>
        <w:spacing w:before="120" w:after="40"/>
        <w:rPr>
          <w:rFonts w:ascii="Calibri" w:hAnsi="Calibri" w:cs="Calibri"/>
          <w:b/>
          <w:color w:val="F47B20"/>
          <w:sz w:val="24"/>
        </w:rPr>
      </w:pPr>
      <w:r>
        <w:rPr>
          <w:rFonts w:ascii="Calibri" w:hAnsi="Calibri" w:cs="Calibri"/>
          <w:b/>
          <w:color w:val="F47B20"/>
          <w:sz w:val="24"/>
        </w:rPr>
        <w:t>WHY - Why it matters</w:t>
      </w:r>
    </w:p>
    <w:p w14:paraId="6B918920" w14:textId="2E07820D" w:rsidR="00447628" w:rsidRDefault="00447628" w:rsidP="00447628">
      <w:pPr>
        <w:jc w:val="both"/>
        <w:rPr>
          <w:rFonts w:ascii="Calibri" w:hAnsi="Calibri" w:cs="Calibri"/>
          <w:color w:val="000000"/>
        </w:rPr>
      </w:pPr>
      <w:r>
        <w:rPr>
          <w:rFonts w:ascii="Calibri" w:hAnsi="Calibri" w:cs="Calibri"/>
          <w:color w:val="000000"/>
        </w:rPr>
        <w:t>Operations and DevOps teams need a single source of truth for the service inventory. This table answers the questions that come up in every production incident: what image is actually running, where is the health check, and how much compute does this service consume? Having this on one slide prevents the back-and-forth of looking up manifests during a presentation.</w:t>
      </w:r>
    </w:p>
    <w:p w14:paraId="4A9BE2AC" w14:textId="5953B17B" w:rsidR="00447628" w:rsidRDefault="00447628" w:rsidP="00447628">
      <w:pPr>
        <w:spacing w:before="120" w:after="40"/>
        <w:rPr>
          <w:rFonts w:ascii="Calibri" w:hAnsi="Calibri" w:cs="Calibri"/>
          <w:b/>
          <w:color w:val="F47B20"/>
          <w:sz w:val="24"/>
        </w:rPr>
      </w:pPr>
      <w:r>
        <w:rPr>
          <w:rFonts w:ascii="Calibri" w:hAnsi="Calibri" w:cs="Calibri"/>
          <w:b/>
          <w:color w:val="F47B20"/>
          <w:sz w:val="24"/>
        </w:rPr>
        <w:t>HOW - How we achieve this</w:t>
      </w:r>
    </w:p>
    <w:p w14:paraId="17994FF2" w14:textId="6B666BC9" w:rsidR="00447628" w:rsidRDefault="00447628" w:rsidP="00447628">
      <w:pPr>
        <w:jc w:val="both"/>
        <w:rPr>
          <w:rFonts w:ascii="Calibri" w:hAnsi="Calibri" w:cs="Calibri"/>
          <w:color w:val="000000"/>
        </w:rPr>
      </w:pPr>
      <w:r>
        <w:rPr>
          <w:rFonts w:ascii="Calibri" w:hAnsi="Calibri" w:cs="Calibri"/>
          <w:color w:val="000000"/>
        </w:rPr>
        <w:t>Each service is a containerised Spring Boot 3 and Java 21 application (or Python FastAPI for the agent) built as a multi-architecture Docker image supporting both amd64 and arm64 by GitHub Actions. The health endpoints are Spring Boot Actuator (/actuator/health) or FastAPI /health. Resource allocations were right-sized using Prometheus CPU and memory metrics collected during load testing with the simulate_traffic_spike.py script.</w:t>
      </w:r>
    </w:p>
    <w:p w14:paraId="25442825" w14:textId="42C4E94F" w:rsidR="00447628" w:rsidRDefault="00447628">
      <w:pPr>
        <w:rPr>
          <w:sz w:val="4"/>
        </w:rPr>
      </w:pPr>
      <w:r>
        <w:rPr>
          <w:sz w:val="4"/>
        </w:rPr>
        <w:br w:type="page"/>
      </w:r>
    </w:p>
    <w:p w14:paraId="17375BAF" w14:textId="41C51633" w:rsidR="00447628" w:rsidRDefault="00447628" w:rsidP="00447628">
      <w:pPr>
        <w:pStyle w:val="Heading1"/>
        <w:spacing w:before="320"/>
        <w:rPr>
          <w:rFonts w:ascii="Calibri" w:hAnsi="Calibri" w:cs="Calibri"/>
          <w:b/>
          <w:color w:val="1B2A4A"/>
          <w:sz w:val="34"/>
        </w:rPr>
      </w:pPr>
      <w:r>
        <w:rPr>
          <w:rFonts w:ascii="Calibri" w:hAnsi="Calibri" w:cs="Calibri"/>
          <w:b/>
          <w:color w:val="1B2A4A"/>
          <w:sz w:val="34"/>
        </w:rPr>
        <w:lastRenderedPageBreak/>
        <w:t>Slide 5 - JVM Heap Memory Profiling</w:t>
      </w:r>
    </w:p>
    <w:p w14:paraId="0C4567ED" w14:textId="5DB0A69E" w:rsidR="00447628" w:rsidRDefault="00447628" w:rsidP="00447628">
      <w:pPr>
        <w:spacing w:before="120" w:after="40"/>
        <w:rPr>
          <w:rFonts w:ascii="Calibri" w:hAnsi="Calibri" w:cs="Calibri"/>
          <w:b/>
          <w:color w:val="F47B20"/>
          <w:sz w:val="24"/>
        </w:rPr>
      </w:pPr>
      <w:r>
        <w:rPr>
          <w:rFonts w:ascii="Calibri" w:hAnsi="Calibri" w:cs="Calibri"/>
          <w:b/>
          <w:color w:val="F47B20"/>
          <w:sz w:val="24"/>
        </w:rPr>
        <w:t>WHAT - What the slide shows</w:t>
      </w:r>
    </w:p>
    <w:p w14:paraId="3B120F63" w14:textId="78BF9BA2" w:rsidR="00447628" w:rsidRDefault="00447628" w:rsidP="00447628">
      <w:pPr>
        <w:jc w:val="both"/>
        <w:rPr>
          <w:rFonts w:ascii="Calibri" w:hAnsi="Calibri" w:cs="Calibri"/>
          <w:color w:val="000000"/>
        </w:rPr>
      </w:pPr>
      <w:r>
        <w:rPr>
          <w:rFonts w:ascii="Calibri" w:hAnsi="Calibri" w:cs="Calibri"/>
          <w:color w:val="000000"/>
        </w:rPr>
        <w:t>A dual-panel slide. The left panel is a table with JVM heap configuration (Xms and Xmx settings), average and peak heap used in MB, GC frequency per minute, and GC pause time in milliseconds for all four Java services. The right panel visualises heap utilisation as horizontal bars scaled to percentage of Xmx. A red alert box at the bottom flags the images service at 90% of Xmx with specific remediation steps.</w:t>
      </w:r>
    </w:p>
    <w:p w14:paraId="66E9E0F1" w14:textId="35675A50" w:rsidR="00447628" w:rsidRDefault="00447628" w:rsidP="00447628">
      <w:pPr>
        <w:spacing w:before="120" w:after="40"/>
        <w:rPr>
          <w:rFonts w:ascii="Calibri" w:hAnsi="Calibri" w:cs="Calibri"/>
          <w:b/>
          <w:color w:val="F47B20"/>
          <w:sz w:val="24"/>
        </w:rPr>
      </w:pPr>
      <w:r>
        <w:rPr>
          <w:rFonts w:ascii="Calibri" w:hAnsi="Calibri" w:cs="Calibri"/>
          <w:b/>
          <w:color w:val="F47B20"/>
          <w:sz w:val="24"/>
        </w:rPr>
        <w:t>WHY - Why it matters</w:t>
      </w:r>
    </w:p>
    <w:p w14:paraId="03D32021" w14:textId="4EDCB2BB" w:rsidR="00447628" w:rsidRDefault="00447628" w:rsidP="00447628">
      <w:pPr>
        <w:jc w:val="both"/>
        <w:rPr>
          <w:rFonts w:ascii="Calibri" w:hAnsi="Calibri" w:cs="Calibri"/>
          <w:color w:val="000000"/>
        </w:rPr>
      </w:pPr>
      <w:r>
        <w:rPr>
          <w:rFonts w:ascii="Calibri" w:hAnsi="Calibri" w:cs="Calibri"/>
          <w:color w:val="000000"/>
        </w:rPr>
        <w:t>Heap exhaustion is the most common cause of Java service outages in production. A service running at 90% of its Xmx setting is one traffic spike away from an OutOfMemoryError and a full service crash. This slide surfaces that risk proactively using real data so engineering leadership can prioritise remediation before the next incident rather than after it.</w:t>
      </w:r>
    </w:p>
    <w:p w14:paraId="31091709" w14:textId="44C58C9C" w:rsidR="00447628" w:rsidRDefault="00447628" w:rsidP="00447628">
      <w:pPr>
        <w:spacing w:before="120" w:after="40"/>
        <w:rPr>
          <w:rFonts w:ascii="Calibri" w:hAnsi="Calibri" w:cs="Calibri"/>
          <w:b/>
          <w:color w:val="F47B20"/>
          <w:sz w:val="24"/>
        </w:rPr>
      </w:pPr>
      <w:r>
        <w:rPr>
          <w:rFonts w:ascii="Calibri" w:hAnsi="Calibri" w:cs="Calibri"/>
          <w:b/>
          <w:color w:val="F47B20"/>
          <w:sz w:val="24"/>
        </w:rPr>
        <w:t>HOW - How we achieve this</w:t>
      </w:r>
    </w:p>
    <w:p w14:paraId="243F870C" w14:textId="2EB9C42E" w:rsidR="00447628" w:rsidRDefault="00447628" w:rsidP="00447628">
      <w:pPr>
        <w:jc w:val="both"/>
        <w:rPr>
          <w:rFonts w:ascii="Calibri" w:hAnsi="Calibri" w:cs="Calibri"/>
          <w:color w:val="000000"/>
        </w:rPr>
      </w:pPr>
      <w:r>
        <w:rPr>
          <w:rFonts w:ascii="Calibri" w:hAnsi="Calibri" w:cs="Calibri"/>
          <w:color w:val="000000"/>
        </w:rPr>
        <w:t>Heap metrics are collected via the JVM Micrometer exporter and scraped by Prometheus every 15 seconds using the jvm.memory.used and jvm.memory.max metrics. The 80% threshold is configured as a Prometheus alerting rule. Remediation steps are specified on the slide: increase Xmx to 512m, enable G1GC with -XX:+UseG1GC, and set the ECS auto-scaling trigger at 80% heap utilisation rather than waiting for 90%.</w:t>
      </w:r>
    </w:p>
    <w:p w14:paraId="6D81A5E3" w14:textId="77777777" w:rsidR="00447628" w:rsidRDefault="00447628" w:rsidP="00447628">
      <w:pPr>
        <w:spacing w:after="0"/>
        <w:rPr>
          <w:sz w:val="10"/>
        </w:rPr>
      </w:pPr>
    </w:p>
    <w:p w14:paraId="42AAD014" w14:textId="2DFD5ED7" w:rsidR="00447628" w:rsidRDefault="00447628" w:rsidP="00447628">
      <w:pPr>
        <w:pStyle w:val="Heading1"/>
        <w:spacing w:before="320"/>
        <w:rPr>
          <w:rFonts w:ascii="Calibri" w:hAnsi="Calibri" w:cs="Calibri"/>
          <w:b/>
          <w:color w:val="1B2A4A"/>
          <w:sz w:val="34"/>
        </w:rPr>
      </w:pPr>
      <w:r>
        <w:rPr>
          <w:rFonts w:ascii="Calibri" w:hAnsi="Calibri" w:cs="Calibri"/>
          <w:b/>
          <w:color w:val="1B2A4A"/>
          <w:sz w:val="34"/>
        </w:rPr>
        <w:t>Slide 6 - CPU Utilisation: ECS Fargate Tasks</w:t>
      </w:r>
    </w:p>
    <w:p w14:paraId="76DB570D" w14:textId="57A77559" w:rsidR="00447628" w:rsidRDefault="00447628" w:rsidP="00447628">
      <w:pPr>
        <w:spacing w:before="120" w:after="40"/>
        <w:rPr>
          <w:rFonts w:ascii="Calibri" w:hAnsi="Calibri" w:cs="Calibri"/>
          <w:b/>
          <w:color w:val="F47B20"/>
          <w:sz w:val="24"/>
        </w:rPr>
      </w:pPr>
      <w:r>
        <w:rPr>
          <w:rFonts w:ascii="Calibri" w:hAnsi="Calibri" w:cs="Calibri"/>
          <w:b/>
          <w:color w:val="F47B20"/>
          <w:sz w:val="24"/>
        </w:rPr>
        <w:t>WHAT - What the slide shows</w:t>
      </w:r>
    </w:p>
    <w:p w14:paraId="16C928B1" w14:textId="0B91E75D" w:rsidR="00447628" w:rsidRDefault="00447628" w:rsidP="00447628">
      <w:pPr>
        <w:jc w:val="both"/>
        <w:rPr>
          <w:rFonts w:ascii="Calibri" w:hAnsi="Calibri" w:cs="Calibri"/>
          <w:color w:val="000000"/>
        </w:rPr>
      </w:pPr>
      <w:r>
        <w:rPr>
          <w:rFonts w:ascii="Calibri" w:hAnsi="Calibri" w:cs="Calibri"/>
          <w:color w:val="000000"/>
        </w:rPr>
        <w:t>A seven-column table showing CPU statistics for all five services: average, peak, P50, P95, and P99 CPU percentages, alongside the configured auto-scaling trigger threshold of 70%. The images service row is highlighted in red because its P99 CPU at 88% consistently breaches the threshold. A navy insight box at the bottom explains the business impact and the recommended architectural fix.</w:t>
      </w:r>
    </w:p>
    <w:p w14:paraId="0C7184A3" w14:textId="79FA265F" w:rsidR="00447628" w:rsidRDefault="00447628" w:rsidP="00447628">
      <w:pPr>
        <w:spacing w:before="120" w:after="40"/>
        <w:rPr>
          <w:rFonts w:ascii="Calibri" w:hAnsi="Calibri" w:cs="Calibri"/>
          <w:b/>
          <w:color w:val="F47B20"/>
          <w:sz w:val="24"/>
        </w:rPr>
      </w:pPr>
      <w:r>
        <w:rPr>
          <w:rFonts w:ascii="Calibri" w:hAnsi="Calibri" w:cs="Calibri"/>
          <w:b/>
          <w:color w:val="F47B20"/>
          <w:sz w:val="24"/>
        </w:rPr>
        <w:t>WHY - Why it matters</w:t>
      </w:r>
    </w:p>
    <w:p w14:paraId="4A6E1731" w14:textId="5345C911" w:rsidR="00447628" w:rsidRDefault="00447628" w:rsidP="00447628">
      <w:pPr>
        <w:jc w:val="both"/>
        <w:rPr>
          <w:rFonts w:ascii="Calibri" w:hAnsi="Calibri" w:cs="Calibri"/>
          <w:color w:val="000000"/>
        </w:rPr>
      </w:pPr>
      <w:r>
        <w:rPr>
          <w:rFonts w:ascii="Calibri" w:hAnsi="Calibri" w:cs="Calibri"/>
          <w:color w:val="000000"/>
        </w:rPr>
        <w:t>CPU is the primary scaling signal for containerised workloads. Showing P50/P95/P99 breakdowns rather than just averages is critical because a service can look healthy on average while being saturated at the 99th percentile. That saturation causes tail-latency spikes and SLA breaches for 1-in-100 requests - exactly the pattern observed on the images service.</w:t>
      </w:r>
    </w:p>
    <w:p w14:paraId="16699098" w14:textId="6ADCD87B" w:rsidR="00447628" w:rsidRDefault="00447628" w:rsidP="00447628">
      <w:pPr>
        <w:spacing w:before="120" w:after="40"/>
        <w:rPr>
          <w:rFonts w:ascii="Calibri" w:hAnsi="Calibri" w:cs="Calibri"/>
          <w:b/>
          <w:color w:val="F47B20"/>
          <w:sz w:val="24"/>
        </w:rPr>
      </w:pPr>
      <w:r>
        <w:rPr>
          <w:rFonts w:ascii="Calibri" w:hAnsi="Calibri" w:cs="Calibri"/>
          <w:b/>
          <w:color w:val="F47B20"/>
          <w:sz w:val="24"/>
        </w:rPr>
        <w:t>HOW - How we achieve this</w:t>
      </w:r>
    </w:p>
    <w:p w14:paraId="363F38AA" w14:textId="338B07B2" w:rsidR="00447628" w:rsidRDefault="00447628" w:rsidP="00447628">
      <w:pPr>
        <w:jc w:val="both"/>
        <w:rPr>
          <w:rFonts w:ascii="Calibri" w:hAnsi="Calibri" w:cs="Calibri"/>
          <w:color w:val="000000"/>
        </w:rPr>
      </w:pPr>
      <w:r>
        <w:rPr>
          <w:rFonts w:ascii="Calibri" w:hAnsi="Calibri" w:cs="Calibri"/>
          <w:color w:val="000000"/>
        </w:rPr>
        <w:t>CPU percentiles are calculated using the histogram_quantile function in PromQL over the container_cpu_usage_seconds_total metric scraped from each ECS task. ECS Service Auto Scaling is configured with a Step Scaling policy triggered when average CPU exceeds 70% for two consecutive minutes, adding one task per step with a 60-second cooldown period between scale events.</w:t>
      </w:r>
    </w:p>
    <w:p w14:paraId="2AB93ECA" w14:textId="1FAA8BC0" w:rsidR="00447628" w:rsidRDefault="00447628">
      <w:pPr>
        <w:rPr>
          <w:sz w:val="4"/>
        </w:rPr>
      </w:pPr>
      <w:r>
        <w:rPr>
          <w:sz w:val="4"/>
        </w:rPr>
        <w:br w:type="page"/>
      </w:r>
    </w:p>
    <w:p w14:paraId="6CBFF959" w14:textId="1BCDB8CE" w:rsidR="00447628" w:rsidRDefault="00447628" w:rsidP="00447628">
      <w:pPr>
        <w:pStyle w:val="Heading1"/>
        <w:spacing w:before="320"/>
        <w:rPr>
          <w:rFonts w:ascii="Calibri" w:hAnsi="Calibri" w:cs="Calibri"/>
          <w:b/>
          <w:color w:val="1B2A4A"/>
          <w:sz w:val="34"/>
        </w:rPr>
      </w:pPr>
      <w:r>
        <w:rPr>
          <w:rFonts w:ascii="Calibri" w:hAnsi="Calibri" w:cs="Calibri"/>
          <w:b/>
          <w:color w:val="1B2A4A"/>
          <w:sz w:val="34"/>
        </w:rPr>
        <w:lastRenderedPageBreak/>
        <w:t>Slide 7 - API Latency Analysis: Percentile Distribution</w:t>
      </w:r>
    </w:p>
    <w:p w14:paraId="7123F7A4" w14:textId="0BE0547A" w:rsidR="00447628" w:rsidRDefault="00447628" w:rsidP="00447628">
      <w:pPr>
        <w:spacing w:before="120" w:after="40"/>
        <w:rPr>
          <w:rFonts w:ascii="Calibri" w:hAnsi="Calibri" w:cs="Calibri"/>
          <w:b/>
          <w:color w:val="F47B20"/>
          <w:sz w:val="24"/>
        </w:rPr>
      </w:pPr>
      <w:r>
        <w:rPr>
          <w:rFonts w:ascii="Calibri" w:hAnsi="Calibri" w:cs="Calibri"/>
          <w:b/>
          <w:color w:val="F47B20"/>
          <w:sz w:val="24"/>
        </w:rPr>
        <w:t>WHAT - What the slide shows</w:t>
      </w:r>
    </w:p>
    <w:p w14:paraId="2F3E5F78" w14:textId="0A33583B" w:rsidR="00447628" w:rsidRDefault="00447628" w:rsidP="00447628">
      <w:pPr>
        <w:jc w:val="both"/>
        <w:rPr>
          <w:rFonts w:ascii="Calibri" w:hAnsi="Calibri" w:cs="Calibri"/>
          <w:color w:val="000000"/>
        </w:rPr>
      </w:pPr>
      <w:r>
        <w:rPr>
          <w:rFonts w:ascii="Calibri" w:hAnsi="Calibri" w:cs="Calibri"/>
          <w:color w:val="000000"/>
        </w:rPr>
        <w:t>An eight-column latency table covering every production endpoint: P50, P75, P95, P99, and P99.9 response times in milliseconds, plus a pass or breach indicator against the 500 ms SLA. Two image-service endpoints (upload and resize) are highlighted in red as SLA breaches. The /observability/analyze endpoint is marked N/A because LLM investigation calls are deliberately excluded from the latency SLA.</w:t>
      </w:r>
    </w:p>
    <w:p w14:paraId="3534886C" w14:textId="3B627246" w:rsidR="00447628" w:rsidRDefault="00447628" w:rsidP="00447628">
      <w:pPr>
        <w:spacing w:before="120" w:after="40"/>
        <w:rPr>
          <w:rFonts w:ascii="Calibri" w:hAnsi="Calibri" w:cs="Calibri"/>
          <w:b/>
          <w:color w:val="F47B20"/>
          <w:sz w:val="24"/>
        </w:rPr>
      </w:pPr>
      <w:r>
        <w:rPr>
          <w:rFonts w:ascii="Calibri" w:hAnsi="Calibri" w:cs="Calibri"/>
          <w:b/>
          <w:color w:val="F47B20"/>
          <w:sz w:val="24"/>
        </w:rPr>
        <w:t>WHY - Why it matters</w:t>
      </w:r>
    </w:p>
    <w:p w14:paraId="442DFA0B" w14:textId="151EBA1E" w:rsidR="00447628" w:rsidRDefault="00447628" w:rsidP="00447628">
      <w:pPr>
        <w:jc w:val="both"/>
        <w:rPr>
          <w:rFonts w:ascii="Calibri" w:hAnsi="Calibri" w:cs="Calibri"/>
          <w:color w:val="000000"/>
        </w:rPr>
      </w:pPr>
      <w:r>
        <w:rPr>
          <w:rFonts w:ascii="Calibri" w:hAnsi="Calibri" w:cs="Calibri"/>
          <w:color w:val="000000"/>
        </w:rPr>
        <w:t>P99 latency defines the experience for 1 in every 100 users. A P99 of 720 ms on image upload means every 100th request takes nearly 1.5 times the SLA limit. For an e-commerce platform that translates directly to cart abandonment and revenue loss. Showing the full percentile distribution makes the severity undeniable - averages would hide this entirely.</w:t>
      </w:r>
    </w:p>
    <w:p w14:paraId="087A8593" w14:textId="5F631FBC" w:rsidR="00447628" w:rsidRDefault="00447628" w:rsidP="00447628">
      <w:pPr>
        <w:spacing w:before="120" w:after="40"/>
        <w:rPr>
          <w:rFonts w:ascii="Calibri" w:hAnsi="Calibri" w:cs="Calibri"/>
          <w:b/>
          <w:color w:val="F47B20"/>
          <w:sz w:val="24"/>
        </w:rPr>
      </w:pPr>
      <w:r>
        <w:rPr>
          <w:rFonts w:ascii="Calibri" w:hAnsi="Calibri" w:cs="Calibri"/>
          <w:b/>
          <w:color w:val="F47B20"/>
          <w:sz w:val="24"/>
        </w:rPr>
        <w:t>HOW - How we achieve this</w:t>
      </w:r>
    </w:p>
    <w:p w14:paraId="43209A8F" w14:textId="3B1D38EA" w:rsidR="00447628" w:rsidRDefault="00447628" w:rsidP="00447628">
      <w:pPr>
        <w:jc w:val="both"/>
        <w:rPr>
          <w:rFonts w:ascii="Calibri" w:hAnsi="Calibri" w:cs="Calibri"/>
          <w:color w:val="000000"/>
        </w:rPr>
      </w:pPr>
      <w:r>
        <w:rPr>
          <w:rFonts w:ascii="Calibri" w:hAnsi="Calibri" w:cs="Calibri"/>
          <w:color w:val="000000"/>
        </w:rPr>
        <w:t>Latency is tracked via the micrometer http.server.requests metric with Spring Boot auto-instrumentation. PromQL histogram_quantile over the collected histograms produces the P50, P95, P99, and P99.9 values without any custom code. The root cause of the image-service breaches is synchronous image processing on the request thread. The remediation is to move processing to an asynchronous SQS plus Lambda pipeline so the HTTP response returns immediately.</w:t>
      </w:r>
    </w:p>
    <w:p w14:paraId="5D1E8A8E" w14:textId="77777777" w:rsidR="00447628" w:rsidRDefault="00447628" w:rsidP="00447628">
      <w:pPr>
        <w:spacing w:after="0"/>
        <w:rPr>
          <w:sz w:val="10"/>
        </w:rPr>
      </w:pPr>
    </w:p>
    <w:p w14:paraId="268A7B2B" w14:textId="29A3E3FC" w:rsidR="00447628" w:rsidRDefault="00447628" w:rsidP="00447628">
      <w:pPr>
        <w:pStyle w:val="Heading1"/>
        <w:spacing w:before="320"/>
        <w:rPr>
          <w:rFonts w:ascii="Calibri" w:hAnsi="Calibri" w:cs="Calibri"/>
          <w:b/>
          <w:color w:val="1B2A4A"/>
          <w:sz w:val="34"/>
        </w:rPr>
      </w:pPr>
      <w:r>
        <w:rPr>
          <w:rFonts w:ascii="Calibri" w:hAnsi="Calibri" w:cs="Calibri"/>
          <w:b/>
          <w:color w:val="1B2A4A"/>
          <w:sz w:val="34"/>
        </w:rPr>
        <w:t>Slide 8 - Throughput and Service Reliability</w:t>
      </w:r>
    </w:p>
    <w:p w14:paraId="09033A54" w14:textId="5BE15313" w:rsidR="00447628" w:rsidRDefault="00447628" w:rsidP="00447628">
      <w:pPr>
        <w:spacing w:before="120" w:after="40"/>
        <w:rPr>
          <w:rFonts w:ascii="Calibri" w:hAnsi="Calibri" w:cs="Calibri"/>
          <w:b/>
          <w:color w:val="F47B20"/>
          <w:sz w:val="24"/>
        </w:rPr>
      </w:pPr>
      <w:r>
        <w:rPr>
          <w:rFonts w:ascii="Calibri" w:hAnsi="Calibri" w:cs="Calibri"/>
          <w:b/>
          <w:color w:val="F47B20"/>
          <w:sz w:val="24"/>
        </w:rPr>
        <w:t>WHAT - What the slide shows</w:t>
      </w:r>
    </w:p>
    <w:p w14:paraId="30771451" w14:textId="09553DE6" w:rsidR="00447628" w:rsidRDefault="00447628" w:rsidP="00447628">
      <w:pPr>
        <w:jc w:val="both"/>
        <w:rPr>
          <w:rFonts w:ascii="Calibri" w:hAnsi="Calibri" w:cs="Calibri"/>
          <w:color w:val="000000"/>
        </w:rPr>
      </w:pPr>
      <w:r>
        <w:rPr>
          <w:rFonts w:ascii="Calibri" w:hAnsi="Calibri" w:cs="Calibri"/>
          <w:color w:val="000000"/>
        </w:rPr>
        <w:t>A left-panel throughput table showing average, peak, and maximum RPS alongside error rates per service. A large green badge on the right displays the headline 99.85% overall availability figure. Two stat boxes below call out peak throughput (492 RPS) and overall error rate (0.12%).</w:t>
      </w:r>
    </w:p>
    <w:p w14:paraId="427CB213" w14:textId="44C86821" w:rsidR="00447628" w:rsidRDefault="00447628" w:rsidP="00447628">
      <w:pPr>
        <w:spacing w:before="120" w:after="40"/>
        <w:rPr>
          <w:rFonts w:ascii="Calibri" w:hAnsi="Calibri" w:cs="Calibri"/>
          <w:b/>
          <w:color w:val="F47B20"/>
          <w:sz w:val="24"/>
        </w:rPr>
      </w:pPr>
      <w:r>
        <w:rPr>
          <w:rFonts w:ascii="Calibri" w:hAnsi="Calibri" w:cs="Calibri"/>
          <w:b/>
          <w:color w:val="F47B20"/>
          <w:sz w:val="24"/>
        </w:rPr>
        <w:t>WHY - Why it matters</w:t>
      </w:r>
    </w:p>
    <w:p w14:paraId="252E8370" w14:textId="1B7857E8" w:rsidR="00447628" w:rsidRDefault="00447628" w:rsidP="00447628">
      <w:pPr>
        <w:jc w:val="both"/>
        <w:rPr>
          <w:rFonts w:ascii="Calibri" w:hAnsi="Calibri" w:cs="Calibri"/>
          <w:color w:val="000000"/>
        </w:rPr>
      </w:pPr>
      <w:r>
        <w:rPr>
          <w:rFonts w:ascii="Calibri" w:hAnsi="Calibri" w:cs="Calibri"/>
          <w:color w:val="000000"/>
        </w:rPr>
        <w:t>Availability and throughput are the two metrics every SLA and SLO is built on. The 99.85% number is the top-line headline for management - it means the platform was unavailable for less than 13 hours over the entire year. The error rate breakout by service shows which services need attention: images at 0.31% is the outlier requiring async processing remediation.</w:t>
      </w:r>
    </w:p>
    <w:p w14:paraId="59C68E47" w14:textId="314D1761" w:rsidR="00447628" w:rsidRDefault="00447628" w:rsidP="00447628">
      <w:pPr>
        <w:spacing w:before="120" w:after="40"/>
        <w:rPr>
          <w:rFonts w:ascii="Calibri" w:hAnsi="Calibri" w:cs="Calibri"/>
          <w:b/>
          <w:color w:val="F47B20"/>
          <w:sz w:val="24"/>
        </w:rPr>
      </w:pPr>
      <w:r>
        <w:rPr>
          <w:rFonts w:ascii="Calibri" w:hAnsi="Calibri" w:cs="Calibri"/>
          <w:b/>
          <w:color w:val="F47B20"/>
          <w:sz w:val="24"/>
        </w:rPr>
        <w:t>HOW - How we achieve this</w:t>
      </w:r>
    </w:p>
    <w:p w14:paraId="4C763F9A" w14:textId="23D47447" w:rsidR="00447628" w:rsidRDefault="00447628" w:rsidP="00447628">
      <w:pPr>
        <w:jc w:val="both"/>
        <w:rPr>
          <w:rFonts w:ascii="Calibri" w:hAnsi="Calibri" w:cs="Calibri"/>
          <w:color w:val="000000"/>
        </w:rPr>
      </w:pPr>
      <w:r>
        <w:rPr>
          <w:rFonts w:ascii="Calibri" w:hAnsi="Calibri" w:cs="Calibri"/>
          <w:color w:val="000000"/>
        </w:rPr>
        <w:t>Availability is calculated as (total requests minus 5xx errors) divided by total requests, aggregated across all services using Prometheus sum() over the scrape window. Peak throughput was measured during the simulate_traffic_spike.py load test that generates randomised traffic across all endpoints with configurable RPS targets. Error rates are surfaced via the http.server.requests metric filtered by status code 5xx label.</w:t>
      </w:r>
    </w:p>
    <w:p w14:paraId="74D72ABB" w14:textId="7D8F38FF" w:rsidR="00447628" w:rsidRDefault="00447628">
      <w:pPr>
        <w:rPr>
          <w:sz w:val="4"/>
        </w:rPr>
      </w:pPr>
      <w:r>
        <w:rPr>
          <w:sz w:val="4"/>
        </w:rPr>
        <w:br w:type="page"/>
      </w:r>
    </w:p>
    <w:p w14:paraId="7A8A9295" w14:textId="31265963" w:rsidR="00447628" w:rsidRDefault="00447628" w:rsidP="00447628">
      <w:pPr>
        <w:pStyle w:val="Heading1"/>
        <w:spacing w:before="320"/>
        <w:rPr>
          <w:rFonts w:ascii="Calibri" w:hAnsi="Calibri" w:cs="Calibri"/>
          <w:b/>
          <w:color w:val="1B2A4A"/>
          <w:sz w:val="34"/>
        </w:rPr>
      </w:pPr>
      <w:r>
        <w:rPr>
          <w:rFonts w:ascii="Calibri" w:hAnsi="Calibri" w:cs="Calibri"/>
          <w:b/>
          <w:color w:val="1B2A4A"/>
          <w:sz w:val="34"/>
        </w:rPr>
        <w:lastRenderedPageBreak/>
        <w:t>Slide 9 - Auto-Scaling Configuration and Events</w:t>
      </w:r>
    </w:p>
    <w:p w14:paraId="5CDFF1B3" w14:textId="164837C5" w:rsidR="00447628" w:rsidRDefault="00447628" w:rsidP="00447628">
      <w:pPr>
        <w:spacing w:before="120" w:after="40"/>
        <w:rPr>
          <w:rFonts w:ascii="Calibri" w:hAnsi="Calibri" w:cs="Calibri"/>
          <w:b/>
          <w:color w:val="F47B20"/>
          <w:sz w:val="24"/>
        </w:rPr>
      </w:pPr>
      <w:r>
        <w:rPr>
          <w:rFonts w:ascii="Calibri" w:hAnsi="Calibri" w:cs="Calibri"/>
          <w:b/>
          <w:color w:val="F47B20"/>
          <w:sz w:val="24"/>
        </w:rPr>
        <w:t>WHAT - What the slide shows</w:t>
      </w:r>
    </w:p>
    <w:p w14:paraId="1A314D3E" w14:textId="21BF307B" w:rsidR="00447628" w:rsidRDefault="00447628" w:rsidP="00447628">
      <w:pPr>
        <w:jc w:val="both"/>
        <w:rPr>
          <w:rFonts w:ascii="Calibri" w:hAnsi="Calibri" w:cs="Calibri"/>
          <w:color w:val="000000"/>
        </w:rPr>
      </w:pPr>
      <w:r>
        <w:rPr>
          <w:rFonts w:ascii="Calibri" w:hAnsi="Calibri" w:cs="Calibri"/>
          <w:color w:val="000000"/>
        </w:rPr>
        <w:t>A scaling policy table showing minimum and maximum task counts and CPU trigger thresholds for all five services, followed by a 30-day scaling event log. The event log shows that the images service scaled out 14 times - the highest of any service. The observability-debug-agent shows zero scale events, which is intentional because LLM calls are slow and stateful and parallel instances would cause investigation conflicts.</w:t>
      </w:r>
    </w:p>
    <w:p w14:paraId="0D425ACE" w14:textId="45A25C24" w:rsidR="00447628" w:rsidRDefault="00447628" w:rsidP="00447628">
      <w:pPr>
        <w:spacing w:before="120" w:after="40"/>
        <w:rPr>
          <w:rFonts w:ascii="Calibri" w:hAnsi="Calibri" w:cs="Calibri"/>
          <w:b/>
          <w:color w:val="F47B20"/>
          <w:sz w:val="24"/>
        </w:rPr>
      </w:pPr>
      <w:r>
        <w:rPr>
          <w:rFonts w:ascii="Calibri" w:hAnsi="Calibri" w:cs="Calibri"/>
          <w:b/>
          <w:color w:val="F47B20"/>
          <w:sz w:val="24"/>
        </w:rPr>
        <w:t>WHY - Why it matters</w:t>
      </w:r>
    </w:p>
    <w:p w14:paraId="51D2C8EB" w14:textId="3115D6D1" w:rsidR="00447628" w:rsidRDefault="00447628" w:rsidP="00447628">
      <w:pPr>
        <w:jc w:val="both"/>
        <w:rPr>
          <w:rFonts w:ascii="Calibri" w:hAnsi="Calibri" w:cs="Calibri"/>
          <w:color w:val="000000"/>
        </w:rPr>
      </w:pPr>
      <w:r>
        <w:rPr>
          <w:rFonts w:ascii="Calibri" w:hAnsi="Calibri" w:cs="Calibri"/>
          <w:color w:val="000000"/>
        </w:rPr>
        <w:t>Auto-scaling is the core mechanism that allows the platform to handle variable load without over-provisioning fixed capacity. Showing the 30-day event log proves the policies are working in practice and not just configured in YAML. The 14 scale-outs for the images service quantifies the technical debt precisely: the service is CPU-bound and needs async processing to reduce its per-request compute footprint.</w:t>
      </w:r>
    </w:p>
    <w:p w14:paraId="5998AE72" w14:textId="5169348A" w:rsidR="00447628" w:rsidRDefault="00447628" w:rsidP="00447628">
      <w:pPr>
        <w:spacing w:before="120" w:after="40"/>
        <w:rPr>
          <w:rFonts w:ascii="Calibri" w:hAnsi="Calibri" w:cs="Calibri"/>
          <w:b/>
          <w:color w:val="F47B20"/>
          <w:sz w:val="24"/>
        </w:rPr>
      </w:pPr>
      <w:r>
        <w:rPr>
          <w:rFonts w:ascii="Calibri" w:hAnsi="Calibri" w:cs="Calibri"/>
          <w:b/>
          <w:color w:val="F47B20"/>
          <w:sz w:val="24"/>
        </w:rPr>
        <w:t>HOW - How we achieve this</w:t>
      </w:r>
    </w:p>
    <w:p w14:paraId="527F2B9A" w14:textId="0DF47F0B" w:rsidR="00447628" w:rsidRDefault="00447628" w:rsidP="00447628">
      <w:pPr>
        <w:jc w:val="both"/>
        <w:rPr>
          <w:rFonts w:ascii="Calibri" w:hAnsi="Calibri" w:cs="Calibri"/>
          <w:color w:val="000000"/>
        </w:rPr>
      </w:pPr>
      <w:r>
        <w:rPr>
          <w:rFonts w:ascii="Calibri" w:hAnsi="Calibri" w:cs="Calibri"/>
          <w:color w:val="000000"/>
        </w:rPr>
        <w:t>ECS Service Auto Scaling uses AWS Application Auto Scaling with a TargetTrackingScalingPolicy targeting the ECSServiceAverageCPUUtilization metric at 70%. Minimum and maximum task counts are set in the ECS service definition inside CloudFormation 02-microservices.yaml. Scale-out events are logged to CloudWatch Logs and can be queried via the AWS CLI using describe-scaling-activities on the application auto scaling API.</w:t>
      </w:r>
    </w:p>
    <w:p w14:paraId="48AD7AF9" w14:textId="77777777" w:rsidR="00447628" w:rsidRDefault="00447628" w:rsidP="00447628">
      <w:pPr>
        <w:spacing w:after="0"/>
        <w:rPr>
          <w:sz w:val="10"/>
        </w:rPr>
      </w:pPr>
    </w:p>
    <w:p w14:paraId="188C3902" w14:textId="5673B98C" w:rsidR="00447628" w:rsidRDefault="00447628" w:rsidP="00447628">
      <w:pPr>
        <w:pStyle w:val="Heading1"/>
        <w:spacing w:before="320"/>
        <w:rPr>
          <w:rFonts w:ascii="Calibri" w:hAnsi="Calibri" w:cs="Calibri"/>
          <w:b/>
          <w:color w:val="1B2A4A"/>
          <w:sz w:val="34"/>
        </w:rPr>
      </w:pPr>
      <w:r>
        <w:rPr>
          <w:rFonts w:ascii="Calibri" w:hAnsi="Calibri" w:cs="Calibri"/>
          <w:b/>
          <w:color w:val="1B2A4A"/>
          <w:sz w:val="34"/>
        </w:rPr>
        <w:t>Slide 10 - Observability Stack: Prometheus / Loki / Grafana</w:t>
      </w:r>
    </w:p>
    <w:p w14:paraId="5535345C" w14:textId="75269160" w:rsidR="00447628" w:rsidRDefault="00447628" w:rsidP="00447628">
      <w:pPr>
        <w:spacing w:before="120" w:after="40"/>
        <w:rPr>
          <w:rFonts w:ascii="Calibri" w:hAnsi="Calibri" w:cs="Calibri"/>
          <w:b/>
          <w:color w:val="F47B20"/>
          <w:sz w:val="24"/>
        </w:rPr>
      </w:pPr>
      <w:r>
        <w:rPr>
          <w:rFonts w:ascii="Calibri" w:hAnsi="Calibri" w:cs="Calibri"/>
          <w:b/>
          <w:color w:val="F47B20"/>
          <w:sz w:val="24"/>
        </w:rPr>
        <w:t>WHAT - What the slide shows</w:t>
      </w:r>
    </w:p>
    <w:p w14:paraId="24100ECC" w14:textId="042CAE1B" w:rsidR="00447628" w:rsidRDefault="00447628" w:rsidP="00447628">
      <w:pPr>
        <w:jc w:val="both"/>
        <w:rPr>
          <w:rFonts w:ascii="Calibri" w:hAnsi="Calibri" w:cs="Calibri"/>
          <w:color w:val="000000"/>
        </w:rPr>
      </w:pPr>
      <w:r>
        <w:rPr>
          <w:rFonts w:ascii="Calibri" w:hAnsi="Calibri" w:cs="Calibri"/>
          <w:color w:val="000000"/>
        </w:rPr>
        <w:t>A three-panel overview showing what each observability tool does, what data it captures, and how the AI agent uses it. Prometheus handles metrics (JVM heap, HTTP latency histograms, CPU, GC). Loki handles structured JSON logs with X-Correlation-Id labels for per-request tracing. Grafana provides dashboards with pre-built panels and deep-links that the AI agent embeds in its root-cause summaries.</w:t>
      </w:r>
    </w:p>
    <w:p w14:paraId="02DDDA03" w14:textId="1401666E" w:rsidR="00447628" w:rsidRDefault="00447628" w:rsidP="00447628">
      <w:pPr>
        <w:spacing w:before="120" w:after="40"/>
        <w:rPr>
          <w:rFonts w:ascii="Calibri" w:hAnsi="Calibri" w:cs="Calibri"/>
          <w:b/>
          <w:color w:val="F47B20"/>
          <w:sz w:val="24"/>
        </w:rPr>
      </w:pPr>
      <w:r>
        <w:rPr>
          <w:rFonts w:ascii="Calibri" w:hAnsi="Calibri" w:cs="Calibri"/>
          <w:b/>
          <w:color w:val="F47B20"/>
          <w:sz w:val="24"/>
        </w:rPr>
        <w:t>WHY - Why it matters</w:t>
      </w:r>
    </w:p>
    <w:p w14:paraId="2357C080" w14:textId="7B5C93C5" w:rsidR="00447628" w:rsidRDefault="00447628" w:rsidP="00447628">
      <w:pPr>
        <w:jc w:val="both"/>
        <w:rPr>
          <w:rFonts w:ascii="Calibri" w:hAnsi="Calibri" w:cs="Calibri"/>
          <w:color w:val="000000"/>
        </w:rPr>
      </w:pPr>
      <w:r>
        <w:rPr>
          <w:rFonts w:ascii="Calibri" w:hAnsi="Calibri" w:cs="Calibri"/>
          <w:color w:val="000000"/>
        </w:rPr>
        <w:t>The observability stack is the data foundation that makes the AI agent possible. Without structured metrics and correlated logs, the LangGraph agent has nothing to reason over. This slide explains why the investment in the observability stack is the prerequisite for all the AI capabilities shown in the other slides - not a separate concern but the enabling layer.</w:t>
      </w:r>
    </w:p>
    <w:p w14:paraId="2C238136" w14:textId="6920AD1C" w:rsidR="00447628" w:rsidRDefault="00447628" w:rsidP="00447628">
      <w:pPr>
        <w:spacing w:before="120" w:after="40"/>
        <w:rPr>
          <w:rFonts w:ascii="Calibri" w:hAnsi="Calibri" w:cs="Calibri"/>
          <w:b/>
          <w:color w:val="F47B20"/>
          <w:sz w:val="24"/>
        </w:rPr>
      </w:pPr>
      <w:r>
        <w:rPr>
          <w:rFonts w:ascii="Calibri" w:hAnsi="Calibri" w:cs="Calibri"/>
          <w:b/>
          <w:color w:val="F47B20"/>
          <w:sz w:val="24"/>
        </w:rPr>
        <w:t>HOW - How we achieve this</w:t>
      </w:r>
    </w:p>
    <w:p w14:paraId="3AE7F665" w14:textId="22B79004" w:rsidR="00447628" w:rsidRDefault="00447628" w:rsidP="00447628">
      <w:pPr>
        <w:jc w:val="both"/>
        <w:rPr>
          <w:rFonts w:ascii="Calibri" w:hAnsi="Calibri" w:cs="Calibri"/>
          <w:color w:val="000000"/>
        </w:rPr>
      </w:pPr>
      <w:r>
        <w:rPr>
          <w:rFonts w:ascii="Calibri" w:hAnsi="Calibri" w:cs="Calibri"/>
          <w:color w:val="000000"/>
        </w:rPr>
        <w:t>Prometheus scrape jobs are configured for each service at 15-second intervals using the /actuator/prometheus endpoint exposed by Spring Boot Actuator with the Micrometer Prometheus registry. Loki receives JSON-structured logs from Promtail running as an ECS sidecar, with namespace, pod, and X-Correlation-Id as index labels. Grafana datasources are provisioned automatically via environment variables. The AI agent queries both Prometheus and Loki via the Spring AI MCP server REST API.</w:t>
      </w:r>
    </w:p>
    <w:p w14:paraId="2382FCAE" w14:textId="73247527" w:rsidR="00447628" w:rsidRDefault="00447628">
      <w:pPr>
        <w:rPr>
          <w:sz w:val="4"/>
        </w:rPr>
      </w:pPr>
      <w:r>
        <w:rPr>
          <w:sz w:val="4"/>
        </w:rPr>
        <w:br w:type="page"/>
      </w:r>
    </w:p>
    <w:p w14:paraId="58AF401E" w14:textId="563BAEEA" w:rsidR="00447628" w:rsidRDefault="00447628" w:rsidP="00447628">
      <w:pPr>
        <w:pStyle w:val="Heading1"/>
        <w:spacing w:before="320"/>
        <w:rPr>
          <w:rFonts w:ascii="Calibri" w:hAnsi="Calibri" w:cs="Calibri"/>
          <w:b/>
          <w:color w:val="1B2A4A"/>
          <w:sz w:val="34"/>
        </w:rPr>
      </w:pPr>
      <w:r>
        <w:rPr>
          <w:rFonts w:ascii="Calibri" w:hAnsi="Calibri" w:cs="Calibri"/>
          <w:b/>
          <w:color w:val="1B2A4A"/>
          <w:sz w:val="34"/>
        </w:rPr>
        <w:lastRenderedPageBreak/>
        <w:t>Slide 11 - CI/CD Pipeline: GitHub Actions</w:t>
      </w:r>
    </w:p>
    <w:p w14:paraId="31D071E8" w14:textId="24AE9B50" w:rsidR="00447628" w:rsidRDefault="00447628" w:rsidP="00447628">
      <w:pPr>
        <w:spacing w:before="120" w:after="40"/>
        <w:rPr>
          <w:rFonts w:ascii="Calibri" w:hAnsi="Calibri" w:cs="Calibri"/>
          <w:b/>
          <w:color w:val="F47B20"/>
          <w:sz w:val="24"/>
        </w:rPr>
      </w:pPr>
      <w:r>
        <w:rPr>
          <w:rFonts w:ascii="Calibri" w:hAnsi="Calibri" w:cs="Calibri"/>
          <w:b/>
          <w:color w:val="F47B20"/>
          <w:sz w:val="24"/>
        </w:rPr>
        <w:t>WHAT - What the slide shows</w:t>
      </w:r>
    </w:p>
    <w:p w14:paraId="7A668448" w14:textId="3E95F939" w:rsidR="00447628" w:rsidRDefault="00447628" w:rsidP="00447628">
      <w:pPr>
        <w:jc w:val="both"/>
        <w:rPr>
          <w:rFonts w:ascii="Calibri" w:hAnsi="Calibri" w:cs="Calibri"/>
          <w:color w:val="000000"/>
        </w:rPr>
      </w:pPr>
      <w:r>
        <w:rPr>
          <w:rFonts w:ascii="Calibri" w:hAnsi="Calibri" w:cs="Calibri"/>
          <w:color w:val="000000"/>
        </w:rPr>
        <w:t>A pipeline flow diagram showing the two GitHub Actions workflows. docker_build.yaml runs on every push or PR to microservices code: it executes Maven build and tests, builds multi-architecture Docker images for amd64 and arm64, and pushes to Docker Hub with an immutable timestamp tag. ibm_cloud_build.yaml additionally authenticates to IBM Cloud IKS, applies Kubernetes manifests, triggers rolling image updates, and waits for rollout completion.</w:t>
      </w:r>
    </w:p>
    <w:p w14:paraId="4331F793" w14:textId="6EF39160" w:rsidR="00447628" w:rsidRDefault="00447628" w:rsidP="00447628">
      <w:pPr>
        <w:spacing w:before="120" w:after="40"/>
        <w:rPr>
          <w:rFonts w:ascii="Calibri" w:hAnsi="Calibri" w:cs="Calibri"/>
          <w:b/>
          <w:color w:val="F47B20"/>
          <w:sz w:val="24"/>
        </w:rPr>
      </w:pPr>
      <w:r>
        <w:rPr>
          <w:rFonts w:ascii="Calibri" w:hAnsi="Calibri" w:cs="Calibri"/>
          <w:b/>
          <w:color w:val="F47B20"/>
          <w:sz w:val="24"/>
        </w:rPr>
        <w:t>WHY - Why it matters</w:t>
      </w:r>
    </w:p>
    <w:p w14:paraId="1FD4057C" w14:textId="5D003CB3" w:rsidR="00447628" w:rsidRDefault="00447628" w:rsidP="00447628">
      <w:pPr>
        <w:jc w:val="both"/>
        <w:rPr>
          <w:rFonts w:ascii="Calibri" w:hAnsi="Calibri" w:cs="Calibri"/>
          <w:color w:val="000000"/>
        </w:rPr>
      </w:pPr>
      <w:r>
        <w:rPr>
          <w:rFonts w:ascii="Calibri" w:hAnsi="Calibri" w:cs="Calibri"/>
          <w:color w:val="000000"/>
        </w:rPr>
        <w:t>A fully automated CI/CD pipeline is the difference between a POC and a production-ready platform. This slide proves that the deployment process is repeatable, auditable, and fast. Engineers do not manually build or tag images. Every merge to master produces a new immutable image tag and a clean rolling deployment. PRs build but do not push, giving safe preview without polluting the registry.</w:t>
      </w:r>
    </w:p>
    <w:p w14:paraId="54A5AB46" w14:textId="72A8719F" w:rsidR="00447628" w:rsidRDefault="00447628" w:rsidP="00447628">
      <w:pPr>
        <w:spacing w:before="120" w:after="40"/>
        <w:rPr>
          <w:rFonts w:ascii="Calibri" w:hAnsi="Calibri" w:cs="Calibri"/>
          <w:b/>
          <w:color w:val="F47B20"/>
          <w:sz w:val="24"/>
        </w:rPr>
      </w:pPr>
      <w:r>
        <w:rPr>
          <w:rFonts w:ascii="Calibri" w:hAnsi="Calibri" w:cs="Calibri"/>
          <w:b/>
          <w:color w:val="F47B20"/>
          <w:sz w:val="24"/>
        </w:rPr>
        <w:t>HOW - How we achieve this</w:t>
      </w:r>
    </w:p>
    <w:p w14:paraId="1CD7B4D5" w14:textId="4B9E7727" w:rsidR="00447628" w:rsidRDefault="00447628" w:rsidP="00447628">
      <w:pPr>
        <w:jc w:val="both"/>
        <w:rPr>
          <w:rFonts w:ascii="Calibri" w:hAnsi="Calibri" w:cs="Calibri"/>
          <w:color w:val="000000"/>
        </w:rPr>
      </w:pPr>
      <w:r>
        <w:rPr>
          <w:rFonts w:ascii="Calibri" w:hAnsi="Calibri" w:cs="Calibri"/>
          <w:color w:val="000000"/>
        </w:rPr>
        <w:t>docker_build.yaml uses docker buildx with --platform linux/amd64,linux/arm64 to build multi-arch images in a single step without cross-compilation overhead. Maven tests run inside the workflow before the Docker build; any test failure blocks the image push. All secrets - DOCKER_PASSWORD, IBM_CLOUD_API_KEY, and OPENAI_API_KEY - are stored in GitHub repository secrets and injected at runtime. They never appear in code, YAML, or Dockerfiles.</w:t>
      </w:r>
    </w:p>
    <w:p w14:paraId="5D311B68" w14:textId="77777777" w:rsidR="00447628" w:rsidRDefault="00447628" w:rsidP="00447628">
      <w:pPr>
        <w:spacing w:after="0"/>
        <w:rPr>
          <w:sz w:val="10"/>
        </w:rPr>
      </w:pPr>
    </w:p>
    <w:p w14:paraId="4044B65B" w14:textId="271486E5" w:rsidR="00447628" w:rsidRDefault="00447628" w:rsidP="00447628">
      <w:pPr>
        <w:pStyle w:val="Heading1"/>
        <w:spacing w:before="320"/>
        <w:rPr>
          <w:rFonts w:ascii="Calibri" w:hAnsi="Calibri" w:cs="Calibri"/>
          <w:b/>
          <w:color w:val="1B2A4A"/>
          <w:sz w:val="34"/>
        </w:rPr>
      </w:pPr>
      <w:r>
        <w:rPr>
          <w:rFonts w:ascii="Calibri" w:hAnsi="Calibri" w:cs="Calibri"/>
          <w:b/>
          <w:color w:val="1B2A4A"/>
          <w:sz w:val="34"/>
        </w:rPr>
        <w:t>Slide 12 - Cost Analysis</w:t>
      </w:r>
    </w:p>
    <w:p w14:paraId="478788A7" w14:textId="35924BF4" w:rsidR="00447628" w:rsidRDefault="00447628" w:rsidP="00447628">
      <w:pPr>
        <w:spacing w:before="120" w:after="40"/>
        <w:rPr>
          <w:rFonts w:ascii="Calibri" w:hAnsi="Calibri" w:cs="Calibri"/>
          <w:b/>
          <w:color w:val="F47B20"/>
          <w:sz w:val="24"/>
        </w:rPr>
      </w:pPr>
      <w:r>
        <w:rPr>
          <w:rFonts w:ascii="Calibri" w:hAnsi="Calibri" w:cs="Calibri"/>
          <w:b/>
          <w:color w:val="F47B20"/>
          <w:sz w:val="24"/>
        </w:rPr>
        <w:t>WHAT - What the slide shows</w:t>
      </w:r>
    </w:p>
    <w:p w14:paraId="58DC7BEA" w14:textId="6A1481CD" w:rsidR="00447628" w:rsidRDefault="00447628" w:rsidP="00447628">
      <w:pPr>
        <w:jc w:val="both"/>
        <w:rPr>
          <w:rFonts w:ascii="Calibri" w:hAnsi="Calibri" w:cs="Calibri"/>
          <w:color w:val="000000"/>
        </w:rPr>
      </w:pPr>
      <w:r>
        <w:rPr>
          <w:rFonts w:ascii="Calibri" w:hAnsi="Calibri" w:cs="Calibri"/>
          <w:color w:val="000000"/>
        </w:rPr>
        <w:t>An itemised monthly cost breakdown for the entire platform on AWS ECS Fargate: per-service compute costs, ALB charges, CloudWatch Logs ingestion, Secrets Manager, and OpenAI API usage. The total comes to USD 97 per month. A ROI comparison box shows USD 2,250 per month in saved engineer time against USD 97 per month infrastructure cost, producing a 23:1 return on investment ratio.</w:t>
      </w:r>
    </w:p>
    <w:p w14:paraId="234A440C" w14:textId="73215088" w:rsidR="00447628" w:rsidRDefault="00447628" w:rsidP="00447628">
      <w:pPr>
        <w:spacing w:before="120" w:after="40"/>
        <w:rPr>
          <w:rFonts w:ascii="Calibri" w:hAnsi="Calibri" w:cs="Calibri"/>
          <w:b/>
          <w:color w:val="F47B20"/>
          <w:sz w:val="24"/>
        </w:rPr>
      </w:pPr>
      <w:r>
        <w:rPr>
          <w:rFonts w:ascii="Calibri" w:hAnsi="Calibri" w:cs="Calibri"/>
          <w:b/>
          <w:color w:val="F47B20"/>
          <w:sz w:val="24"/>
        </w:rPr>
        <w:t>WHY - Why it matters</w:t>
      </w:r>
    </w:p>
    <w:p w14:paraId="142DAA19" w14:textId="48F35AA0" w:rsidR="00447628" w:rsidRDefault="00447628" w:rsidP="00447628">
      <w:pPr>
        <w:jc w:val="both"/>
        <w:rPr>
          <w:rFonts w:ascii="Calibri" w:hAnsi="Calibri" w:cs="Calibri"/>
          <w:color w:val="000000"/>
        </w:rPr>
      </w:pPr>
      <w:r>
        <w:rPr>
          <w:rFonts w:ascii="Calibri" w:hAnsi="Calibri" w:cs="Calibri"/>
          <w:color w:val="000000"/>
        </w:rPr>
        <w:t>Cost is always the first question from finance and management: what does this actually cost to run? USD 97 per month is a surprisingly low number for a platform of this capability and this level of automation. The ROI analysis reframes the conversation entirely: this is not a cost line item, it is an investment that pays back 23 times monthly. That one calculation is the business case in a single number.</w:t>
      </w:r>
    </w:p>
    <w:p w14:paraId="05094AAD" w14:textId="5082706A" w:rsidR="00447628" w:rsidRDefault="00447628" w:rsidP="00447628">
      <w:pPr>
        <w:spacing w:before="120" w:after="40"/>
        <w:rPr>
          <w:rFonts w:ascii="Calibri" w:hAnsi="Calibri" w:cs="Calibri"/>
          <w:b/>
          <w:color w:val="F47B20"/>
          <w:sz w:val="24"/>
        </w:rPr>
      </w:pPr>
      <w:r>
        <w:rPr>
          <w:rFonts w:ascii="Calibri" w:hAnsi="Calibri" w:cs="Calibri"/>
          <w:b/>
          <w:color w:val="F47B20"/>
          <w:sz w:val="24"/>
        </w:rPr>
        <w:t>HOW - How we achieve this</w:t>
      </w:r>
    </w:p>
    <w:p w14:paraId="4DB44B2C" w14:textId="69070844" w:rsidR="00447628" w:rsidRDefault="00447628" w:rsidP="00447628">
      <w:pPr>
        <w:jc w:val="both"/>
        <w:rPr>
          <w:rFonts w:ascii="Calibri" w:hAnsi="Calibri" w:cs="Calibri"/>
          <w:color w:val="000000"/>
        </w:rPr>
      </w:pPr>
      <w:r>
        <w:rPr>
          <w:rFonts w:ascii="Calibri" w:hAnsi="Calibri" w:cs="Calibri"/>
          <w:color w:val="000000"/>
        </w:rPr>
        <w:t>AWS cost estimates use ECS Fargate on-demand pricing: per vCPU-hour and per GB-hour for each task. ALB pricing uses per LCU-hour rates at observed traffic volumes. CloudWatch Logs uses per-GB ingestion pricing at 7-day retention. OpenAI cost uses published GPT-4.1-mini input and output token pricing at 500 investigations per month averaging 2,000 tokens each. The engineer time saving assumes USD 75 per hour fully-loaded cost and 0.75 hours saved per incident for 50 incidents per month.</w:t>
      </w:r>
    </w:p>
    <w:p w14:paraId="0334CD71" w14:textId="1BBA0A98" w:rsidR="00447628" w:rsidRDefault="00447628">
      <w:pPr>
        <w:rPr>
          <w:sz w:val="4"/>
        </w:rPr>
      </w:pPr>
      <w:r>
        <w:rPr>
          <w:sz w:val="4"/>
        </w:rPr>
        <w:br w:type="page"/>
      </w:r>
    </w:p>
    <w:p w14:paraId="4B3538F2" w14:textId="53D67095" w:rsidR="00447628" w:rsidRDefault="00447628" w:rsidP="00447628">
      <w:pPr>
        <w:pStyle w:val="Heading1"/>
        <w:spacing w:before="320"/>
        <w:rPr>
          <w:rFonts w:ascii="Calibri" w:hAnsi="Calibri" w:cs="Calibri"/>
          <w:b/>
          <w:color w:val="1B2A4A"/>
          <w:sz w:val="34"/>
        </w:rPr>
      </w:pPr>
      <w:r>
        <w:rPr>
          <w:rFonts w:ascii="Calibri" w:hAnsi="Calibri" w:cs="Calibri"/>
          <w:b/>
          <w:color w:val="1B2A4A"/>
          <w:sz w:val="34"/>
        </w:rPr>
        <w:t>Slide 13 - AI Debug Agent: LangGraph Investigation Flow</w:t>
      </w:r>
    </w:p>
    <w:p w14:paraId="652AF3F4" w14:textId="3BDDB261" w:rsidR="00447628" w:rsidRDefault="00447628" w:rsidP="00447628">
      <w:pPr>
        <w:spacing w:before="120" w:after="40"/>
        <w:rPr>
          <w:rFonts w:ascii="Calibri" w:hAnsi="Calibri" w:cs="Calibri"/>
          <w:b/>
          <w:color w:val="F47B20"/>
          <w:sz w:val="24"/>
        </w:rPr>
      </w:pPr>
      <w:r>
        <w:rPr>
          <w:rFonts w:ascii="Calibri" w:hAnsi="Calibri" w:cs="Calibri"/>
          <w:b/>
          <w:color w:val="F47B20"/>
          <w:sz w:val="24"/>
        </w:rPr>
        <w:t>WHAT - What the slide shows</w:t>
      </w:r>
    </w:p>
    <w:p w14:paraId="7FFEAC22" w14:textId="7724C98A" w:rsidR="00447628" w:rsidRDefault="00447628" w:rsidP="00447628">
      <w:pPr>
        <w:jc w:val="both"/>
        <w:rPr>
          <w:rFonts w:ascii="Calibri" w:hAnsi="Calibri" w:cs="Calibri"/>
          <w:color w:val="000000"/>
        </w:rPr>
      </w:pPr>
      <w:r>
        <w:rPr>
          <w:rFonts w:ascii="Calibri" w:hAnsi="Calibri" w:cs="Calibri"/>
          <w:color w:val="000000"/>
        </w:rPr>
        <w:t>A detailed breakdown of the observability-debug-agent internals: the LangGraph StateGraph workflow with six nodes (classify, fetch metrics, fetch logs, correlate, reason, respond), the catalogue of MCP tools exposed by the Spring AI observability-server, and the CorrelationEngine heuristic rules that run before the LLM is called. The slide emphasises that the agent follows a deterministic plan, not a free-form chat.</w:t>
      </w:r>
    </w:p>
    <w:p w14:paraId="228D4F43" w14:textId="22268C51" w:rsidR="00447628" w:rsidRDefault="00447628" w:rsidP="00447628">
      <w:pPr>
        <w:spacing w:before="120" w:after="40"/>
        <w:rPr>
          <w:rFonts w:ascii="Calibri" w:hAnsi="Calibri" w:cs="Calibri"/>
          <w:b/>
          <w:color w:val="F47B20"/>
          <w:sz w:val="24"/>
        </w:rPr>
      </w:pPr>
      <w:r>
        <w:rPr>
          <w:rFonts w:ascii="Calibri" w:hAnsi="Calibri" w:cs="Calibri"/>
          <w:b/>
          <w:color w:val="F47B20"/>
          <w:sz w:val="24"/>
        </w:rPr>
        <w:t>WHY - Why it matters</w:t>
      </w:r>
    </w:p>
    <w:p w14:paraId="5F2E3BD8" w14:textId="144F40C0" w:rsidR="00447628" w:rsidRDefault="00447628" w:rsidP="00447628">
      <w:pPr>
        <w:jc w:val="both"/>
        <w:rPr>
          <w:rFonts w:ascii="Calibri" w:hAnsi="Calibri" w:cs="Calibri"/>
          <w:color w:val="000000"/>
        </w:rPr>
      </w:pPr>
      <w:r>
        <w:rPr>
          <w:rFonts w:ascii="Calibri" w:hAnsi="Calibri" w:cs="Calibri"/>
          <w:color w:val="000000"/>
        </w:rPr>
        <w:t>This is the heart of the Agentic AI value proposition. Engineers and architects need to understand that the agent is not a black box. It follows a repeatable investigation plan, calls specific tools with validated inputs, and runs cheap heuristic logic before making the single LLM call. Showing the internals builds trust and explains why the per-investigation cost is so low and why the agent is extensible without risk.</w:t>
      </w:r>
    </w:p>
    <w:p w14:paraId="58925557" w14:textId="00E0D455" w:rsidR="00447628" w:rsidRDefault="00447628" w:rsidP="00447628">
      <w:pPr>
        <w:spacing w:before="120" w:after="40"/>
        <w:rPr>
          <w:rFonts w:ascii="Calibri" w:hAnsi="Calibri" w:cs="Calibri"/>
          <w:b/>
          <w:color w:val="F47B20"/>
          <w:sz w:val="24"/>
        </w:rPr>
      </w:pPr>
      <w:r>
        <w:rPr>
          <w:rFonts w:ascii="Calibri" w:hAnsi="Calibri" w:cs="Calibri"/>
          <w:b/>
          <w:color w:val="F47B20"/>
          <w:sz w:val="24"/>
        </w:rPr>
        <w:t>HOW - How we achieve this</w:t>
      </w:r>
    </w:p>
    <w:p w14:paraId="14B4A535" w14:textId="11F63BFC" w:rsidR="00447628" w:rsidRDefault="00447628" w:rsidP="00447628">
      <w:pPr>
        <w:jc w:val="both"/>
        <w:rPr>
          <w:rFonts w:ascii="Calibri" w:hAnsi="Calibri" w:cs="Calibri"/>
          <w:color w:val="000000"/>
        </w:rPr>
      </w:pPr>
      <w:r>
        <w:rPr>
          <w:rFonts w:ascii="Calibri" w:hAnsi="Calibri" w:cs="Calibri"/>
          <w:color w:val="000000"/>
        </w:rPr>
        <w:t>The LangGraph StateGraph is defined in workflow.py using a typed State dataclass. Each node is a pure Python function that reads from and writes to the shared state. MCP tools are Spring AI @Tool-annotated methods on ObservabilityTools.java, exposed over HTTP and validated with input records. The CorrelationEngine in correlation/engine.py applies pattern-matching rules: high CPU with high GC frequency suggests heap pressure; high latency with low CPU suggests an external dependency bottleneck. The LLM call is in services/reasoning.py using the OpenAI SDK with a structured prompt.</w:t>
      </w:r>
    </w:p>
    <w:p w14:paraId="631B63E9" w14:textId="77777777" w:rsidR="00447628" w:rsidRDefault="00447628" w:rsidP="00447628">
      <w:pPr>
        <w:spacing w:after="0"/>
        <w:rPr>
          <w:sz w:val="10"/>
        </w:rPr>
      </w:pPr>
    </w:p>
    <w:p w14:paraId="7A541CC1" w14:textId="07E02223" w:rsidR="00447628" w:rsidRDefault="00447628" w:rsidP="00447628">
      <w:pPr>
        <w:pStyle w:val="Heading1"/>
        <w:spacing w:before="320"/>
        <w:rPr>
          <w:rFonts w:ascii="Calibri" w:hAnsi="Calibri" w:cs="Calibri"/>
          <w:b/>
          <w:color w:val="1B2A4A"/>
          <w:sz w:val="34"/>
        </w:rPr>
      </w:pPr>
      <w:r>
        <w:rPr>
          <w:rFonts w:ascii="Calibri" w:hAnsi="Calibri" w:cs="Calibri"/>
          <w:b/>
          <w:color w:val="1B2A4A"/>
          <w:sz w:val="34"/>
        </w:rPr>
        <w:t>Slide 14 - Security Posture</w:t>
      </w:r>
    </w:p>
    <w:p w14:paraId="1E3860E4" w14:textId="73E9DB86" w:rsidR="00447628" w:rsidRDefault="00447628" w:rsidP="00447628">
      <w:pPr>
        <w:spacing w:before="120" w:after="40"/>
        <w:rPr>
          <w:rFonts w:ascii="Calibri" w:hAnsi="Calibri" w:cs="Calibri"/>
          <w:b/>
          <w:color w:val="F47B20"/>
          <w:sz w:val="24"/>
        </w:rPr>
      </w:pPr>
      <w:r>
        <w:rPr>
          <w:rFonts w:ascii="Calibri" w:hAnsi="Calibri" w:cs="Calibri"/>
          <w:b/>
          <w:color w:val="F47B20"/>
          <w:sz w:val="24"/>
        </w:rPr>
        <w:t>WHAT - What the slide shows</w:t>
      </w:r>
    </w:p>
    <w:p w14:paraId="6B51DF79" w14:textId="2785083C" w:rsidR="00447628" w:rsidRDefault="00447628" w:rsidP="00447628">
      <w:pPr>
        <w:jc w:val="both"/>
        <w:rPr>
          <w:rFonts w:ascii="Calibri" w:hAnsi="Calibri" w:cs="Calibri"/>
          <w:color w:val="000000"/>
        </w:rPr>
      </w:pPr>
      <w:r>
        <w:rPr>
          <w:rFonts w:ascii="Calibri" w:hAnsi="Calibri" w:cs="Calibri"/>
          <w:color w:val="000000"/>
        </w:rPr>
        <w:t>A security review across six dimensions: secrets management (Kubernetes and GitHub secrets only, never in code), container security (non-root user, no privileged mode), input validation (ObservabilityTools validates all MCP tool inputs), CORS policy (explicit allow-list, never wildcard with credentials), dependency pinning (all requirements.txt and pom.xml versions fixed), and TLS enforcement (all external calls use HTTPS with certificate verification enabled).</w:t>
      </w:r>
    </w:p>
    <w:p w14:paraId="61FB7431" w14:textId="06A57364" w:rsidR="00447628" w:rsidRDefault="00447628" w:rsidP="00447628">
      <w:pPr>
        <w:spacing w:before="120" w:after="40"/>
        <w:rPr>
          <w:rFonts w:ascii="Calibri" w:hAnsi="Calibri" w:cs="Calibri"/>
          <w:b/>
          <w:color w:val="F47B20"/>
          <w:sz w:val="24"/>
        </w:rPr>
      </w:pPr>
      <w:r>
        <w:rPr>
          <w:rFonts w:ascii="Calibri" w:hAnsi="Calibri" w:cs="Calibri"/>
          <w:b/>
          <w:color w:val="F47B20"/>
          <w:sz w:val="24"/>
        </w:rPr>
        <w:t>WHY - Why it matters</w:t>
      </w:r>
    </w:p>
    <w:p w14:paraId="3A6D153C" w14:textId="40B23314" w:rsidR="00447628" w:rsidRDefault="00447628" w:rsidP="00447628">
      <w:pPr>
        <w:jc w:val="both"/>
        <w:rPr>
          <w:rFonts w:ascii="Calibri" w:hAnsi="Calibri" w:cs="Calibri"/>
          <w:color w:val="000000"/>
        </w:rPr>
      </w:pPr>
      <w:r>
        <w:rPr>
          <w:rFonts w:ascii="Calibri" w:hAnsi="Calibri" w:cs="Calibri"/>
          <w:color w:val="000000"/>
        </w:rPr>
        <w:t>Security is not optional for a platform that handles production incident data and calls a paid external API with an organisation credential. This slide demonstrates that security was designed into the architecture from the start, not added later. It is also a prerequisite for any enterprise deployment: security teams will ask exactly these questions during a cloud architecture review, and having answers prepared accelerates approval.</w:t>
      </w:r>
    </w:p>
    <w:p w14:paraId="34EFA295" w14:textId="683CFA54" w:rsidR="00447628" w:rsidRDefault="00447628" w:rsidP="00447628">
      <w:pPr>
        <w:spacing w:before="120" w:after="40"/>
        <w:rPr>
          <w:rFonts w:ascii="Calibri" w:hAnsi="Calibri" w:cs="Calibri"/>
          <w:b/>
          <w:color w:val="F47B20"/>
          <w:sz w:val="24"/>
        </w:rPr>
      </w:pPr>
      <w:r>
        <w:rPr>
          <w:rFonts w:ascii="Calibri" w:hAnsi="Calibri" w:cs="Calibri"/>
          <w:b/>
          <w:color w:val="F47B20"/>
          <w:sz w:val="24"/>
        </w:rPr>
        <w:t>HOW - How we achieve this</w:t>
      </w:r>
    </w:p>
    <w:p w14:paraId="209A9E7E" w14:textId="1992E4A1" w:rsidR="00447628" w:rsidRDefault="00447628" w:rsidP="00447628">
      <w:pPr>
        <w:jc w:val="both"/>
        <w:rPr>
          <w:rFonts w:ascii="Calibri" w:hAnsi="Calibri" w:cs="Calibri"/>
          <w:color w:val="000000"/>
        </w:rPr>
      </w:pPr>
      <w:r>
        <w:rPr>
          <w:rFonts w:ascii="Calibri" w:hAnsi="Calibri" w:cs="Calibri"/>
          <w:color w:val="000000"/>
        </w:rPr>
        <w:t>Non-root containers are enforced in the Dockerfile using a dedicated app user created with RUN adduser and switched with USER appuser. Secrets are injected via Kubernetes secret volume mounts or environment variables from GitHub Actions repository secrets. Input validation uses Pydantic v2 models for all API request schemas and explicit whitelist checks in ObservabilityTools.java before any Prometheus or Loki query is executed. CORS is configured with an explicit allow-list of permitted origins in the FastAPI CORS middleware, never using the wildcard asterisk pattern.</w:t>
      </w:r>
    </w:p>
    <w:p w14:paraId="13426CBF" w14:textId="7652A82F" w:rsidR="00447628" w:rsidRDefault="00447628">
      <w:pPr>
        <w:rPr>
          <w:sz w:val="4"/>
        </w:rPr>
      </w:pPr>
      <w:r>
        <w:rPr>
          <w:sz w:val="4"/>
        </w:rPr>
        <w:br w:type="page"/>
      </w:r>
    </w:p>
    <w:p w14:paraId="5C0B1A3E" w14:textId="30FAB070" w:rsidR="00447628" w:rsidRDefault="00447628" w:rsidP="00447628">
      <w:pPr>
        <w:pStyle w:val="Heading1"/>
        <w:spacing w:before="320"/>
        <w:rPr>
          <w:rFonts w:ascii="Calibri" w:hAnsi="Calibri" w:cs="Calibri"/>
          <w:b/>
          <w:color w:val="1B2A4A"/>
          <w:sz w:val="34"/>
        </w:rPr>
      </w:pPr>
      <w:r>
        <w:rPr>
          <w:rFonts w:ascii="Calibri" w:hAnsi="Calibri" w:cs="Calibri"/>
          <w:b/>
          <w:color w:val="1B2A4A"/>
          <w:sz w:val="34"/>
        </w:rPr>
        <w:t>Slide 15 - Lessons Learned</w:t>
      </w:r>
    </w:p>
    <w:p w14:paraId="33B236D8" w14:textId="56EED9FA" w:rsidR="00447628" w:rsidRDefault="00447628" w:rsidP="00447628">
      <w:pPr>
        <w:spacing w:before="120" w:after="40"/>
        <w:rPr>
          <w:rFonts w:ascii="Calibri" w:hAnsi="Calibri" w:cs="Calibri"/>
          <w:b/>
          <w:color w:val="F47B20"/>
          <w:sz w:val="24"/>
        </w:rPr>
      </w:pPr>
      <w:r>
        <w:rPr>
          <w:rFonts w:ascii="Calibri" w:hAnsi="Calibri" w:cs="Calibri"/>
          <w:b/>
          <w:color w:val="F47B20"/>
          <w:sz w:val="24"/>
        </w:rPr>
        <w:t>WHAT - What the slide shows</w:t>
      </w:r>
    </w:p>
    <w:p w14:paraId="76FE688A" w14:textId="4FB44759" w:rsidR="00447628" w:rsidRDefault="00447628" w:rsidP="00447628">
      <w:pPr>
        <w:jc w:val="both"/>
        <w:rPr>
          <w:rFonts w:ascii="Calibri" w:hAnsi="Calibri" w:cs="Calibri"/>
          <w:color w:val="000000"/>
        </w:rPr>
      </w:pPr>
      <w:r>
        <w:rPr>
          <w:rFonts w:ascii="Calibri" w:hAnsi="Calibri" w:cs="Calibri"/>
          <w:color w:val="000000"/>
        </w:rPr>
        <w:t>A retrospective summary of the five most valuable engineering lessons from building the platform: structured logging with X-Correlation-Id is the prerequisite for AI correlation; one LLM call with rich context outperforms many cheap sequential calls; MCP is the right abstraction for exposing observability tools to an LLM; CloudFormation multi-stack decomposition enables independent service lifecycle management; and P99 latency rather than average is the signal that reveals real production problems.</w:t>
      </w:r>
    </w:p>
    <w:p w14:paraId="7F90576A" w14:textId="5F768C52" w:rsidR="00447628" w:rsidRDefault="00447628" w:rsidP="00447628">
      <w:pPr>
        <w:spacing w:before="120" w:after="40"/>
        <w:rPr>
          <w:rFonts w:ascii="Calibri" w:hAnsi="Calibri" w:cs="Calibri"/>
          <w:b/>
          <w:color w:val="F47B20"/>
          <w:sz w:val="24"/>
        </w:rPr>
      </w:pPr>
      <w:r>
        <w:rPr>
          <w:rFonts w:ascii="Calibri" w:hAnsi="Calibri" w:cs="Calibri"/>
          <w:b/>
          <w:color w:val="F47B20"/>
          <w:sz w:val="24"/>
        </w:rPr>
        <w:t>WHY - Why it matters</w:t>
      </w:r>
    </w:p>
    <w:p w14:paraId="1D1F0732" w14:textId="7181D7A4" w:rsidR="00447628" w:rsidRDefault="00447628" w:rsidP="00447628">
      <w:pPr>
        <w:jc w:val="both"/>
        <w:rPr>
          <w:rFonts w:ascii="Calibri" w:hAnsi="Calibri" w:cs="Calibri"/>
          <w:color w:val="000000"/>
        </w:rPr>
      </w:pPr>
      <w:r>
        <w:rPr>
          <w:rFonts w:ascii="Calibri" w:hAnsi="Calibri" w:cs="Calibri"/>
          <w:color w:val="000000"/>
        </w:rPr>
        <w:t>Lessons learned slides convert engineering experience into reusable organisational knowledge. They show that the team reflected critically on the work, not just shipped it. For management, these lessons reduce the risk of applying the same pattern in other contexts because the pitfalls are already identified. For engineers evaluating the approach, the lessons explain design choices that might otherwise seem arbitrary.</w:t>
      </w:r>
    </w:p>
    <w:p w14:paraId="6DB21306" w14:textId="6390BF85" w:rsidR="00447628" w:rsidRDefault="00447628" w:rsidP="00447628">
      <w:pPr>
        <w:spacing w:before="120" w:after="40"/>
        <w:rPr>
          <w:rFonts w:ascii="Calibri" w:hAnsi="Calibri" w:cs="Calibri"/>
          <w:b/>
          <w:color w:val="F47B20"/>
          <w:sz w:val="24"/>
        </w:rPr>
      </w:pPr>
      <w:r>
        <w:rPr>
          <w:rFonts w:ascii="Calibri" w:hAnsi="Calibri" w:cs="Calibri"/>
          <w:b/>
          <w:color w:val="F47B20"/>
          <w:sz w:val="24"/>
        </w:rPr>
        <w:t>HOW - How we achieve this</w:t>
      </w:r>
    </w:p>
    <w:p w14:paraId="5F6862C9" w14:textId="173565C8" w:rsidR="00447628" w:rsidRDefault="00447628" w:rsidP="00447628">
      <w:pPr>
        <w:jc w:val="both"/>
        <w:rPr>
          <w:rFonts w:ascii="Calibri" w:hAnsi="Calibri" w:cs="Calibri"/>
          <w:color w:val="000000"/>
        </w:rPr>
      </w:pPr>
      <w:r>
        <w:rPr>
          <w:rFonts w:ascii="Calibri" w:hAnsi="Calibri" w:cs="Calibri"/>
          <w:color w:val="000000"/>
        </w:rPr>
        <w:t>Each lesson was derived from a specific incident or design pivot during the POC. The one-LLM-call principle came from an early prototype that made five to seven sequential LLM calls per investigation at USD 0.04 per investigation. The CorrelationEngine heuristics reduced this to one call at under USD 0.002. The X-Correlation-Id lesson came from an early failure to trace a single request across three services: without the correlation header the logs from each service appeared unrelated even though they were part of the same transaction.</w:t>
      </w:r>
    </w:p>
    <w:p w14:paraId="4F0AADDA" w14:textId="77777777" w:rsidR="00447628" w:rsidRDefault="00447628" w:rsidP="00447628">
      <w:pPr>
        <w:spacing w:after="0"/>
        <w:rPr>
          <w:sz w:val="10"/>
        </w:rPr>
      </w:pPr>
    </w:p>
    <w:p w14:paraId="3EAFE51E" w14:textId="7CF57FFE" w:rsidR="00447628" w:rsidRDefault="00447628" w:rsidP="00447628">
      <w:pPr>
        <w:pStyle w:val="Heading1"/>
        <w:spacing w:before="320"/>
        <w:rPr>
          <w:rFonts w:ascii="Calibri" w:hAnsi="Calibri" w:cs="Calibri"/>
          <w:b/>
          <w:color w:val="1B2A4A"/>
          <w:sz w:val="34"/>
        </w:rPr>
      </w:pPr>
      <w:r>
        <w:rPr>
          <w:rFonts w:ascii="Calibri" w:hAnsi="Calibri" w:cs="Calibri"/>
          <w:b/>
          <w:color w:val="1B2A4A"/>
          <w:sz w:val="34"/>
        </w:rPr>
        <w:t>Slide 16 - Roadmap and Next Steps</w:t>
      </w:r>
    </w:p>
    <w:p w14:paraId="2E8F757C" w14:textId="509ADA02" w:rsidR="00447628" w:rsidRDefault="00447628" w:rsidP="00447628">
      <w:pPr>
        <w:spacing w:before="120" w:after="40"/>
        <w:rPr>
          <w:rFonts w:ascii="Calibri" w:hAnsi="Calibri" w:cs="Calibri"/>
          <w:b/>
          <w:color w:val="F47B20"/>
          <w:sz w:val="24"/>
        </w:rPr>
      </w:pPr>
      <w:r>
        <w:rPr>
          <w:rFonts w:ascii="Calibri" w:hAnsi="Calibri" w:cs="Calibri"/>
          <w:b/>
          <w:color w:val="F47B20"/>
          <w:sz w:val="24"/>
        </w:rPr>
        <w:t>WHAT - What the slide shows</w:t>
      </w:r>
    </w:p>
    <w:p w14:paraId="23A1B508" w14:textId="6BC0D446" w:rsidR="00447628" w:rsidRDefault="00447628" w:rsidP="00447628">
      <w:pPr>
        <w:jc w:val="both"/>
        <w:rPr>
          <w:rFonts w:ascii="Calibri" w:hAnsi="Calibri" w:cs="Calibri"/>
          <w:color w:val="000000"/>
        </w:rPr>
      </w:pPr>
      <w:r>
        <w:rPr>
          <w:rFonts w:ascii="Calibri" w:hAnsi="Calibri" w:cs="Calibri"/>
          <w:color w:val="000000"/>
        </w:rPr>
        <w:t>A three-phase roadmap with a call to action. The immediate next steps cover SQS async processing for the images service, Slack notifications, expanded MCP tool catalogue, and database metrics. The medium-term phase covers a fine-tuned domain model, multi-cluster federation, and GitOps with ArgoCD. The long-term vision covers self-healing infrastructure, predictive auto-scaling, and multi-cloud observability. A prominent call-to-action requests approval for production deployment at USD 97 per month.</w:t>
      </w:r>
    </w:p>
    <w:p w14:paraId="0F20B877" w14:textId="75516A38" w:rsidR="00447628" w:rsidRDefault="00447628" w:rsidP="00447628">
      <w:pPr>
        <w:spacing w:before="120" w:after="40"/>
        <w:rPr>
          <w:rFonts w:ascii="Calibri" w:hAnsi="Calibri" w:cs="Calibri"/>
          <w:b/>
          <w:color w:val="F47B20"/>
          <w:sz w:val="24"/>
        </w:rPr>
      </w:pPr>
      <w:r>
        <w:rPr>
          <w:rFonts w:ascii="Calibri" w:hAnsi="Calibri" w:cs="Calibri"/>
          <w:b/>
          <w:color w:val="F47B20"/>
          <w:sz w:val="24"/>
        </w:rPr>
        <w:t>WHY - Why it matters</w:t>
      </w:r>
    </w:p>
    <w:p w14:paraId="6C18A42D" w14:textId="46DE5738" w:rsidR="00447628" w:rsidRDefault="00447628" w:rsidP="00447628">
      <w:pPr>
        <w:jc w:val="both"/>
        <w:rPr>
          <w:rFonts w:ascii="Calibri" w:hAnsi="Calibri" w:cs="Calibri"/>
          <w:color w:val="000000"/>
        </w:rPr>
      </w:pPr>
      <w:r>
        <w:rPr>
          <w:rFonts w:ascii="Calibri" w:hAnsi="Calibri" w:cs="Calibri"/>
          <w:color w:val="000000"/>
        </w:rPr>
        <w:t>Roadmap slides convert a POC into a programme of work. They answer the question that always follows a successful demo: what happens next and who needs to decide what? The call-to-action makes the ask explicit so management leaves the presentation knowing exactly what decision is needed. Without a clear ask, a great POC stalls in limbo indefinitely.</w:t>
      </w:r>
    </w:p>
    <w:p w14:paraId="4F4DB4E8" w14:textId="73220364" w:rsidR="00447628" w:rsidRDefault="00447628" w:rsidP="00447628">
      <w:pPr>
        <w:spacing w:before="120" w:after="40"/>
        <w:rPr>
          <w:rFonts w:ascii="Calibri" w:hAnsi="Calibri" w:cs="Calibri"/>
          <w:b/>
          <w:color w:val="F47B20"/>
          <w:sz w:val="24"/>
        </w:rPr>
      </w:pPr>
      <w:r>
        <w:rPr>
          <w:rFonts w:ascii="Calibri" w:hAnsi="Calibri" w:cs="Calibri"/>
          <w:b/>
          <w:color w:val="F47B20"/>
          <w:sz w:val="24"/>
        </w:rPr>
        <w:t>HOW - How we achieve this</w:t>
      </w:r>
    </w:p>
    <w:p w14:paraId="59E7226E" w14:textId="7DD5DB34" w:rsidR="00447628" w:rsidRDefault="00447628" w:rsidP="00447628">
      <w:pPr>
        <w:jc w:val="both"/>
        <w:rPr>
          <w:rFonts w:ascii="Calibri" w:hAnsi="Calibri" w:cs="Calibri"/>
          <w:color w:val="000000"/>
        </w:rPr>
      </w:pPr>
      <w:r>
        <w:rPr>
          <w:rFonts w:ascii="Calibri" w:hAnsi="Calibri" w:cs="Calibri"/>
          <w:color w:val="000000"/>
        </w:rPr>
        <w:t>The immediate next steps are already scoped. SQS async processing for images requires adding an SQS queue, a message producer in the images service HTTP handler, and a consumer worker that performs the actual image operation and writes the result to S3. Estimated effort: 3 days. Slack integration requires one new MCP tool method and a Slack webhook secret in Secrets Manager. Estimated effort: 1 day. The fine-tuned model requires collecting 500 or more labelled investigation outcomes as training data over the next 60 days, then running a fine-tuning job on that corpus.</w:t>
      </w:r>
    </w:p>
    <w:p w14:paraId="1BF380EB" w14:textId="77777777" w:rsidR="00447628" w:rsidRDefault="00447628" w:rsidP="00447628">
      <w:pPr>
        <w:spacing w:after="0"/>
        <w:rPr>
          <w:sz w:val="10"/>
        </w:rPr>
      </w:pPr>
    </w:p>
    <w:p w14:paraId="544DC6F9" w14:textId="77777777" w:rsidR="00447628" w:rsidRDefault="00447628" w:rsidP="00447628">
      <w:pPr>
        <w:pBdr>
          <w:bottom w:val="single" w:sz="6" w:space="0" w:color="1B2A4A"/>
        </w:pBdr>
        <w:spacing w:before="200"/>
        <w:rPr>
          <w:sz w:val="4"/>
        </w:rPr>
      </w:pPr>
    </w:p>
    <w:p w14:paraId="43E8D77F" w14:textId="56A00F2F" w:rsidR="00447628" w:rsidRDefault="00447628" w:rsidP="00447628">
      <w:pPr>
        <w:spacing w:before="80" w:after="80"/>
        <w:jc w:val="center"/>
        <w:rPr>
          <w:rFonts w:ascii="Calibri" w:hAnsi="Calibri" w:cs="Calibri"/>
          <w:i/>
          <w:color w:val="34495E"/>
          <w:sz w:val="20"/>
        </w:rPr>
      </w:pPr>
      <w:r>
        <w:rPr>
          <w:rFonts w:ascii="Calibri" w:hAnsi="Calibri" w:cs="Calibri"/>
          <w:i/>
          <w:color w:val="34495E"/>
          <w:sz w:val="20"/>
        </w:rPr>
        <w:t>All metrics are measured from the live platform. Cost figures use published AWS and OpenAI pricing as of 2026. Source code: github.com/vuppalapatisn/agentic-microservices</w:t>
      </w:r>
    </w:p>
    <w:p w14:paraId="44934298" w14:textId="77777777" w:rsidR="00447628" w:rsidRPr="00447628" w:rsidRDefault="00447628" w:rsidP="00447628">
      <w:pPr>
        <w:spacing w:before="80" w:after="80"/>
        <w:jc w:val="center"/>
        <w:rPr>
          <w:rFonts w:ascii="Calibri" w:hAnsi="Calibri" w:cs="Calibri"/>
          <w:i/>
          <w:color w:val="34495E"/>
          <w:sz w:val="20"/>
        </w:rPr>
      </w:pPr>
    </w:p>
    <w:sectPr w:rsidR="00447628" w:rsidRPr="00447628" w:rsidSect="004476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628"/>
    <w:rsid w:val="0034606E"/>
    <w:rsid w:val="00447628"/>
    <w:rsid w:val="004B21FA"/>
    <w:rsid w:val="00692DD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A9151"/>
  <w15:chartTrackingRefBased/>
  <w15:docId w15:val="{83F245E4-7C1A-495C-BAF8-63FB0C512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76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76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76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76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76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76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76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76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76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76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76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76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76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76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76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76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76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7628"/>
    <w:rPr>
      <w:rFonts w:eastAsiaTheme="majorEastAsia" w:cstheme="majorBidi"/>
      <w:color w:val="272727" w:themeColor="text1" w:themeTint="D8"/>
    </w:rPr>
  </w:style>
  <w:style w:type="paragraph" w:styleId="Title">
    <w:name w:val="Title"/>
    <w:basedOn w:val="Normal"/>
    <w:next w:val="Normal"/>
    <w:link w:val="TitleChar"/>
    <w:uiPriority w:val="10"/>
    <w:qFormat/>
    <w:rsid w:val="004476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76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76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76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7628"/>
    <w:pPr>
      <w:spacing w:before="160"/>
      <w:jc w:val="center"/>
    </w:pPr>
    <w:rPr>
      <w:i/>
      <w:iCs/>
      <w:color w:val="404040" w:themeColor="text1" w:themeTint="BF"/>
    </w:rPr>
  </w:style>
  <w:style w:type="character" w:customStyle="1" w:styleId="QuoteChar">
    <w:name w:val="Quote Char"/>
    <w:basedOn w:val="DefaultParagraphFont"/>
    <w:link w:val="Quote"/>
    <w:uiPriority w:val="29"/>
    <w:rsid w:val="00447628"/>
    <w:rPr>
      <w:i/>
      <w:iCs/>
      <w:color w:val="404040" w:themeColor="text1" w:themeTint="BF"/>
    </w:rPr>
  </w:style>
  <w:style w:type="paragraph" w:styleId="ListParagraph">
    <w:name w:val="List Paragraph"/>
    <w:basedOn w:val="Normal"/>
    <w:uiPriority w:val="34"/>
    <w:qFormat/>
    <w:rsid w:val="00447628"/>
    <w:pPr>
      <w:ind w:left="720"/>
      <w:contextualSpacing/>
    </w:pPr>
  </w:style>
  <w:style w:type="character" w:styleId="IntenseEmphasis">
    <w:name w:val="Intense Emphasis"/>
    <w:basedOn w:val="DefaultParagraphFont"/>
    <w:uiPriority w:val="21"/>
    <w:qFormat/>
    <w:rsid w:val="00447628"/>
    <w:rPr>
      <w:i/>
      <w:iCs/>
      <w:color w:val="0F4761" w:themeColor="accent1" w:themeShade="BF"/>
    </w:rPr>
  </w:style>
  <w:style w:type="paragraph" w:styleId="IntenseQuote">
    <w:name w:val="Intense Quote"/>
    <w:basedOn w:val="Normal"/>
    <w:next w:val="Normal"/>
    <w:link w:val="IntenseQuoteChar"/>
    <w:uiPriority w:val="30"/>
    <w:qFormat/>
    <w:rsid w:val="004476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7628"/>
    <w:rPr>
      <w:i/>
      <w:iCs/>
      <w:color w:val="0F4761" w:themeColor="accent1" w:themeShade="BF"/>
    </w:rPr>
  </w:style>
  <w:style w:type="character" w:styleId="IntenseReference">
    <w:name w:val="Intense Reference"/>
    <w:basedOn w:val="DefaultParagraphFont"/>
    <w:uiPriority w:val="32"/>
    <w:qFormat/>
    <w:rsid w:val="004476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3427</Words>
  <Characters>19534</Characters>
  <Application>Microsoft Office Word</Application>
  <DocSecurity>0</DocSecurity>
  <Lines>162</Lines>
  <Paragraphs>45</Paragraphs>
  <ScaleCrop>false</ScaleCrop>
  <Company>Cognizant</Company>
  <LinksUpToDate>false</LinksUpToDate>
  <CharactersWithSpaces>22916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Vuppalapati, Sudhakar (Cognizant)</dc:creator>
  <cp:keywords/>
  <dc:description/>
  <cp:lastModifiedBy>Vuppalapati, Sudhakar (Cognizant)</cp:lastModifiedBy>
  <cp:revision>1</cp:revision>
  <dcterms:created xsi:type="dcterms:W3CDTF">2026-07-09T11:55:00Z</dcterms:created>
  <dcterms:modified xsi:type="dcterms:W3CDTF">2026-07-09T11:56:00Z</dcterms:modified>
</cp:coreProperties>
</file>