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0B8A" w14:textId="77777777" w:rsidR="004F6E94" w:rsidRPr="00905257" w:rsidRDefault="00F83C7E">
      <w:pPr>
        <w:spacing w:before="260" w:after="80"/>
        <w:jc w:val="center"/>
        <w:rPr>
          <w:rFonts w:asciiTheme="majorHAnsi" w:hAnsiTheme="majorHAnsi" w:cstheme="majorHAnsi"/>
        </w:rPr>
      </w:pPr>
      <w:r w:rsidRPr="00905257">
        <w:rPr>
          <w:rFonts w:asciiTheme="majorHAnsi" w:hAnsiTheme="majorHAnsi" w:cstheme="majorHAnsi"/>
          <w:b/>
          <w:bCs/>
          <w:sz w:val="28"/>
          <w:szCs w:val="28"/>
        </w:rPr>
        <w:t>TRƯỜNG ĐẠI HỌC SÀI GÒN</w:t>
      </w:r>
    </w:p>
    <w:p w14:paraId="07F7273C" w14:textId="77777777" w:rsidR="004F6E94" w:rsidRPr="00905257" w:rsidRDefault="00F83C7E">
      <w:pPr>
        <w:spacing w:after="80"/>
        <w:jc w:val="center"/>
        <w:rPr>
          <w:rFonts w:asciiTheme="majorHAnsi" w:hAnsiTheme="majorHAnsi" w:cstheme="majorHAnsi"/>
        </w:rPr>
      </w:pPr>
      <w:r w:rsidRPr="00905257">
        <w:rPr>
          <w:rFonts w:asciiTheme="majorHAnsi" w:hAnsiTheme="majorHAnsi" w:cstheme="majorHAnsi"/>
          <w:b/>
          <w:bCs/>
          <w:sz w:val="28"/>
          <w:szCs w:val="28"/>
        </w:rPr>
        <w:t>KHOA CÔNG NGHỆ THÔNG TIN</w:t>
      </w:r>
    </w:p>
    <w:p w14:paraId="30582A7C" w14:textId="77777777" w:rsidR="004F6E94" w:rsidRPr="00905257" w:rsidRDefault="00F83C7E">
      <w:pPr>
        <w:spacing w:after="160"/>
        <w:jc w:val="center"/>
        <w:rPr>
          <w:rFonts w:asciiTheme="majorHAnsi" w:hAnsiTheme="majorHAnsi" w:cstheme="majorHAnsi"/>
        </w:rPr>
      </w:pPr>
      <w:r w:rsidRPr="00905257">
        <w:rPr>
          <w:rFonts w:asciiTheme="majorHAnsi" w:hAnsiTheme="majorHAnsi" w:cstheme="majorHAnsi"/>
          <w:sz w:val="24"/>
          <w:szCs w:val="24"/>
        </w:rPr>
        <w:t>--------***--------</w:t>
      </w:r>
    </w:p>
    <w:p w14:paraId="672A6659" w14:textId="77777777" w:rsidR="004F6E94" w:rsidRPr="00905257" w:rsidRDefault="00F83C7E">
      <w:pPr>
        <w:spacing w:after="160"/>
        <w:jc w:val="center"/>
        <w:rPr>
          <w:rFonts w:asciiTheme="majorHAnsi" w:hAnsiTheme="majorHAnsi" w:cstheme="majorHAnsi"/>
        </w:rPr>
      </w:pPr>
      <w:r w:rsidRPr="00905257">
        <w:rPr>
          <w:rFonts w:asciiTheme="majorHAnsi" w:hAnsiTheme="majorHAnsi" w:cstheme="majorHAnsi"/>
          <w:noProof/>
        </w:rPr>
        <w:drawing>
          <wp:inline distT="0" distB="0" distL="0" distR="0" wp14:anchorId="0FF1C1C0" wp14:editId="07777777">
            <wp:extent cx="2286000" cy="2291125"/>
            <wp:effectExtent l="0" t="0" r="0" b="0"/>
            <wp:docPr id="500" nam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sgu_logo_cover.png"/>
                    <pic:cNvPicPr/>
                  </pic:nvPicPr>
                  <pic:blipFill>
                    <a:blip r:embed="rId8"/>
                    <a:stretch>
                      <a:fillRect/>
                    </a:stretch>
                  </pic:blipFill>
                  <pic:spPr>
                    <a:xfrm>
                      <a:off x="0" y="0"/>
                      <a:ext cx="2286000" cy="2291125"/>
                    </a:xfrm>
                    <a:prstGeom prst="rect">
                      <a:avLst/>
                    </a:prstGeom>
                  </pic:spPr>
                </pic:pic>
              </a:graphicData>
            </a:graphic>
          </wp:inline>
        </w:drawing>
      </w:r>
    </w:p>
    <w:p w14:paraId="0A0EB888" w14:textId="77777777" w:rsidR="004F6E94" w:rsidRPr="00905257" w:rsidRDefault="00F83C7E">
      <w:pPr>
        <w:spacing w:after="60"/>
        <w:jc w:val="center"/>
        <w:rPr>
          <w:rFonts w:asciiTheme="majorHAnsi" w:hAnsiTheme="majorHAnsi" w:cstheme="majorHAnsi"/>
        </w:rPr>
      </w:pPr>
      <w:r w:rsidRPr="00905257">
        <w:rPr>
          <w:rFonts w:asciiTheme="majorHAnsi" w:hAnsiTheme="majorHAnsi" w:cstheme="majorHAnsi"/>
          <w:b/>
          <w:bCs/>
          <w:sz w:val="28"/>
          <w:szCs w:val="28"/>
        </w:rPr>
        <w:t>BÁO CÁO ĐỒ ÁN</w:t>
      </w:r>
    </w:p>
    <w:p w14:paraId="405BCC48" w14:textId="27EE8FAE" w:rsidR="004F6E94" w:rsidRPr="00905257" w:rsidRDefault="0EA36260">
      <w:pPr>
        <w:spacing w:after="260"/>
        <w:jc w:val="center"/>
        <w:rPr>
          <w:rFonts w:asciiTheme="majorHAnsi" w:hAnsiTheme="majorHAnsi" w:cstheme="majorHAnsi"/>
        </w:rPr>
      </w:pPr>
      <w:r w:rsidRPr="00905257">
        <w:rPr>
          <w:rFonts w:asciiTheme="majorHAnsi" w:hAnsiTheme="majorHAnsi" w:cstheme="majorHAnsi"/>
          <w:b/>
          <w:bCs/>
          <w:sz w:val="28"/>
          <w:szCs w:val="28"/>
        </w:rPr>
        <w:t xml:space="preserve">MÔN </w:t>
      </w:r>
      <w:r w:rsidR="1FA50571" w:rsidRPr="00905257">
        <w:rPr>
          <w:rFonts w:asciiTheme="majorHAnsi" w:hAnsiTheme="majorHAnsi" w:cstheme="majorHAnsi"/>
          <w:b/>
          <w:bCs/>
          <w:sz w:val="28"/>
          <w:szCs w:val="28"/>
        </w:rPr>
        <w:t>MÁY HỌC</w:t>
      </w:r>
    </w:p>
    <w:p w14:paraId="4167E7E6" w14:textId="77777777" w:rsidR="004F6E94" w:rsidRPr="00905257" w:rsidRDefault="0EA36260">
      <w:pPr>
        <w:spacing w:after="60"/>
        <w:jc w:val="center"/>
        <w:rPr>
          <w:rFonts w:asciiTheme="majorHAnsi" w:hAnsiTheme="majorHAnsi" w:cstheme="majorHAnsi"/>
        </w:rPr>
      </w:pPr>
      <w:r w:rsidRPr="00905257">
        <w:rPr>
          <w:rFonts w:asciiTheme="majorHAnsi" w:hAnsiTheme="majorHAnsi" w:cstheme="majorHAnsi"/>
          <w:b/>
          <w:bCs/>
          <w:sz w:val="32"/>
          <w:szCs w:val="32"/>
        </w:rPr>
        <w:t>TÊN ĐỀ TÀI</w:t>
      </w:r>
    </w:p>
    <w:p w14:paraId="58AEF69C" w14:textId="1474ADDC" w:rsidR="3407A16F" w:rsidRPr="00905257" w:rsidRDefault="3407A16F" w:rsidP="158A2C66">
      <w:pPr>
        <w:spacing w:after="360"/>
        <w:jc w:val="center"/>
        <w:rPr>
          <w:rFonts w:asciiTheme="majorHAnsi" w:hAnsiTheme="majorHAnsi" w:cstheme="majorHAnsi"/>
        </w:rPr>
      </w:pPr>
      <w:r w:rsidRPr="00905257">
        <w:rPr>
          <w:rFonts w:asciiTheme="majorHAnsi" w:hAnsiTheme="majorHAnsi" w:cstheme="majorHAnsi"/>
          <w:b/>
          <w:bCs/>
          <w:sz w:val="32"/>
          <w:szCs w:val="32"/>
        </w:rPr>
        <w:t>House Prices - Advanced Regression Techniques</w:t>
      </w:r>
    </w:p>
    <w:tbl>
      <w:tblPr>
        <w:tblW w:w="6800" w:type="dxa"/>
        <w:tblInd w:w="144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3600"/>
        <w:gridCol w:w="3200"/>
      </w:tblGrid>
      <w:tr w:rsidR="004F6E94" w:rsidRPr="00905257" w14:paraId="0A6BA801" w14:textId="77777777" w:rsidTr="158A2C66">
        <w:tc>
          <w:tcPr>
            <w:tcW w:w="3600" w:type="dxa"/>
            <w:tcBorders>
              <w:top w:val="nil"/>
              <w:left w:val="nil"/>
              <w:bottom w:val="nil"/>
              <w:right w:val="nil"/>
            </w:tcBorders>
            <w:vAlign w:val="center"/>
          </w:tcPr>
          <w:p w14:paraId="24DE6AB8" w14:textId="77777777" w:rsidR="004F6E94" w:rsidRPr="00905257" w:rsidRDefault="00F83C7E">
            <w:pPr>
              <w:spacing w:after="120"/>
              <w:rPr>
                <w:rFonts w:asciiTheme="majorHAnsi" w:hAnsiTheme="majorHAnsi" w:cstheme="majorHAnsi"/>
              </w:rPr>
            </w:pPr>
            <w:r w:rsidRPr="00905257">
              <w:rPr>
                <w:rFonts w:asciiTheme="majorHAnsi" w:hAnsiTheme="majorHAnsi" w:cstheme="majorHAnsi"/>
                <w:b/>
                <w:bCs/>
                <w:sz w:val="26"/>
                <w:szCs w:val="26"/>
              </w:rPr>
              <w:t>Giảng viên hướng dẫn:</w:t>
            </w:r>
          </w:p>
        </w:tc>
        <w:tc>
          <w:tcPr>
            <w:tcW w:w="3200" w:type="dxa"/>
            <w:tcBorders>
              <w:top w:val="nil"/>
              <w:left w:val="nil"/>
              <w:bottom w:val="nil"/>
              <w:right w:val="nil"/>
            </w:tcBorders>
            <w:vAlign w:val="center"/>
          </w:tcPr>
          <w:p w14:paraId="52906AB5" w14:textId="77777777" w:rsidR="004F6E94" w:rsidRPr="00905257" w:rsidRDefault="00F83C7E">
            <w:pPr>
              <w:spacing w:after="120"/>
              <w:rPr>
                <w:rFonts w:asciiTheme="majorHAnsi" w:hAnsiTheme="majorHAnsi" w:cstheme="majorHAnsi"/>
              </w:rPr>
            </w:pPr>
            <w:r w:rsidRPr="00905257">
              <w:rPr>
                <w:rFonts w:asciiTheme="majorHAnsi" w:hAnsiTheme="majorHAnsi" w:cstheme="majorHAnsi"/>
                <w:b/>
                <w:bCs/>
                <w:sz w:val="26"/>
                <w:szCs w:val="26"/>
              </w:rPr>
              <w:t>TS. Đỗ Như Tài</w:t>
            </w:r>
          </w:p>
        </w:tc>
      </w:tr>
      <w:tr w:rsidR="004F6E94" w:rsidRPr="00905257" w14:paraId="477F02FE" w14:textId="77777777" w:rsidTr="158A2C66">
        <w:tc>
          <w:tcPr>
            <w:tcW w:w="3600" w:type="dxa"/>
            <w:tcBorders>
              <w:top w:val="nil"/>
              <w:left w:val="nil"/>
              <w:bottom w:val="nil"/>
              <w:right w:val="nil"/>
            </w:tcBorders>
            <w:vAlign w:val="center"/>
          </w:tcPr>
          <w:p w14:paraId="7EC4C796" w14:textId="6F8DCA76" w:rsidR="004F6E94" w:rsidRPr="00905257" w:rsidRDefault="004F6E94" w:rsidP="158A2C66">
            <w:pPr>
              <w:spacing w:after="120"/>
              <w:rPr>
                <w:rFonts w:asciiTheme="majorHAnsi" w:hAnsiTheme="majorHAnsi" w:cstheme="majorHAnsi"/>
                <w:b/>
                <w:bCs/>
                <w:sz w:val="26"/>
                <w:szCs w:val="26"/>
              </w:rPr>
            </w:pPr>
          </w:p>
        </w:tc>
        <w:tc>
          <w:tcPr>
            <w:tcW w:w="3200" w:type="dxa"/>
            <w:tcBorders>
              <w:top w:val="nil"/>
              <w:left w:val="nil"/>
              <w:bottom w:val="nil"/>
              <w:right w:val="nil"/>
            </w:tcBorders>
            <w:vAlign w:val="center"/>
          </w:tcPr>
          <w:p w14:paraId="2847A633" w14:textId="30273F7D" w:rsidR="004F6E94" w:rsidRPr="00905257" w:rsidRDefault="004F6E94" w:rsidP="158A2C66">
            <w:pPr>
              <w:spacing w:after="120"/>
              <w:rPr>
                <w:rFonts w:asciiTheme="majorHAnsi" w:hAnsiTheme="majorHAnsi" w:cstheme="majorHAnsi"/>
                <w:b/>
                <w:bCs/>
                <w:sz w:val="26"/>
                <w:szCs w:val="26"/>
              </w:rPr>
            </w:pPr>
          </w:p>
        </w:tc>
      </w:tr>
      <w:tr w:rsidR="004F6E94" w:rsidRPr="00905257" w14:paraId="271E64EC" w14:textId="77777777" w:rsidTr="158A2C66">
        <w:tc>
          <w:tcPr>
            <w:tcW w:w="3600" w:type="dxa"/>
            <w:tcBorders>
              <w:top w:val="nil"/>
              <w:left w:val="nil"/>
              <w:bottom w:val="nil"/>
              <w:right w:val="nil"/>
            </w:tcBorders>
            <w:vAlign w:val="center"/>
          </w:tcPr>
          <w:p w14:paraId="22D1EE64" w14:textId="51582E1D" w:rsidR="004F6E94" w:rsidRPr="00905257" w:rsidRDefault="47BE57FA" w:rsidP="158A2C66">
            <w:pPr>
              <w:spacing w:after="120" w:line="259" w:lineRule="auto"/>
              <w:rPr>
                <w:rFonts w:asciiTheme="majorHAnsi" w:hAnsiTheme="majorHAnsi" w:cstheme="majorHAnsi"/>
                <w:sz w:val="26"/>
                <w:szCs w:val="26"/>
              </w:rPr>
            </w:pPr>
            <w:r w:rsidRPr="00905257">
              <w:rPr>
                <w:rFonts w:asciiTheme="majorHAnsi" w:hAnsiTheme="majorHAnsi" w:cstheme="majorHAnsi"/>
                <w:sz w:val="26"/>
                <w:szCs w:val="26"/>
              </w:rPr>
              <w:t>Vũ Quốc Anh</w:t>
            </w:r>
          </w:p>
        </w:tc>
        <w:tc>
          <w:tcPr>
            <w:tcW w:w="3200" w:type="dxa"/>
            <w:tcBorders>
              <w:top w:val="nil"/>
              <w:left w:val="nil"/>
              <w:bottom w:val="nil"/>
              <w:right w:val="nil"/>
            </w:tcBorders>
            <w:vAlign w:val="center"/>
          </w:tcPr>
          <w:p w14:paraId="52F29919" w14:textId="55BC4819"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3124411016</w:t>
            </w:r>
          </w:p>
        </w:tc>
      </w:tr>
      <w:tr w:rsidR="004F6E94" w:rsidRPr="00905257" w14:paraId="4093D59A" w14:textId="77777777" w:rsidTr="158A2C66">
        <w:tc>
          <w:tcPr>
            <w:tcW w:w="3600" w:type="dxa"/>
            <w:tcBorders>
              <w:top w:val="nil"/>
              <w:left w:val="nil"/>
              <w:bottom w:val="nil"/>
              <w:right w:val="nil"/>
            </w:tcBorders>
            <w:vAlign w:val="center"/>
          </w:tcPr>
          <w:p w14:paraId="0E5E6DCD" w14:textId="567DC107"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Nguyễn Minh Huy</w:t>
            </w:r>
          </w:p>
        </w:tc>
        <w:tc>
          <w:tcPr>
            <w:tcW w:w="3200" w:type="dxa"/>
            <w:tcBorders>
              <w:top w:val="nil"/>
              <w:left w:val="nil"/>
              <w:bottom w:val="nil"/>
              <w:right w:val="nil"/>
            </w:tcBorders>
            <w:vAlign w:val="center"/>
          </w:tcPr>
          <w:p w14:paraId="0845E17E" w14:textId="65A9DDA3" w:rsidR="004F6E94" w:rsidRPr="00905257" w:rsidRDefault="47BE57FA">
            <w:pPr>
              <w:spacing w:after="120"/>
              <w:rPr>
                <w:rFonts w:asciiTheme="majorHAnsi" w:hAnsiTheme="majorHAnsi" w:cstheme="majorHAnsi"/>
              </w:rPr>
            </w:pPr>
            <w:r w:rsidRPr="00905257">
              <w:rPr>
                <w:rFonts w:asciiTheme="majorHAnsi" w:hAnsiTheme="majorHAnsi" w:cstheme="majorHAnsi"/>
                <w:sz w:val="26"/>
                <w:szCs w:val="26"/>
              </w:rPr>
              <w:t>3124411110</w:t>
            </w:r>
          </w:p>
        </w:tc>
      </w:tr>
      <w:tr w:rsidR="004F6E94" w:rsidRPr="00905257" w14:paraId="768E558E" w14:textId="77777777" w:rsidTr="158A2C66">
        <w:tc>
          <w:tcPr>
            <w:tcW w:w="3600" w:type="dxa"/>
            <w:tcBorders>
              <w:top w:val="nil"/>
              <w:left w:val="nil"/>
              <w:bottom w:val="nil"/>
              <w:right w:val="nil"/>
            </w:tcBorders>
            <w:vAlign w:val="center"/>
          </w:tcPr>
          <w:p w14:paraId="05C61560" w14:textId="48AA3F1B"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Trần Huỳnh Phát</w:t>
            </w:r>
          </w:p>
        </w:tc>
        <w:tc>
          <w:tcPr>
            <w:tcW w:w="3200" w:type="dxa"/>
            <w:tcBorders>
              <w:top w:val="nil"/>
              <w:left w:val="nil"/>
              <w:bottom w:val="nil"/>
              <w:right w:val="nil"/>
            </w:tcBorders>
            <w:vAlign w:val="center"/>
          </w:tcPr>
          <w:p w14:paraId="2B986797" w14:textId="3A7D3C5C" w:rsidR="004F6E94" w:rsidRPr="00905257" w:rsidRDefault="47BE57FA">
            <w:pPr>
              <w:spacing w:after="120"/>
              <w:rPr>
                <w:rFonts w:asciiTheme="majorHAnsi" w:hAnsiTheme="majorHAnsi" w:cstheme="majorHAnsi"/>
              </w:rPr>
            </w:pPr>
            <w:r w:rsidRPr="00905257">
              <w:rPr>
                <w:rFonts w:asciiTheme="majorHAnsi" w:hAnsiTheme="majorHAnsi" w:cstheme="majorHAnsi"/>
                <w:sz w:val="26"/>
                <w:szCs w:val="26"/>
              </w:rPr>
              <w:t>3124411220</w:t>
            </w:r>
          </w:p>
        </w:tc>
      </w:tr>
      <w:tr w:rsidR="004F6E94" w:rsidRPr="00905257" w14:paraId="0D3000BB" w14:textId="77777777" w:rsidTr="158A2C66">
        <w:tc>
          <w:tcPr>
            <w:tcW w:w="3600" w:type="dxa"/>
            <w:tcBorders>
              <w:top w:val="nil"/>
              <w:left w:val="nil"/>
              <w:bottom w:val="nil"/>
              <w:right w:val="nil"/>
            </w:tcBorders>
            <w:vAlign w:val="center"/>
          </w:tcPr>
          <w:p w14:paraId="53E831AB" w14:textId="14A07EF4"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Đinh Công Thành</w:t>
            </w:r>
          </w:p>
        </w:tc>
        <w:tc>
          <w:tcPr>
            <w:tcW w:w="3200" w:type="dxa"/>
            <w:tcBorders>
              <w:top w:val="nil"/>
              <w:left w:val="nil"/>
              <w:bottom w:val="nil"/>
              <w:right w:val="nil"/>
            </w:tcBorders>
            <w:vAlign w:val="center"/>
          </w:tcPr>
          <w:p w14:paraId="192B7484" w14:textId="3A30B39B" w:rsidR="004F6E94" w:rsidRPr="00905257" w:rsidRDefault="47BE57FA">
            <w:pPr>
              <w:spacing w:after="120"/>
              <w:rPr>
                <w:rFonts w:asciiTheme="majorHAnsi" w:hAnsiTheme="majorHAnsi" w:cstheme="majorHAnsi"/>
              </w:rPr>
            </w:pPr>
            <w:r w:rsidRPr="00905257">
              <w:rPr>
                <w:rFonts w:asciiTheme="majorHAnsi" w:hAnsiTheme="majorHAnsi" w:cstheme="majorHAnsi"/>
                <w:sz w:val="26"/>
                <w:szCs w:val="26"/>
              </w:rPr>
              <w:t>3124411276</w:t>
            </w:r>
          </w:p>
        </w:tc>
      </w:tr>
    </w:tbl>
    <w:p w14:paraId="0A37501D" w14:textId="77777777" w:rsidR="004F6E94" w:rsidRPr="00905257" w:rsidRDefault="004F6E94">
      <w:pPr>
        <w:spacing w:before="400"/>
        <w:jc w:val="center"/>
        <w:rPr>
          <w:rFonts w:asciiTheme="majorHAnsi" w:hAnsiTheme="majorHAnsi" w:cstheme="majorHAnsi"/>
        </w:rPr>
      </w:pPr>
    </w:p>
    <w:p w14:paraId="3F6FB33D" w14:textId="6E703D62" w:rsidR="004F6E94" w:rsidRPr="00905257" w:rsidRDefault="0EA36260" w:rsidP="158A2C66">
      <w:pPr>
        <w:jc w:val="center"/>
        <w:rPr>
          <w:rFonts w:asciiTheme="majorHAnsi" w:hAnsiTheme="majorHAnsi" w:cstheme="majorHAnsi"/>
          <w:i/>
          <w:iCs/>
          <w:sz w:val="26"/>
          <w:szCs w:val="26"/>
        </w:rPr>
      </w:pPr>
      <w:r w:rsidRPr="00905257">
        <w:rPr>
          <w:rFonts w:asciiTheme="majorHAnsi" w:hAnsiTheme="majorHAnsi" w:cstheme="majorHAnsi"/>
          <w:i/>
          <w:iCs/>
          <w:sz w:val="26"/>
          <w:szCs w:val="26"/>
        </w:rPr>
        <w:t xml:space="preserve">Thành phố Hồ Chí Minh, tháng </w:t>
      </w:r>
      <w:r w:rsidR="12FF90E4" w:rsidRPr="00905257">
        <w:rPr>
          <w:rFonts w:asciiTheme="majorHAnsi" w:hAnsiTheme="majorHAnsi" w:cstheme="majorHAnsi"/>
          <w:i/>
          <w:iCs/>
          <w:sz w:val="26"/>
          <w:szCs w:val="26"/>
        </w:rPr>
        <w:t>9</w:t>
      </w:r>
      <w:r w:rsidRPr="00905257">
        <w:rPr>
          <w:rFonts w:asciiTheme="majorHAnsi" w:hAnsiTheme="majorHAnsi" w:cstheme="majorHAnsi"/>
          <w:i/>
          <w:iCs/>
          <w:sz w:val="26"/>
          <w:szCs w:val="26"/>
        </w:rPr>
        <w:t xml:space="preserve"> năm 202</w:t>
      </w:r>
      <w:r w:rsidR="0788D14C" w:rsidRPr="00905257">
        <w:rPr>
          <w:rFonts w:asciiTheme="majorHAnsi" w:hAnsiTheme="majorHAnsi" w:cstheme="majorHAnsi"/>
          <w:i/>
          <w:iCs/>
          <w:sz w:val="26"/>
          <w:szCs w:val="26"/>
        </w:rPr>
        <w:t>6</w:t>
      </w:r>
    </w:p>
    <w:p w14:paraId="5DAB6C7B" w14:textId="77777777" w:rsidR="004F6E94" w:rsidRPr="00905257" w:rsidRDefault="004F6E94">
      <w:pPr>
        <w:spacing w:line="0" w:lineRule="auto"/>
        <w:rPr>
          <w:rFonts w:asciiTheme="majorHAnsi" w:hAnsiTheme="majorHAnsi" w:cstheme="majorHAnsi"/>
        </w:rPr>
        <w:sectPr w:rsidR="004F6E94" w:rsidRPr="00905257">
          <w:headerReference w:type="default" r:id="rId9"/>
          <w:footerReference w:type="default" r:id="rId10"/>
          <w:pgSz w:w="11906" w:h="16838"/>
          <w:pgMar w:top="1134" w:right="1134" w:bottom="1134" w:left="1417" w:header="708" w:footer="708" w:gutter="0"/>
          <w:pgBorders w:offsetFrom="page">
            <w:top w:val="double" w:sz="36" w:space="20" w:color="1F3864"/>
            <w:left w:val="double" w:sz="36" w:space="20" w:color="1F3864"/>
            <w:bottom w:val="double" w:sz="36" w:space="20" w:color="1F3864"/>
            <w:right w:val="double" w:sz="36" w:space="20" w:color="1F3864"/>
          </w:pgBorders>
          <w:cols w:space="720"/>
          <w:docGrid w:linePitch="360"/>
        </w:sectPr>
      </w:pPr>
    </w:p>
    <w:p w14:paraId="32C5DB5C" w14:textId="77777777" w:rsidR="004F6E94" w:rsidRPr="00905257" w:rsidRDefault="00F83C7E">
      <w:pPr>
        <w:spacing w:after="300"/>
        <w:jc w:val="center"/>
        <w:rPr>
          <w:rFonts w:asciiTheme="majorHAnsi" w:hAnsiTheme="majorHAnsi" w:cstheme="majorHAnsi"/>
        </w:rPr>
      </w:pPr>
      <w:r w:rsidRPr="00905257">
        <w:rPr>
          <w:rFonts w:asciiTheme="majorHAnsi" w:hAnsiTheme="majorHAnsi" w:cstheme="majorHAnsi"/>
          <w:b/>
          <w:bCs/>
          <w:color w:val="1F3864"/>
          <w:sz w:val="30"/>
          <w:szCs w:val="30"/>
        </w:rPr>
        <w:lastRenderedPageBreak/>
        <w:t>PHÂN CÔNG CÔNG VIỆC</w:t>
      </w:r>
    </w:p>
    <w:p w14:paraId="006F1A85" w14:textId="32FBA957" w:rsidR="004F6E94" w:rsidRPr="00905257" w:rsidRDefault="004F6E94">
      <w:pPr>
        <w:spacing w:after="160" w:line="300" w:lineRule="auto"/>
        <w:jc w:val="both"/>
        <w:rPr>
          <w:rFonts w:asciiTheme="majorHAnsi" w:hAnsiTheme="majorHAnsi" w:cstheme="majorHAnsi"/>
        </w:rPr>
      </w:pP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500"/>
      </w:tblGrid>
      <w:tr w:rsidR="004F6E94" w:rsidRPr="00905257" w14:paraId="77A6B9CC" w14:textId="77777777" w:rsidTr="158A2C66">
        <w:tc>
          <w:tcPr>
            <w:tcW w:w="2600" w:type="dxa"/>
            <w:shd w:val="clear" w:color="auto" w:fill="D9E2F3" w:themeFill="accent1" w:themeFillTint="33"/>
            <w:tcMar>
              <w:top w:w="80" w:type="dxa"/>
              <w:left w:w="100" w:type="dxa"/>
              <w:bottom w:w="80" w:type="dxa"/>
              <w:right w:w="100" w:type="dxa"/>
            </w:tcMar>
            <w:vAlign w:val="center"/>
          </w:tcPr>
          <w:p w14:paraId="7C84076D" w14:textId="77777777" w:rsidR="004F6E94" w:rsidRPr="00905257" w:rsidRDefault="0EA36260" w:rsidP="158A2C66">
            <w:pPr>
              <w:jc w:val="center"/>
              <w:rPr>
                <w:rFonts w:asciiTheme="majorHAnsi" w:hAnsiTheme="majorHAnsi" w:cstheme="majorHAnsi"/>
                <w:b/>
                <w:bCs/>
                <w:color w:val="000000" w:themeColor="text1"/>
                <w:sz w:val="26"/>
                <w:szCs w:val="26"/>
              </w:rPr>
            </w:pPr>
            <w:r w:rsidRPr="00905257">
              <w:rPr>
                <w:rFonts w:asciiTheme="majorHAnsi" w:hAnsiTheme="majorHAnsi" w:cstheme="majorHAnsi"/>
                <w:b/>
                <w:bCs/>
                <w:color w:val="000000" w:themeColor="text1"/>
                <w:sz w:val="26"/>
                <w:szCs w:val="26"/>
              </w:rPr>
              <w:t>Thành viên</w:t>
            </w:r>
          </w:p>
        </w:tc>
        <w:tc>
          <w:tcPr>
            <w:tcW w:w="2400" w:type="dxa"/>
            <w:shd w:val="clear" w:color="auto" w:fill="D9E2F3" w:themeFill="accent1" w:themeFillTint="33"/>
            <w:tcMar>
              <w:top w:w="80" w:type="dxa"/>
              <w:left w:w="100" w:type="dxa"/>
              <w:bottom w:w="80" w:type="dxa"/>
              <w:right w:w="100" w:type="dxa"/>
            </w:tcMar>
            <w:vAlign w:val="center"/>
          </w:tcPr>
          <w:p w14:paraId="6BD9C5FD" w14:textId="77777777" w:rsidR="004F6E94" w:rsidRPr="00905257" w:rsidRDefault="0EA36260" w:rsidP="158A2C66">
            <w:pPr>
              <w:jc w:val="center"/>
              <w:rPr>
                <w:rFonts w:asciiTheme="majorHAnsi" w:hAnsiTheme="majorHAnsi" w:cstheme="majorHAnsi"/>
                <w:b/>
                <w:bCs/>
                <w:color w:val="000000" w:themeColor="text1"/>
                <w:sz w:val="26"/>
                <w:szCs w:val="26"/>
              </w:rPr>
            </w:pPr>
            <w:r w:rsidRPr="00905257">
              <w:rPr>
                <w:rFonts w:asciiTheme="majorHAnsi" w:hAnsiTheme="majorHAnsi" w:cstheme="majorHAnsi"/>
                <w:b/>
                <w:bCs/>
                <w:color w:val="000000" w:themeColor="text1"/>
                <w:sz w:val="26"/>
                <w:szCs w:val="26"/>
              </w:rPr>
              <w:t>Giai đoạn CRISP-DM phụ trách</w:t>
            </w:r>
          </w:p>
        </w:tc>
        <w:tc>
          <w:tcPr>
            <w:tcW w:w="4500" w:type="dxa"/>
            <w:shd w:val="clear" w:color="auto" w:fill="D9E2F3" w:themeFill="accent1" w:themeFillTint="33"/>
            <w:tcMar>
              <w:top w:w="80" w:type="dxa"/>
              <w:left w:w="100" w:type="dxa"/>
              <w:bottom w:w="80" w:type="dxa"/>
              <w:right w:w="100" w:type="dxa"/>
            </w:tcMar>
            <w:vAlign w:val="center"/>
          </w:tcPr>
          <w:p w14:paraId="7004022A" w14:textId="77777777" w:rsidR="004F6E94" w:rsidRPr="00905257" w:rsidRDefault="0EA36260" w:rsidP="158A2C66">
            <w:pPr>
              <w:jc w:val="center"/>
              <w:rPr>
                <w:rFonts w:asciiTheme="majorHAnsi" w:hAnsiTheme="majorHAnsi" w:cstheme="majorHAnsi"/>
                <w:b/>
                <w:bCs/>
                <w:color w:val="000000" w:themeColor="text1"/>
                <w:sz w:val="26"/>
                <w:szCs w:val="26"/>
              </w:rPr>
            </w:pPr>
            <w:r w:rsidRPr="00905257">
              <w:rPr>
                <w:rFonts w:asciiTheme="majorHAnsi" w:hAnsiTheme="majorHAnsi" w:cstheme="majorHAnsi"/>
                <w:b/>
                <w:bCs/>
                <w:color w:val="000000" w:themeColor="text1"/>
                <w:sz w:val="26"/>
                <w:szCs w:val="26"/>
              </w:rPr>
              <w:t>Nội dung công việc cụ thể</w:t>
            </w:r>
          </w:p>
        </w:tc>
      </w:tr>
      <w:tr w:rsidR="002678B2" w:rsidRPr="00905257" w14:paraId="5E527A33" w14:textId="77777777" w:rsidTr="158A2C66">
        <w:tc>
          <w:tcPr>
            <w:tcW w:w="2600" w:type="dxa"/>
            <w:tcMar>
              <w:top w:w="80" w:type="dxa"/>
              <w:left w:w="100" w:type="dxa"/>
              <w:bottom w:w="80" w:type="dxa"/>
              <w:right w:w="100" w:type="dxa"/>
            </w:tcMar>
            <w:vAlign w:val="center"/>
          </w:tcPr>
          <w:p w14:paraId="5E0F3E46" w14:textId="49E6AD08"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Vũ Quốc Anh</w:t>
            </w:r>
          </w:p>
        </w:tc>
        <w:tc>
          <w:tcPr>
            <w:tcW w:w="2400" w:type="dxa"/>
            <w:tcMar>
              <w:top w:w="80" w:type="dxa"/>
              <w:left w:w="100" w:type="dxa"/>
              <w:bottom w:w="80" w:type="dxa"/>
              <w:right w:w="100" w:type="dxa"/>
            </w:tcMar>
            <w:vAlign w:val="center"/>
          </w:tcPr>
          <w:p w14:paraId="709AEEAB" w14:textId="77777777" w:rsidR="002678B2" w:rsidRPr="00905257" w:rsidRDefault="002678B2" w:rsidP="002678B2">
            <w:pPr>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Business Understanding &amp; Data Understanding</w:t>
            </w:r>
          </w:p>
        </w:tc>
        <w:tc>
          <w:tcPr>
            <w:tcW w:w="4500" w:type="dxa"/>
            <w:tcMar>
              <w:top w:w="80" w:type="dxa"/>
              <w:left w:w="100" w:type="dxa"/>
              <w:bottom w:w="80" w:type="dxa"/>
              <w:right w:w="100" w:type="dxa"/>
            </w:tcMar>
            <w:vAlign w:val="center"/>
          </w:tcPr>
          <w:p w14:paraId="1DC2E5EA" w14:textId="5DCF2618" w:rsidR="002678B2" w:rsidRPr="002678B2" w:rsidRDefault="002678B2" w:rsidP="002678B2">
            <w:pPr>
              <w:rPr>
                <w:rFonts w:asciiTheme="majorHAnsi" w:hAnsiTheme="majorHAnsi" w:cstheme="majorHAnsi"/>
                <w:sz w:val="26"/>
                <w:szCs w:val="26"/>
              </w:rPr>
            </w:pPr>
            <w:r w:rsidRPr="002678B2">
              <w:rPr>
                <w:sz w:val="26"/>
                <w:szCs w:val="26"/>
              </w:rPr>
              <w:t>Đọc paper De Cock (2011), khảo sát bài toán dự đoán giá nhà; xác định tính chất dữ liệu (kích thước, kiểu dữ liệu, biến số/biến phân loại, biến mục tiêu).</w:t>
            </w:r>
          </w:p>
        </w:tc>
      </w:tr>
      <w:tr w:rsidR="002678B2" w:rsidRPr="00905257" w14:paraId="6C8A811A" w14:textId="77777777" w:rsidTr="158A2C66">
        <w:tc>
          <w:tcPr>
            <w:tcW w:w="2600" w:type="dxa"/>
            <w:tcMar>
              <w:top w:w="80" w:type="dxa"/>
              <w:left w:w="100" w:type="dxa"/>
              <w:bottom w:w="80" w:type="dxa"/>
              <w:right w:w="100" w:type="dxa"/>
            </w:tcMar>
            <w:vAlign w:val="center"/>
          </w:tcPr>
          <w:p w14:paraId="4D0C6D7B" w14:textId="72D920A5"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Trần Huỳnh Phát</w:t>
            </w:r>
          </w:p>
        </w:tc>
        <w:tc>
          <w:tcPr>
            <w:tcW w:w="2400" w:type="dxa"/>
            <w:tcMar>
              <w:top w:w="80" w:type="dxa"/>
              <w:left w:w="100" w:type="dxa"/>
              <w:bottom w:w="80" w:type="dxa"/>
              <w:right w:w="100" w:type="dxa"/>
            </w:tcMar>
            <w:vAlign w:val="center"/>
          </w:tcPr>
          <w:p w14:paraId="0525CD09" w14:textId="07172929" w:rsidR="002678B2" w:rsidRPr="002678B2" w:rsidRDefault="002678B2" w:rsidP="002678B2">
            <w:pPr>
              <w:rPr>
                <w:rFonts w:asciiTheme="majorHAnsi" w:hAnsiTheme="majorHAnsi" w:cstheme="majorHAnsi"/>
                <w:color w:val="000000" w:themeColor="text1"/>
                <w:sz w:val="26"/>
                <w:szCs w:val="26"/>
              </w:rPr>
            </w:pPr>
            <w:r w:rsidRPr="002678B2">
              <w:rPr>
                <w:sz w:val="26"/>
                <w:szCs w:val="26"/>
              </w:rPr>
              <w:t>Data Understanding (Univariate)</w:t>
            </w:r>
          </w:p>
        </w:tc>
        <w:tc>
          <w:tcPr>
            <w:tcW w:w="4500" w:type="dxa"/>
            <w:tcMar>
              <w:top w:w="80" w:type="dxa"/>
              <w:left w:w="100" w:type="dxa"/>
              <w:bottom w:w="80" w:type="dxa"/>
              <w:right w:w="100" w:type="dxa"/>
            </w:tcMar>
            <w:vAlign w:val="center"/>
          </w:tcPr>
          <w:p w14:paraId="512AC8B9" w14:textId="53752BB4" w:rsidR="002678B2" w:rsidRPr="002678B2" w:rsidRDefault="002678B2" w:rsidP="002678B2">
            <w:pPr>
              <w:rPr>
                <w:rFonts w:asciiTheme="majorHAnsi" w:hAnsiTheme="majorHAnsi" w:cstheme="majorHAnsi"/>
                <w:sz w:val="26"/>
                <w:szCs w:val="26"/>
              </w:rPr>
            </w:pPr>
            <w:r w:rsidRPr="002678B2">
              <w:rPr>
                <w:sz w:val="26"/>
                <w:szCs w:val="26"/>
              </w:rPr>
              <w:t>Phân tích phân phối biến mục tiêu SalePrice và các biến số/biến phân loại quan trọng.</w:t>
            </w:r>
          </w:p>
        </w:tc>
      </w:tr>
      <w:tr w:rsidR="002678B2" w:rsidRPr="00905257" w14:paraId="02DEF424" w14:textId="77777777" w:rsidTr="158A2C66">
        <w:tc>
          <w:tcPr>
            <w:tcW w:w="2600" w:type="dxa"/>
            <w:tcMar>
              <w:top w:w="80" w:type="dxa"/>
              <w:left w:w="100" w:type="dxa"/>
              <w:bottom w:w="80" w:type="dxa"/>
              <w:right w:w="100" w:type="dxa"/>
            </w:tcMar>
            <w:vAlign w:val="center"/>
          </w:tcPr>
          <w:p w14:paraId="08A60864" w14:textId="6BB64DBD"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Đinh Công Thành</w:t>
            </w:r>
          </w:p>
        </w:tc>
        <w:tc>
          <w:tcPr>
            <w:tcW w:w="2400" w:type="dxa"/>
            <w:tcMar>
              <w:top w:w="80" w:type="dxa"/>
              <w:left w:w="100" w:type="dxa"/>
              <w:bottom w:w="80" w:type="dxa"/>
              <w:right w:w="100" w:type="dxa"/>
            </w:tcMar>
            <w:vAlign w:val="center"/>
          </w:tcPr>
          <w:p w14:paraId="425585BE" w14:textId="7BC2F659" w:rsidR="002678B2" w:rsidRPr="002678B2" w:rsidRDefault="002678B2" w:rsidP="002678B2">
            <w:pPr>
              <w:rPr>
                <w:rFonts w:asciiTheme="majorHAnsi" w:hAnsiTheme="majorHAnsi" w:cstheme="majorHAnsi"/>
                <w:color w:val="000000" w:themeColor="text1"/>
                <w:sz w:val="26"/>
                <w:szCs w:val="26"/>
              </w:rPr>
            </w:pPr>
            <w:r w:rsidRPr="002678B2">
              <w:rPr>
                <w:sz w:val="26"/>
                <w:szCs w:val="26"/>
              </w:rPr>
              <w:t>Data Understanding (Multivariate)</w:t>
            </w:r>
          </w:p>
        </w:tc>
        <w:tc>
          <w:tcPr>
            <w:tcW w:w="4500" w:type="dxa"/>
            <w:tcMar>
              <w:top w:w="80" w:type="dxa"/>
              <w:left w:w="100" w:type="dxa"/>
              <w:bottom w:w="80" w:type="dxa"/>
              <w:right w:w="100" w:type="dxa"/>
            </w:tcMar>
            <w:vAlign w:val="center"/>
          </w:tcPr>
          <w:p w14:paraId="5D1C5401" w14:textId="012C75A0" w:rsidR="002678B2" w:rsidRPr="002678B2" w:rsidRDefault="002678B2" w:rsidP="002678B2">
            <w:pPr>
              <w:rPr>
                <w:rFonts w:asciiTheme="majorHAnsi" w:hAnsiTheme="majorHAnsi" w:cstheme="majorHAnsi"/>
                <w:color w:val="000000" w:themeColor="text1"/>
                <w:sz w:val="26"/>
                <w:szCs w:val="26"/>
              </w:rPr>
            </w:pPr>
            <w:r w:rsidRPr="002678B2">
              <w:rPr>
                <w:sz w:val="26"/>
                <w:szCs w:val="26"/>
              </w:rPr>
              <w:t>Phân tích tương quan giữa các biến với SalePrice, quan hệ diện tích/chất lượng/vị trí với giá bán.</w:t>
            </w:r>
          </w:p>
        </w:tc>
      </w:tr>
      <w:tr w:rsidR="002678B2" w:rsidRPr="00905257" w14:paraId="1B4E81CD" w14:textId="77777777" w:rsidTr="158A2C66">
        <w:tc>
          <w:tcPr>
            <w:tcW w:w="2600" w:type="dxa"/>
            <w:tcMar>
              <w:top w:w="80" w:type="dxa"/>
              <w:left w:w="100" w:type="dxa"/>
              <w:bottom w:w="80" w:type="dxa"/>
              <w:right w:w="100" w:type="dxa"/>
            </w:tcMar>
            <w:vAlign w:val="center"/>
          </w:tcPr>
          <w:p w14:paraId="3A0AD0FB" w14:textId="36A7683B"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Nguyễn Minh Huy</w:t>
            </w:r>
          </w:p>
        </w:tc>
        <w:tc>
          <w:tcPr>
            <w:tcW w:w="2400" w:type="dxa"/>
            <w:tcMar>
              <w:top w:w="80" w:type="dxa"/>
              <w:left w:w="100" w:type="dxa"/>
              <w:bottom w:w="80" w:type="dxa"/>
              <w:right w:w="100" w:type="dxa"/>
            </w:tcMar>
            <w:vAlign w:val="center"/>
          </w:tcPr>
          <w:p w14:paraId="37CE1237" w14:textId="0172A598" w:rsidR="002678B2" w:rsidRPr="002678B2" w:rsidRDefault="002678B2" w:rsidP="002678B2">
            <w:pPr>
              <w:rPr>
                <w:rFonts w:asciiTheme="majorHAnsi" w:hAnsiTheme="majorHAnsi" w:cstheme="majorHAnsi"/>
                <w:color w:val="000000" w:themeColor="text1"/>
                <w:sz w:val="26"/>
                <w:szCs w:val="26"/>
              </w:rPr>
            </w:pPr>
            <w:r w:rsidRPr="002678B2">
              <w:rPr>
                <w:sz w:val="26"/>
                <w:szCs w:val="26"/>
              </w:rPr>
              <w:t>Data Preparation (Data Quality)</w:t>
            </w:r>
          </w:p>
        </w:tc>
        <w:tc>
          <w:tcPr>
            <w:tcW w:w="4500" w:type="dxa"/>
            <w:tcMar>
              <w:top w:w="80" w:type="dxa"/>
              <w:left w:w="100" w:type="dxa"/>
              <w:bottom w:w="80" w:type="dxa"/>
              <w:right w:w="100" w:type="dxa"/>
            </w:tcMar>
            <w:vAlign w:val="center"/>
          </w:tcPr>
          <w:p w14:paraId="000165E3" w14:textId="6F87FCFB" w:rsidR="002678B2" w:rsidRPr="002678B2" w:rsidRDefault="002678B2" w:rsidP="002678B2">
            <w:pPr>
              <w:rPr>
                <w:rFonts w:asciiTheme="majorHAnsi" w:hAnsiTheme="majorHAnsi" w:cstheme="majorHAnsi"/>
                <w:sz w:val="26"/>
                <w:szCs w:val="26"/>
              </w:rPr>
            </w:pPr>
            <w:r w:rsidRPr="002678B2">
              <w:rPr>
                <w:sz w:val="26"/>
                <w:szCs w:val="26"/>
              </w:rPr>
              <w:t>Phân tích giá trị thiếu, kiểm tra trùng lặp, phát hiện mẫu bất thường và ngoại lệ trong dữ liệu.</w:t>
            </w:r>
          </w:p>
        </w:tc>
      </w:tr>
    </w:tbl>
    <w:p w14:paraId="6A05A809" w14:textId="570B1E0E" w:rsidR="004F6E94" w:rsidRPr="00905257" w:rsidRDefault="00F83C7E" w:rsidP="158A2C66">
      <w:pPr>
        <w:spacing w:before="300"/>
        <w:rPr>
          <w:rFonts w:asciiTheme="majorHAnsi" w:hAnsiTheme="majorHAnsi" w:cstheme="majorHAnsi"/>
        </w:rPr>
      </w:pPr>
      <w:r w:rsidRPr="00905257">
        <w:rPr>
          <w:rFonts w:asciiTheme="majorHAnsi" w:hAnsiTheme="majorHAnsi" w:cstheme="majorHAnsi"/>
        </w:rPr>
        <w:br w:type="page"/>
      </w:r>
    </w:p>
    <w:p w14:paraId="55420C3C" w14:textId="77777777" w:rsidR="004F6E94" w:rsidRPr="00905257" w:rsidRDefault="00F83C7E">
      <w:pPr>
        <w:spacing w:after="400"/>
        <w:jc w:val="center"/>
        <w:rPr>
          <w:rFonts w:asciiTheme="majorHAnsi" w:hAnsiTheme="majorHAnsi" w:cstheme="majorHAnsi"/>
        </w:rPr>
      </w:pPr>
      <w:r w:rsidRPr="00905257">
        <w:rPr>
          <w:rFonts w:asciiTheme="majorHAnsi" w:hAnsiTheme="majorHAnsi" w:cstheme="majorHAnsi"/>
          <w:b/>
          <w:bCs/>
          <w:color w:val="1F3864"/>
          <w:sz w:val="30"/>
          <w:szCs w:val="30"/>
        </w:rPr>
        <w:lastRenderedPageBreak/>
        <w:t>NHẬN XÉT CỦA GIẢNG VIÊN</w:t>
      </w:r>
    </w:p>
    <w:p w14:paraId="634E1DB0"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73C6E5B0"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69FBA1D3"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32829C15"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1F8514A3"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2FCAF7F6"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0633AD92"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77A453EA"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51F8948A"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6BD2F963"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53F3C046"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57739887"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238FA7CB"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3BAC86D1"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1B30971E" w14:textId="07F6E28B" w:rsidR="000F0F83" w:rsidRPr="000F0F83" w:rsidRDefault="000F0F83">
      <w:pPr>
        <w:rPr>
          <w:rFonts w:asciiTheme="majorHAnsi" w:hAnsiTheme="majorHAnsi" w:cstheme="majorHAnsi"/>
          <w:lang w:val="en-US"/>
        </w:rPr>
      </w:pPr>
    </w:p>
    <w:sdt>
      <w:sdtPr>
        <w:id w:val="-1138111142"/>
        <w:docPartObj>
          <w:docPartGallery w:val="Table of Contents"/>
          <w:docPartUnique/>
        </w:docPartObj>
      </w:sdtPr>
      <w:sdtEndPr>
        <w:rPr>
          <w:rFonts w:ascii="Times New Roman" w:eastAsia="Times New Roman" w:hAnsi="Times New Roman" w:cs="Times New Roman"/>
          <w:b/>
          <w:bCs/>
          <w:color w:val="auto"/>
          <w:sz w:val="20"/>
          <w:szCs w:val="20"/>
          <w:lang w:eastAsia="ja-JP"/>
        </w:rPr>
      </w:sdtEndPr>
      <w:sdtContent>
        <w:p w14:paraId="322224FA" w14:textId="1FE63892" w:rsidR="000F0F83" w:rsidRPr="000F0F83" w:rsidRDefault="000F0F83" w:rsidP="000F0F83">
          <w:pPr>
            <w:pStyle w:val="uMucluc"/>
            <w:pageBreakBefore/>
            <w:jc w:val="center"/>
          </w:pPr>
          <w:r w:rsidRPr="000F0F83">
            <w:t>Mục lục</w:t>
          </w:r>
        </w:p>
        <w:p>
          <w:pPr>
            <w:pStyle w:val="Mucluc1"/>
            <w:tabs>
              <w:tab w:val="right" w:leader="dot" w:pos="9345"/>
            </w:tabs>
            <w:rPr>
              <w:noProof/>
            </w:rPr>
          </w:pPr>
          <w:r>
            <w:fldChar w:fldCharType="begin"/>
          </w:r>
          <w:r>
            <w:instrText xml:space="preserve"> TOC \o "1-3" \h \z \u </w:instrText>
          </w:r>
          <w:r>
            <w:fldChar w:fldCharType="separate"/>
          </w:r>
          <w:hyperlink w:anchor="_Toc241153234" w:history="1">
            <w:r>
              <w:rPr>
                <w:rStyle w:val="Siuktni"/>
                <w:rFonts w:asciiTheme="majorHAnsi" w:hAnsiTheme="majorHAnsi" w:cstheme="majorHAnsi"/>
                <w:noProof/>
                <w:sz w:val="26"/>
                <w:szCs w:val="26"/>
              </w:rPr>
              <w:t xml:space="preserve">1. Khảo sát bài toán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_Toc241153234 \h </w:instrText>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5</w:t>
            </w:r>
            <w:r>
              <w:rPr>
                <w:rFonts w:asciiTheme="majorHAnsi" w:hAnsiTheme="majorHAnsi" w:cstheme="majorHAnsi"/>
                <w:noProof/>
                <w:webHidden/>
                <w:sz w:val="26"/>
                <w:szCs w:val="26"/>
              </w:rPr>
              <w:fldChar w:fldCharType="end"/>
            </w:r>
          </w:hyperlink>
        </w:p>
        <w:p>
          <w:pPr>
            <w:pStyle w:val="Mucluc1"/>
            <w:tabs>
              <w:tab w:val="right" w:leader="dot" w:pos="9345"/>
            </w:tabs>
            <w:rPr>
              <w:noProof/>
            </w:rPr>
          </w:pPr>
          <w:hyperlink w:anchor="_Toc241153235" w:history="1">
            <w:r>
              <w:rPr>
                <w:rStyle w:val="Siuktni"/>
                <w:rFonts w:asciiTheme="majorHAnsi" w:hAnsiTheme="majorHAnsi" w:cstheme="majorHAnsi"/>
                <w:noProof/>
                <w:sz w:val="26"/>
                <w:szCs w:val="26"/>
              </w:rPr>
              <w:t xml:space="preserve">2. Tổng quan dữ liệu (Data Summary)</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_Toc241153235 \h </w:instrText>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Pr>
                <w:rFonts w:asciiTheme="majorHAnsi" w:hAnsiTheme="majorHAnsi" w:cstheme="majorHAnsi"/>
                <w:noProof/>
                <w:webHidden/>
                <w:sz w:val="26"/>
                <w:szCs w:val="26"/>
              </w:rPr>
              <w:fldChar w:fldCharType="end"/>
            </w:r>
          </w:hyperlink>
        </w:p>
        <w:p>
          <w:pPr>
            <w:pStyle w:val="Mucluc2"/>
            <w:tabs>
              <w:tab w:val="right" w:leader="dot" w:pos="9345"/>
            </w:tabs>
            <w:rPr>
              <w:noProof/>
            </w:rPr>
          </w:pPr>
          <w:hyperlink w:anchor="_Toc900000301" w:history="1">
            <w:r>
              <w:rPr>
                <w:rStyle w:val="Siuktni"/>
                <w:rFonts w:asciiTheme="majorHAnsi" w:hAnsiTheme="majorHAnsi" w:cstheme="majorHAnsi"/>
                <w:noProof/>
                <w:sz w:val="24"/>
                <w:szCs w:val="24"/>
              </w:rPr>
              <w:t xml:space="preserve">2.1. Kiểu dữ liệu mà Python đọc được</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_Toc900000301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6</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02" w:history="1">
            <w:r>
              <w:rPr>
                <w:rStyle w:val="Siuktni"/>
                <w:rFonts w:asciiTheme="majorHAnsi" w:hAnsiTheme="majorHAnsi" w:cstheme="majorHAnsi"/>
                <w:noProof/>
                <w:sz w:val="24"/>
                <w:szCs w:val="24"/>
              </w:rPr>
              <w:t xml:space="preserve">2.2. Phân biệt kiểu biến theo ý nghĩa</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_Toc900000302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6</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03" w:history="1">
            <w:r>
              <w:rPr>
                <w:rStyle w:val="Siuktni"/>
                <w:rFonts w:asciiTheme="majorHAnsi" w:hAnsiTheme="majorHAnsi" w:cstheme="majorHAnsi"/>
                <w:noProof/>
                <w:sz w:val="24"/>
                <w:szCs w:val="24"/>
              </w:rPr>
              <w:t xml:space="preserve">2.3. Thống kê mô tả các biến số</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_Toc900000303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7</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04" w:history="1">
            <w:r>
              <w:rPr>
                <w:rStyle w:val="Siuktni"/>
                <w:rFonts w:asciiTheme="majorHAnsi" w:hAnsiTheme="majorHAnsi" w:cstheme="majorHAnsi"/>
                <w:noProof/>
                <w:sz w:val="24"/>
                <w:szCs w:val="24"/>
              </w:rPr>
              <w:t xml:space="preserve">2.4. Biến mục tiêu SalePrice</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_Toc900000304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8</w:t>
            </w:r>
            <w:r>
              <w:rPr>
                <w:rFonts w:asciiTheme="majorHAnsi" w:hAnsiTheme="majorHAnsi" w:cstheme="majorHAnsi"/>
                <w:noProof/>
                <w:webHidden/>
                <w:sz w:val="24"/>
                <w:szCs w:val="24"/>
              </w:rPr>
              <w:fldChar w:fldCharType="end"/>
            </w:r>
          </w:hyperlink>
        </w:p>
        <w:p>
          <w:pPr>
            <w:pStyle w:val="Mucluc1"/>
            <w:tabs>
              <w:tab w:val="right" w:leader="dot" w:pos="9345"/>
            </w:tabs>
            <w:rPr>
              <w:noProof/>
            </w:rPr>
          </w:pPr>
          <w:hyperlink w:anchor="_Toc241153236" w:history="1">
            <w:r>
              <w:rPr>
                <w:rStyle w:val="Siuktni"/>
                <w:rFonts w:asciiTheme="majorHAnsi" w:hAnsiTheme="majorHAnsi" w:cstheme="majorHAnsi"/>
                <w:noProof/>
                <w:sz w:val="26"/>
                <w:szCs w:val="26"/>
              </w:rPr>
              <w:t xml:space="preserve">3. Phân tích đơn biến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_Toc241153236 \h </w:instrText>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Pr>
                <w:rFonts w:asciiTheme="majorHAnsi" w:hAnsiTheme="majorHAnsi" w:cstheme="majorHAnsi"/>
                <w:noProof/>
                <w:webHidden/>
                <w:sz w:val="26"/>
                <w:szCs w:val="26"/>
              </w:rPr>
              <w:fldChar w:fldCharType="end"/>
            </w:r>
          </w:hyperlink>
        </w:p>
        <w:p>
          <w:pPr>
            <w:pStyle w:val="Mucluc2"/>
            <w:tabs>
              <w:tab w:val="right" w:leader="dot" w:pos="9345"/>
            </w:tabs>
            <w:rPr>
              <w:noProof/>
            </w:rPr>
          </w:pPr>
          <w:hyperlink w:anchor="_Toc900000305" w:history="1">
            <w:r>
              <w:rPr>
                <w:rStyle w:val="Siuktni"/>
                <w:rFonts w:asciiTheme="majorHAnsi" w:hAnsiTheme="majorHAnsi" w:cstheme="majorHAnsi"/>
                <w:noProof/>
                <w:sz w:val="24"/>
                <w:szCs w:val="24"/>
              </w:rPr>
              <w:t xml:space="preserve">3.1. Các biến số quan trọng</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_Toc900000305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9</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06" w:history="1">
            <w:r>
              <w:rPr>
                <w:rStyle w:val="Siuktni"/>
                <w:rFonts w:asciiTheme="majorHAnsi" w:hAnsiTheme="majorHAnsi" w:cstheme="majorHAnsi"/>
                <w:noProof/>
                <w:sz w:val="24"/>
                <w:szCs w:val="24"/>
              </w:rPr>
              <w:t xml:space="preserve">3.2. Biến thứ bậc OverallQual</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_Toc900000306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9</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07" w:history="1">
            <w:r>
              <w:rPr>
                <w:rStyle w:val="Siuktni"/>
                <w:rFonts w:asciiTheme="majorHAnsi" w:hAnsiTheme="majorHAnsi" w:cstheme="majorHAnsi"/>
                <w:noProof/>
                <w:sz w:val="24"/>
                <w:szCs w:val="24"/>
              </w:rPr>
              <w:t xml:space="preserve">3.3. Các biến phân loại</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_Toc900000307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10</w:t>
            </w:r>
            <w:r>
              <w:rPr>
                <w:rFonts w:asciiTheme="majorHAnsi" w:hAnsiTheme="majorHAnsi" w:cstheme="majorHAnsi"/>
                <w:noProof/>
                <w:webHidden/>
                <w:sz w:val="24"/>
                <w:szCs w:val="24"/>
              </w:rPr>
              <w:fldChar w:fldCharType="end"/>
            </w:r>
          </w:hyperlink>
        </w:p>
        <w:p>
          <w:pPr>
            <w:pStyle w:val="Mucluc1"/>
            <w:tabs>
              <w:tab w:val="right" w:leader="dot" w:pos="9345"/>
            </w:tabs>
            <w:rPr>
              <w:noProof/>
            </w:rPr>
          </w:pPr>
          <w:hyperlink w:anchor="_Toc241153237" w:history="1">
            <w:r>
              <w:rPr>
                <w:rStyle w:val="Siuktni"/>
                <w:rFonts w:asciiTheme="majorHAnsi" w:hAnsiTheme="majorHAnsi" w:cstheme="majorHAnsi"/>
                <w:noProof/>
                <w:sz w:val="26"/>
                <w:szCs w:val="26"/>
              </w:rPr>
              <w:t xml:space="preserve">4. Phân tích đa biến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_Toc241153237 \h </w:instrText>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Pr>
                <w:rFonts w:asciiTheme="majorHAnsi" w:hAnsiTheme="majorHAnsi" w:cstheme="majorHAnsi"/>
                <w:noProof/>
                <w:webHidden/>
                <w:sz w:val="26"/>
                <w:szCs w:val="26"/>
              </w:rPr>
              <w:fldChar w:fldCharType="end"/>
            </w:r>
          </w:hyperlink>
        </w:p>
        <w:p>
          <w:pPr>
            <w:pStyle w:val="Mucluc2"/>
            <w:tabs>
              <w:tab w:val="right" w:leader="dot" w:pos="9345"/>
            </w:tabs>
            <w:rPr>
              <w:noProof/>
            </w:rPr>
          </w:pPr>
          <w:hyperlink w:anchor="_Toc900000308" w:history="1">
            <w:r>
              <w:rPr>
                <w:rStyle w:val="Siuktni"/>
                <w:rFonts w:asciiTheme="majorHAnsi" w:hAnsiTheme="majorHAnsi" w:cstheme="majorHAnsi"/>
                <w:noProof/>
                <w:sz w:val="24"/>
                <w:szCs w:val="24"/>
              </w:rPr>
              <w:t xml:space="preserve">4.1. Tương quan giữa các biến số và SalePrice</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_Toc900000308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11</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09" w:history="1">
            <w:r>
              <w:rPr>
                <w:rStyle w:val="Siuktni"/>
                <w:rFonts w:asciiTheme="majorHAnsi" w:hAnsiTheme="majorHAnsi" w:cstheme="majorHAnsi"/>
                <w:noProof/>
                <w:sz w:val="24"/>
                <w:szCs w:val="24"/>
              </w:rPr>
              <w:t xml:space="preserve">4.2. Ma trận tương quan giữa các biến đứng đầu</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_Toc900000309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12</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0" w:history="1">
            <w:r>
              <w:rPr>
                <w:rStyle w:val="Siuktni"/>
                <w:rFonts w:asciiTheme="majorHAnsi" w:hAnsiTheme="majorHAnsi" w:cstheme="majorHAnsi"/>
                <w:noProof/>
                <w:sz w:val="24"/>
                <w:szCs w:val="24"/>
              </w:rPr>
              <w:t xml:space="preserve">4.3. Quan hệ giữa diện tích, chất lượng và giá bán</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_Toc900000310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13</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1" w:history="1">
            <w:r>
              <w:rPr>
                <w:rStyle w:val="Siuktni"/>
                <w:rFonts w:asciiTheme="majorHAnsi" w:hAnsiTheme="majorHAnsi" w:cstheme="majorHAnsi"/>
                <w:noProof/>
                <w:sz w:val="24"/>
                <w:szCs w:val="24"/>
              </w:rPr>
              <w:t xml:space="preserve">4.4. Giá bán theo chất lượng tổng thể (OverallQual)</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_Toc900000311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14</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2" w:history="1">
            <w:r>
              <w:rPr>
                <w:rStyle w:val="Siuktni"/>
                <w:rFonts w:asciiTheme="majorHAnsi" w:hAnsiTheme="majorHAnsi" w:cstheme="majorHAnsi"/>
                <w:noProof/>
                <w:sz w:val="24"/>
                <w:szCs w:val="24"/>
              </w:rPr>
              <w:t xml:space="preserve">4.5. Giá bán theo vị trí (Neighborhood)</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_Toc900000312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14</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3" w:history="1">
            <w:r>
              <w:rPr>
                <w:rStyle w:val="Siuktni"/>
                <w:rFonts w:asciiTheme="majorHAnsi" w:hAnsiTheme="majorHAnsi" w:cstheme="majorHAnsi"/>
                <w:noProof/>
                <w:sz w:val="24"/>
                <w:szCs w:val="24"/>
              </w:rPr>
              <w:t xml:space="preserve">4.6. Năm xây và giá bán</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_Toc900000313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15</w:t>
            </w:r>
            <w:r>
              <w:rPr>
                <w:rFonts w:asciiTheme="majorHAnsi" w:hAnsiTheme="majorHAnsi" w:cstheme="majorHAnsi"/>
                <w:noProof/>
                <w:webHidden/>
                <w:sz w:val="24"/>
                <w:szCs w:val="24"/>
              </w:rPr>
              <w:fldChar w:fldCharType="end"/>
            </w:r>
          </w:hyperlink>
        </w:p>
        <w:p>
          <w:pPr>
            <w:pStyle w:val="Mucluc1"/>
            <w:tabs>
              <w:tab w:val="right" w:leader="dot" w:pos="9345"/>
            </w:tabs>
            <w:rPr>
              <w:noProof/>
            </w:rPr>
          </w:pPr>
          <w:hyperlink w:anchor="_Toc241153238" w:history="1">
            <w:r>
              <w:rPr>
                <w:rStyle w:val="Siuktni"/>
                <w:rFonts w:asciiTheme="majorHAnsi" w:hAnsiTheme="majorHAnsi" w:cstheme="majorHAnsi"/>
                <w:noProof/>
                <w:sz w:val="26"/>
                <w:szCs w:val="26"/>
              </w:rPr>
              <w:t xml:space="preserve">5. Giá trị thiếu, mẫu bất thường và ngoại lệ</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_Toc241153238 \h </w:instrText>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15</w:t>
            </w:r>
            <w:r>
              <w:rPr>
                <w:rFonts w:asciiTheme="majorHAnsi" w:hAnsiTheme="majorHAnsi" w:cstheme="majorHAnsi"/>
                <w:noProof/>
                <w:webHidden/>
                <w:sz w:val="26"/>
                <w:szCs w:val="26"/>
              </w:rPr>
              <w:fldChar w:fldCharType="end"/>
            </w:r>
          </w:hyperlink>
        </w:p>
        <w:p>
          <w:pPr>
            <w:pStyle w:val="Mucluc2"/>
            <w:tabs>
              <w:tab w:val="right" w:leader="dot" w:pos="9345"/>
            </w:tabs>
            <w:rPr>
              <w:noProof/>
            </w:rPr>
          </w:pPr>
          <w:hyperlink w:anchor="_Toc900000314" w:history="1">
            <w:r>
              <w:rPr>
                <w:rStyle w:val="Siuktni"/>
                <w:rFonts w:asciiTheme="majorHAnsi" w:hAnsiTheme="majorHAnsi" w:cstheme="majorHAnsi"/>
                <w:noProof/>
                <w:sz w:val="24"/>
                <w:szCs w:val="24"/>
              </w:rPr>
              <w:t xml:space="preserve">5.1. Kiểm tra bản ghi trùng lặp</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_Toc900000314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15</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5" w:history="1">
            <w:r>
              <w:rPr>
                <w:rStyle w:val="Siuktni"/>
                <w:rFonts w:asciiTheme="majorHAnsi" w:hAnsiTheme="majorHAnsi" w:cstheme="majorHAnsi"/>
                <w:noProof/>
                <w:sz w:val="24"/>
                <w:szCs w:val="24"/>
              </w:rPr>
              <w:t xml:space="preserve">5.2. Giá trị thiếu</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_Toc900000315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16</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6" w:history="1">
            <w:r>
              <w:rPr>
                <w:rStyle w:val="Siuktni"/>
                <w:rFonts w:asciiTheme="majorHAnsi" w:hAnsiTheme="majorHAnsi" w:cstheme="majorHAnsi"/>
                <w:noProof/>
                <w:sz w:val="24"/>
                <w:szCs w:val="24"/>
              </w:rPr>
              <w:t xml:space="preserve">5.3. Phát hiện ngoại lệ bằng boxplot và IQR</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_Toc900000316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17</w:t>
            </w:r>
            <w:r>
              <w:rPr>
                <w:rFonts w:asciiTheme="majorHAnsi" w:hAnsiTheme="majorHAnsi" w:cstheme="majorHAnsi"/>
                <w:noProof/>
                <w:webHidden/>
                <w:sz w:val="24"/>
                <w:szCs w:val="24"/>
              </w:rPr>
              <w:fldChar w:fldCharType="end"/>
            </w:r>
          </w:hyperlink>
        </w:p>
        <w:p>
          <w:pPr>
            <w:pStyle w:val="Mucluc2"/>
            <w:tabs>
              <w:tab w:val="right" w:leader="dot" w:pos="9345"/>
            </w:tabs>
            <w:rPr>
              <w:noProof/>
            </w:rPr>
          </w:pPr>
          <w:hyperlink w:anchor="_Toc900000317" w:history="1">
            <w:r>
              <w:rPr>
                <w:rStyle w:val="Siuktni"/>
                <w:rFonts w:asciiTheme="majorHAnsi" w:hAnsiTheme="majorHAnsi" w:cstheme="majorHAnsi"/>
                <w:noProof/>
                <w:sz w:val="24"/>
                <w:szCs w:val="24"/>
              </w:rPr>
              <w:t xml:space="preserve">5.4. Mẫu bất thường: GrLivArea lớn nhưng SalePrice thấp</w:t>
            </w:r>
            <w:r>
              <w:rPr>
                <w:rFonts w:asciiTheme="majorHAnsi" w:hAnsiTheme="majorHAnsi" w:cstheme="majorHAnsi"/>
                <w:noProof/>
                <w:webHidden/>
                <w:sz w:val="24"/>
                <w:szCs w:val="24"/>
              </w:rPr>
              <w:tab/>
            </w:r>
            <w:r>
              <w:rPr>
                <w:rFonts w:asciiTheme="majorHAnsi" w:hAnsiTheme="majorHAnsi" w:cstheme="majorHAnsi"/>
                <w:noProof/>
                <w:webHidden/>
                <w:sz w:val="24"/>
                <w:szCs w:val="24"/>
              </w:rPr>
              <w:fldChar w:fldCharType="begin"/>
            </w:r>
            <w:r>
              <w:rPr>
                <w:rFonts w:asciiTheme="majorHAnsi" w:hAnsiTheme="majorHAnsi" w:cstheme="majorHAnsi"/>
                <w:noProof/>
                <w:webHidden/>
                <w:sz w:val="24"/>
                <w:szCs w:val="24"/>
              </w:rPr>
              <w:instrText xml:space="preserve"> PAGEREF _Toc900000317 \h </w:instrText>
            </w:r>
            <w:r>
              <w:rPr>
                <w:rFonts w:asciiTheme="majorHAnsi" w:hAnsiTheme="majorHAnsi" w:cstheme="majorHAnsi"/>
                <w:noProof/>
                <w:webHidden/>
                <w:sz w:val="24"/>
                <w:szCs w:val="24"/>
              </w:rPr>
              <w:fldChar w:fldCharType="separate"/>
            </w:r>
            <w:r>
              <w:rPr>
                <w:rFonts w:asciiTheme="majorHAnsi" w:hAnsiTheme="majorHAnsi" w:cstheme="majorHAnsi"/>
                <w:noProof/>
                <w:webHidden/>
                <w:sz w:val="24"/>
                <w:szCs w:val="24"/>
              </w:rPr>
              <w:t>18</w:t>
            </w:r>
            <w:r>
              <w:rPr>
                <w:rFonts w:asciiTheme="majorHAnsi" w:hAnsiTheme="majorHAnsi" w:cstheme="majorHAnsi"/>
                <w:noProof/>
                <w:webHidden/>
                <w:sz w:val="24"/>
                <w:szCs w:val="24"/>
              </w:rPr>
              <w:fldChar w:fldCharType="end"/>
            </w:r>
          </w:hyperlink>
        </w:p>
        <w:p>
          <w:pPr>
            <w:pStyle w:val="Mucluc1"/>
            <w:tabs>
              <w:tab w:val="right" w:leader="dot" w:pos="9345"/>
            </w:tabs>
            <w:rPr>
              <w:noProof/>
            </w:rPr>
          </w:pPr>
          <w:hyperlink w:anchor="_Toc241153239" w:history="1">
            <w:r>
              <w:rPr>
                <w:rStyle w:val="Siuktni"/>
                <w:rFonts w:asciiTheme="majorHAnsi" w:hAnsiTheme="majorHAnsi" w:cstheme="majorHAnsi"/>
                <w:noProof/>
                <w:sz w:val="26"/>
                <w:szCs w:val="26"/>
              </w:rPr>
              <w:t xml:space="preserve">6. Kết luận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_Toc241153239 \h </w:instrText>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19</w:t>
            </w:r>
            <w:r>
              <w:rPr>
                <w:rFonts w:asciiTheme="majorHAnsi" w:hAnsiTheme="majorHAnsi" w:cstheme="majorHAnsi"/>
                <w:noProof/>
                <w:webHidden/>
                <w:sz w:val="26"/>
                <w:szCs w:val="26"/>
              </w:rPr>
              <w:fldChar w:fldCharType="end"/>
            </w:r>
          </w:hyperlink>
        </w:p>
        <w:p w14:paraId="5A39BBE3" w14:textId="22468F5F" w:rsidR="004F6E94" w:rsidRPr="000F0F83" w:rsidRDefault="000F0F83">
          <w:r w:rsidRPr="000F0F83">
            <w:rPr>
              <w:b/>
              <w:bCs/>
              <w:sz w:val="26"/>
              <w:szCs w:val="26"/>
            </w:rPr>
            <w:fldChar w:fldCharType="end"/>
          </w:r>
        </w:p>
      </w:sdtContent>
    </w:sdt>
    <w:p w14:paraId="0611DAF6" w14:textId="5D0B4039" w:rsidR="00FC5BC3" w:rsidRPr="00905257" w:rsidRDefault="00905257" w:rsidP="00FC5BC3">
      <w:pPr>
        <w:pStyle w:val="u1"/>
        <w:pageBreakBefore/>
        <w:spacing w:before="300" w:after="150"/>
        <w:rPr>
          <w:rFonts w:asciiTheme="majorHAnsi" w:hAnsiTheme="majorHAnsi" w:cstheme="majorHAnsi"/>
          <w:b/>
          <w:bCs/>
          <w:color w:val="1F3864"/>
        </w:rPr>
      </w:pPr>
      <w:bookmarkStart w:id="0" w:name="_Toc241153234"/>
      <w:r w:rsidRPr="000F0F83">
        <w:rPr>
          <w:rFonts w:asciiTheme="majorHAnsi" w:hAnsiTheme="majorHAnsi" w:cstheme="majorHAnsi"/>
          <w:b/>
          <w:bCs/>
          <w:color w:val="1F3864"/>
        </w:rPr>
        <w:lastRenderedPageBreak/>
        <w:t>1</w:t>
      </w:r>
      <w:r w:rsidR="00FC5BC3" w:rsidRPr="00905257">
        <w:rPr>
          <w:rFonts w:asciiTheme="majorHAnsi" w:hAnsiTheme="majorHAnsi" w:cstheme="majorHAnsi"/>
          <w:b/>
          <w:bCs/>
          <w:color w:val="1F3864"/>
        </w:rPr>
        <w:t>. Khảo sát bài toán</w:t>
      </w:r>
      <w:bookmarkEnd w:id="0"/>
    </w:p>
    <w:p w14:paraId="7609C516"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Dữ liệu sử dụng trong đồ án là bộ dữ liệu Ames Housing, được giới thiệu bởi De Cock (2011) trong bài báo 'Ames, Iowa: Alternative to the Boston Housing Data as an End of Semester Regression Project' (Journal of Statistics Education, 19(3)). Bộ dữ liệu được đề xuất như một phương án thay thế cho Boston Housing trong giảng dạy thống kê và hồi quy.</w:t>
      </w:r>
    </w:p>
    <w:p w14:paraId="6FDAE642"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Bộ dữ liệu mô tả các giao dịch mua bán nhà ở riêng lẻ tại thành phố Ames, bang Iowa, Hoa Kỳ, trong giai đoạn 2006-2010, được cung cấp từ Văn phòng Đánh giá thuế của thành phố (City Assessor’s Office).</w:t>
      </w:r>
    </w:p>
    <w:p w14:paraId="3BC06930"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Phiên bản dữ liệu được sử dụng trong đồ án là bộ dữ liệu trên Kaggle với tên cuộc thi 'House Prices - Advanced Regression Techniques', gồm hai tập train.csv và test.csv. Tập train có 1460 quan sát và 81 cột, trong đó có biến mục tiêu SalePrice; tập test có 1459 quan sát và không có SalePrice. Vì đồ án tập trung vào EDA nên nhóm sử dụng tập train để khảo sát và phân tích.</w:t>
      </w:r>
    </w:p>
    <w:p>
      <w:pPr>
        <w:spacing w:before="0" w:after="120"/>
      </w:pPr>
      <w:r>
        <w:rPr>
          <w:rFonts w:asciiTheme="majorHAnsi" w:hAnsiTheme="majorHAnsi" w:cstheme="majorHAnsi"/>
          <w:sz w:val="26"/>
          <w:szCs w:val="26"/>
        </w:rPr>
        <w:t xml:space="preserve">Theo paper của De Cock, bộ dữ liệu Ames gốc gồm 2930 quan sát và 82 thuộc tính, còn phiên bản trên Kaggle được chia thành tập train (1460 dòng, có sẵn SalePrice) và tập test (1459 dòng, ẩn SalePrice) như trong Bảng 1. Các thuộc tính mô tả gần như mọi khía cạnh của ngôi nhà như diện tích, chất lượng, năm xây, vị trí và tiện ích.</w:t>
      </w:r>
    </w:p>
    <w:p>
      <w:pPr>
        <w:keepNext/>
        <w:spacing w:before="160" w:after="80"/>
        <w:jc w:val="center"/>
      </w:pPr>
      <w:r>
        <w:rPr>
          <w:rFonts w:asciiTheme="majorHAnsi" w:hAnsiTheme="majorHAnsi" w:cstheme="majorHAnsi"/>
          <w:i/>
          <w:iCs/>
          <w:sz w:val="22"/>
          <w:szCs w:val="22"/>
        </w:rPr>
        <w:t xml:space="preserve">Bảng 1. Các phiên bản của bộ dữ liệu Ames Housing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2900"/>
        <w:gridCol w:w="1500"/>
        <w:gridCol w:w="1100"/>
        <w:gridCol w:w="3800"/>
      </w:tblGrid>
      <w:tr>
        <w:trPr>
          <w:cantSplit/>
          <w:tblHeader/>
        </w:trPr>
        <w:tc>
          <w:tcPr>
            <w:tcW w:w="2900" w:type="dxa"/>
            <w:shd w:val="clear" w:color="auto" w:fill="D9E2F3"/>
            <w:vAlign w:val="center"/>
          </w:tcPr>
          <w:p>
            <w:pPr>
              <w:keepNext/>
              <w:spacing w:before="0" w:after="0"/>
              <w:jc w:val="center"/>
            </w:pPr>
            <w:r>
              <w:rPr>
                <w:rFonts w:asciiTheme="majorHAnsi" w:hAnsiTheme="majorHAnsi" w:cstheme="majorHAnsi"/>
                <w:b/>
                <w:bCs/>
                <w:sz w:val="22"/>
                <w:szCs w:val="22"/>
              </w:rPr>
              <w:t xml:space="preserve">Nguồn dữ liệu</w:t>
            </w:r>
          </w:p>
        </w:tc>
        <w:tc>
          <w:tcPr>
            <w:tcW w:w="1500" w:type="dxa"/>
            <w:shd w:val="clear" w:color="auto" w:fill="D9E2F3"/>
            <w:vAlign w:val="center"/>
          </w:tcPr>
          <w:p>
            <w:pPr>
              <w:keepNext/>
              <w:spacing w:before="0" w:after="0"/>
              <w:jc w:val="center"/>
            </w:pPr>
            <w:r>
              <w:rPr>
                <w:rFonts w:asciiTheme="majorHAnsi" w:hAnsiTheme="majorHAnsi" w:cstheme="majorHAnsi"/>
                <w:b/>
                <w:bCs/>
                <w:sz w:val="22"/>
                <w:szCs w:val="22"/>
              </w:rPr>
              <w:t xml:space="preserve">Số quan sát</w:t>
            </w:r>
          </w:p>
        </w:tc>
        <w:tc>
          <w:tcPr>
            <w:tcW w:w="1100" w:type="dxa"/>
            <w:shd w:val="clear" w:color="auto" w:fill="D9E2F3"/>
            <w:vAlign w:val="center"/>
          </w:tcPr>
          <w:p>
            <w:pPr>
              <w:keepNext/>
              <w:spacing w:before="0" w:after="0"/>
              <w:jc w:val="center"/>
            </w:pPr>
            <w:r>
              <w:rPr>
                <w:rFonts w:asciiTheme="majorHAnsi" w:hAnsiTheme="majorHAnsi" w:cstheme="majorHAnsi"/>
                <w:b/>
                <w:bCs/>
                <w:sz w:val="22"/>
                <w:szCs w:val="22"/>
              </w:rPr>
              <w:t xml:space="preserve">Số cột</w:t>
            </w:r>
          </w:p>
        </w:tc>
        <w:tc>
          <w:tcPr>
            <w:tcW w:w="3800" w:type="dxa"/>
            <w:shd w:val="clear" w:color="auto" w:fill="D9E2F3"/>
            <w:vAlign w:val="center"/>
          </w:tcPr>
          <w:p>
            <w:pPr>
              <w:keepNext/>
              <w:spacing w:before="0" w:after="0"/>
              <w:jc w:val="center"/>
            </w:pPr>
            <w:r>
              <w:rPr>
                <w:rFonts w:asciiTheme="majorHAnsi" w:hAnsiTheme="majorHAnsi" w:cstheme="majorHAnsi"/>
                <w:b/>
                <w:bCs/>
                <w:sz w:val="22"/>
                <w:szCs w:val="22"/>
              </w:rPr>
              <w:t xml:space="preserve">Ghi chú</w:t>
            </w:r>
          </w:p>
        </w:tc>
      </w:tr>
      <w:tr>
        <w:trPr>
          <w:cantSplit/>
        </w:trPr>
        <w:tc>
          <w:tcPr>
            <w:tcW w:w="2900" w:type="dxa"/>
            <w:vAlign w:val="center"/>
          </w:tcPr>
          <w:p>
            <w:pPr>
              <w:keepNext/>
              <w:spacing w:before="0" w:after="0"/>
              <w:jc w:val="left"/>
            </w:pPr>
            <w:r>
              <w:rPr>
                <w:rFonts w:asciiTheme="majorHAnsi" w:hAnsiTheme="majorHAnsi" w:cstheme="majorHAnsi"/>
                <w:sz w:val="22"/>
                <w:szCs w:val="22"/>
              </w:rPr>
              <w:t xml:space="preserve">Ames đầy đủ (De Cock, 2011)</w:t>
            </w:r>
          </w:p>
        </w:tc>
        <w:tc>
          <w:tcPr>
            <w:tcW w:w="1500" w:type="dxa"/>
            <w:vAlign w:val="center"/>
          </w:tcPr>
          <w:p>
            <w:pPr>
              <w:keepNext/>
              <w:spacing w:before="0" w:after="0"/>
              <w:jc w:val="center"/>
            </w:pPr>
            <w:r>
              <w:rPr>
                <w:rFonts w:asciiTheme="majorHAnsi" w:hAnsiTheme="majorHAnsi" w:cstheme="majorHAnsi"/>
                <w:sz w:val="22"/>
                <w:szCs w:val="22"/>
              </w:rPr>
              <w:t xml:space="preserve">2930</w:t>
            </w:r>
          </w:p>
        </w:tc>
        <w:tc>
          <w:tcPr>
            <w:tcW w:w="1100" w:type="dxa"/>
            <w:vAlign w:val="center"/>
          </w:tcPr>
          <w:p>
            <w:pPr>
              <w:keepNext/>
              <w:spacing w:before="0" w:after="0"/>
              <w:jc w:val="center"/>
            </w:pPr>
            <w:r>
              <w:rPr>
                <w:rFonts w:asciiTheme="majorHAnsi" w:hAnsiTheme="majorHAnsi" w:cstheme="majorHAnsi"/>
                <w:sz w:val="22"/>
                <w:szCs w:val="22"/>
              </w:rPr>
              <w:t xml:space="preserve">82</w:t>
            </w:r>
          </w:p>
        </w:tc>
        <w:tc>
          <w:tcPr>
            <w:tcW w:w="3800" w:type="dxa"/>
            <w:vAlign w:val="center"/>
          </w:tcPr>
          <w:p>
            <w:pPr>
              <w:keepNext/>
              <w:spacing w:before="0" w:after="0"/>
              <w:jc w:val="left"/>
            </w:pPr>
            <w:r>
              <w:rPr>
                <w:rFonts w:asciiTheme="majorHAnsi" w:hAnsiTheme="majorHAnsi" w:cstheme="majorHAnsi"/>
                <w:sz w:val="22"/>
                <w:szCs w:val="22"/>
              </w:rPr>
              <w:t xml:space="preserve">Bộ dữ liệu gốc trong paper</w:t>
            </w:r>
          </w:p>
        </w:tc>
      </w:tr>
      <w:tr>
        <w:trPr>
          <w:cantSplit/>
        </w:trPr>
        <w:tc>
          <w:tcPr>
            <w:tcW w:w="2900" w:type="dxa"/>
            <w:vAlign w:val="center"/>
          </w:tcPr>
          <w:p>
            <w:pPr>
              <w:keepNext/>
              <w:spacing w:before="0" w:after="0"/>
              <w:jc w:val="left"/>
            </w:pPr>
            <w:r>
              <w:rPr>
                <w:rFonts w:asciiTheme="majorHAnsi" w:hAnsiTheme="majorHAnsi" w:cstheme="majorHAnsi"/>
                <w:sz w:val="22"/>
                <w:szCs w:val="22"/>
              </w:rPr>
              <w:t xml:space="preserve">Kaggle - train.csv</w:t>
            </w:r>
          </w:p>
        </w:tc>
        <w:tc>
          <w:tcPr>
            <w:tcW w:w="1500" w:type="dxa"/>
            <w:vAlign w:val="center"/>
          </w:tcPr>
          <w:p>
            <w:pPr>
              <w:keepNext/>
              <w:spacing w:before="0" w:after="0"/>
              <w:jc w:val="center"/>
            </w:pPr>
            <w:r>
              <w:rPr>
                <w:rFonts w:asciiTheme="majorHAnsi" w:hAnsiTheme="majorHAnsi" w:cstheme="majorHAnsi"/>
                <w:sz w:val="22"/>
                <w:szCs w:val="22"/>
              </w:rPr>
              <w:t xml:space="preserve">1460</w:t>
            </w:r>
          </w:p>
        </w:tc>
        <w:tc>
          <w:tcPr>
            <w:tcW w:w="1100" w:type="dxa"/>
            <w:vAlign w:val="center"/>
          </w:tcPr>
          <w:p>
            <w:pPr>
              <w:keepNext/>
              <w:spacing w:before="0" w:after="0"/>
              <w:jc w:val="center"/>
            </w:pPr>
            <w:r>
              <w:rPr>
                <w:rFonts w:asciiTheme="majorHAnsi" w:hAnsiTheme="majorHAnsi" w:cstheme="majorHAnsi"/>
                <w:sz w:val="22"/>
                <w:szCs w:val="22"/>
              </w:rPr>
              <w:t xml:space="preserve">81</w:t>
            </w:r>
          </w:p>
        </w:tc>
        <w:tc>
          <w:tcPr>
            <w:tcW w:w="3800" w:type="dxa"/>
            <w:vAlign w:val="center"/>
          </w:tcPr>
          <w:p>
            <w:pPr>
              <w:keepNext/>
              <w:spacing w:before="0" w:after="0"/>
              <w:jc w:val="left"/>
            </w:pPr>
            <w:r>
              <w:rPr>
                <w:rFonts w:asciiTheme="majorHAnsi" w:hAnsiTheme="majorHAnsi" w:cstheme="majorHAnsi"/>
                <w:sz w:val="22"/>
                <w:szCs w:val="22"/>
              </w:rPr>
              <w:t xml:space="preserve">Có biến mục tiêu SalePrice, dùng cho EDA</w:t>
            </w:r>
          </w:p>
        </w:tc>
      </w:tr>
      <w:tr>
        <w:trPr>
          <w:cantSplit/>
        </w:trPr>
        <w:tc>
          <w:tcPr>
            <w:tcW w:w="2900" w:type="dxa"/>
            <w:vAlign w:val="center"/>
          </w:tcPr>
          <w:p>
            <w:pPr>
              <w:spacing w:before="0" w:after="0"/>
              <w:jc w:val="left"/>
            </w:pPr>
            <w:r>
              <w:rPr>
                <w:rFonts w:asciiTheme="majorHAnsi" w:hAnsiTheme="majorHAnsi" w:cstheme="majorHAnsi"/>
                <w:sz w:val="22"/>
                <w:szCs w:val="22"/>
              </w:rPr>
              <w:t xml:space="preserve">Kaggle - test.csv</w:t>
            </w:r>
          </w:p>
        </w:tc>
        <w:tc>
          <w:tcPr>
            <w:tcW w:w="1500" w:type="dxa"/>
            <w:vAlign w:val="center"/>
          </w:tcPr>
          <w:p>
            <w:pPr>
              <w:spacing w:before="0" w:after="0"/>
              <w:jc w:val="center"/>
            </w:pPr>
            <w:r>
              <w:rPr>
                <w:rFonts w:asciiTheme="majorHAnsi" w:hAnsiTheme="majorHAnsi" w:cstheme="majorHAnsi"/>
                <w:sz w:val="22"/>
                <w:szCs w:val="22"/>
              </w:rPr>
              <w:t xml:space="preserve">1459</w:t>
            </w:r>
          </w:p>
        </w:tc>
        <w:tc>
          <w:tcPr>
            <w:tcW w:w="1100" w:type="dxa"/>
            <w:vAlign w:val="center"/>
          </w:tcPr>
          <w:p>
            <w:pPr>
              <w:spacing w:before="0" w:after="0"/>
              <w:jc w:val="center"/>
            </w:pPr>
            <w:r>
              <w:rPr>
                <w:rFonts w:asciiTheme="majorHAnsi" w:hAnsiTheme="majorHAnsi" w:cstheme="majorHAnsi"/>
                <w:sz w:val="22"/>
                <w:szCs w:val="22"/>
              </w:rPr>
              <w:t xml:space="preserve">-</w:t>
            </w:r>
          </w:p>
        </w:tc>
        <w:tc>
          <w:tcPr>
            <w:tcW w:w="3800" w:type="dxa"/>
            <w:vAlign w:val="center"/>
          </w:tcPr>
          <w:p>
            <w:pPr>
              <w:spacing w:before="0" w:after="0"/>
              <w:jc w:val="left"/>
            </w:pPr>
            <w:r>
              <w:rPr>
                <w:rFonts w:asciiTheme="majorHAnsi" w:hAnsiTheme="majorHAnsi" w:cstheme="majorHAnsi"/>
                <w:sz w:val="22"/>
                <w:szCs w:val="22"/>
              </w:rPr>
              <w:t xml:space="preserve">Không có SalePrice</w:t>
            </w:r>
          </w:p>
        </w:tc>
      </w:tr>
    </w:tbl>
    <w:p>
      <w:pPr>
        <w:spacing w:before="0" w:after="60"/>
      </w:pPr>
    </w:p>
    <w:p>
      <w:pPr>
        <w:spacing w:before="0" w:after="120"/>
      </w:pPr>
      <w:r>
        <w:rPr>
          <w:rFonts w:asciiTheme="majorHAnsi" w:hAnsiTheme="majorHAnsi" w:cstheme="majorHAnsi"/>
          <w:sz w:val="26"/>
          <w:szCs w:val="26"/>
        </w:rPr>
        <w:t xml:space="preserve">Bộ dữ liệu phù hợp cho bước EDA vì có cả biến số và biến phân loại, có giá trị thiếu xuất hiện một cách tự nhiên và có một số mẫu bất thường đã được chính tác giả paper lưu ý.</w:t>
      </w:r>
    </w:p>
    <w:p w14:paraId="5F902FFA"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Bài toán đặt ra là bài toán hồi quy (regression), tức là dự đoán giá bán nhà SalePrice dựa trên các đặc điểm của ngôi nhà. Trong phạm vi đồ án này, nhóm chưa đi sâu vào xây dựng mô hình dự đoán mà tập trung vào bước phân tích khám phá dữ liệu (EDA). Mục đích của bước này là hiểu dữ liệu, xem dữ liệu có vấn đề gì và tìm ra những đặc điểm có liên quan đến giá nhà trước khi xây dựng mô hình ở các bước tiếp theo.</w:t>
      </w:r>
    </w:p>
    <w:p w14:paraId="398D65FC"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t>Sau khi xác định đây là bài toán hồi quy, nhóm nhận thấy biến cần dự đoán là SalePrice, còn các thuộc tính của căn nhà đóng vai trò là biến đầu vào. Vì vậy, trước khi xây dựng mô hình, việc kiểm tra dữ liệu là cần thiết để biết biến nào là số, biến nào là phân loại và dữ liệu có vấn đề gì hay không.</w:t>
      </w:r>
    </w:p>
    <w:p>
      <w:pPr>
        <w:spacing w:before="0" w:after="120"/>
      </w:pPr>
      <w:r>
        <w:rPr>
          <w:rFonts w:asciiTheme="majorHAnsi" w:hAnsiTheme="majorHAnsi" w:cstheme="majorHAnsi"/>
          <w:sz w:val="26"/>
          <w:szCs w:val="26"/>
        </w:rPr>
        <w:t xml:space="preserve">Phần còn lại của báo cáo được trình bày theo thứ tự: tổng quan tính chất dữ liệu (mục 2), phân tích đơn biến (mục 3), phân tích đa biến (mục 4), giá trị thiếu, mẫu bất thường và ngoại lệ (mục 5), cuối cùng là kết luận (mục 6). Các biểu đồ và bảng số liệu trong báo cáo được tạo từ các notebook phân tích của nhóm.</w:t>
      </w:r>
    </w:p>
    <w:p w14:paraId="008E3810" w14:textId="52D7CB9E" w:rsidR="00FC5BC3" w:rsidRPr="00905257" w:rsidRDefault="00905257" w:rsidP="00FC5BC3">
      <w:pPr>
        <w:pStyle w:val="u1"/>
        <w:keepNext/>
        <w:spacing w:before="300" w:after="150"/>
        <w:rPr>
          <w:rFonts w:asciiTheme="majorHAnsi" w:hAnsiTheme="majorHAnsi" w:cstheme="majorHAnsi"/>
          <w:b/>
          <w:bCs/>
          <w:color w:val="1F3864"/>
        </w:rPr>
      </w:pPr>
      <w:bookmarkStart w:id="1" w:name="_Toc241153235"/>
      <w:r>
        <w:rPr>
          <w:rFonts w:asciiTheme="majorHAnsi" w:hAnsiTheme="majorHAnsi" w:cstheme="majorHAnsi"/>
          <w:b/>
          <w:bCs/>
          <w:color w:val="1F3864"/>
          <w:lang w:val="en-US"/>
        </w:rPr>
        <w:t>2</w:t>
      </w:r>
      <w:r w:rsidR="00FC5BC3" w:rsidRPr="00905257">
        <w:rPr>
          <w:rFonts w:asciiTheme="majorHAnsi" w:hAnsiTheme="majorHAnsi" w:cstheme="majorHAnsi"/>
          <w:b/>
          <w:bCs/>
          <w:color w:val="1F3864"/>
        </w:rPr>
        <w:t>. Tổng quan dữ liệu (Data Summary)</w:t>
      </w:r>
      <w:bookmarkEnd w:id="1"/>
    </w:p>
    <w:p w14:paraId="6B09642C"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Tập dữ liệu train gồm 1460 dòng và 81 cột. Trong đó có thể nhìn dữ liệu theo hai cách: theo kiểu dữ liệu mà Python đọc và theo ý nghĩa của từng biến.</w:t>
      </w:r>
    </w:p>
    <w:p w14:paraId="6254EC30"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38 biến dạng số (numeric): gồm các biến định lượng như diện tích, số lượng phòng, giá bán và một số biến được lưu dưới dạng số nhưng có bản chất là biến thứ bậc hoặc mã nhóm. Ví dụ như OverallQual là mức chất lượng được chấm theo thang điểm, còn MSSubClass là mã phân loại của kiểu nhà.</w:t>
      </w:r>
    </w:p>
    <w:p w14:paraId="6EF5CAB8"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43 biến dạng phân loại (categorical): mô tả các đặc điểm theo từng nhóm như vị trí, kiểu nhà, vật liệu, chất lượng và những đặc điểm khác của ngôi nhà. Các biến này cần được xem xét riêng vì giá trị của chúng không phải lúc nào cũng có ý nghĩa tính toán trực tiếp như biến số.</w:t>
      </w:r>
    </w:p>
    <w:p w14:paraId="666EFA84"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Không có bản ghi trùng lặp trong tập train khi kiểm tra toàn bộ dòng. Cột Id cũng không bị trùng và được dùng như mã nhận diện cho từng giao dịch. Trong quá trình EDA, Id chủ yếu dùng để nhận diện quan sát chứ không phải là biến có ý nghĩa trực tiếp đối với giá bán.</w:t>
      </w:r>
    </w:p>
    <w:p>
      <w:pPr>
        <w:pStyle w:val="u2"/>
        <w:keepNext/>
        <w:spacing w:before="200" w:after="100"/>
      </w:pPr>
      <w:bookmarkStart w:id="301" w:name="_Toc900000301"/>
      <w:r>
        <w:rPr>
          <w:rFonts w:asciiTheme="majorHAnsi" w:hAnsiTheme="majorHAnsi" w:cstheme="majorHAnsi"/>
          <w:color w:val="2E74B5"/>
          <w:sz w:val="26"/>
          <w:szCs w:val="26"/>
        </w:rPr>
        <w:t xml:space="preserve">2.1. Kiểu dữ liệu mà Python đọc được</w:t>
      </w:r>
      <w:bookmarkEnd w:id="301"/>
    </w:p>
    <w:p>
      <w:pPr>
        <w:spacing w:before="0" w:after="120"/>
      </w:pPr>
      <w:r>
        <w:rPr>
          <w:rFonts w:asciiTheme="majorHAnsi" w:hAnsiTheme="majorHAnsi" w:cstheme="majorHAnsi"/>
          <w:sz w:val="26"/>
          <w:szCs w:val="26"/>
        </w:rPr>
        <w:t xml:space="preserve">Khi đọc train.csv bằng pandas, có 35 cột kiểu int64, 3 cột kiểu float64 và 43 cột kiểu chuỗi. Gộp int64 và float64 thì có 38 cột được xem là biến số, còn 43 cột kiểu chuỗi là biến phân loại (Bảng 2).</w:t>
      </w:r>
    </w:p>
    <w:p>
      <w:pPr>
        <w:keepNext/>
        <w:spacing w:before="160" w:after="80"/>
        <w:jc w:val="center"/>
      </w:pPr>
      <w:r>
        <w:rPr>
          <w:rFonts w:asciiTheme="majorHAnsi" w:hAnsiTheme="majorHAnsi" w:cstheme="majorHAnsi"/>
          <w:i/>
          <w:iCs/>
          <w:sz w:val="22"/>
          <w:szCs w:val="22"/>
        </w:rPr>
        <w:t xml:space="preserve">Bảng 2. Số cột theo kiểu dữ liệu trong pandas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2600"/>
        <w:gridCol w:w="1600"/>
        <w:gridCol w:w="5000"/>
      </w:tblGrid>
      <w:tr>
        <w:trPr>
          <w:cantSplit/>
          <w:tblHeader/>
        </w:trPr>
        <w:tc>
          <w:tcPr>
            <w:tcW w:w="2600" w:type="dxa"/>
            <w:shd w:val="clear" w:color="auto" w:fill="D9E2F3"/>
            <w:vAlign w:val="center"/>
          </w:tcPr>
          <w:p>
            <w:pPr>
              <w:keepNext/>
              <w:spacing w:before="0" w:after="0"/>
              <w:jc w:val="center"/>
            </w:pPr>
            <w:r>
              <w:rPr>
                <w:rFonts w:asciiTheme="majorHAnsi" w:hAnsiTheme="majorHAnsi" w:cstheme="majorHAnsi"/>
                <w:b/>
                <w:bCs/>
                <w:sz w:val="22"/>
                <w:szCs w:val="22"/>
              </w:rPr>
              <w:t xml:space="preserve">Kiểu dữ liệu</w:t>
            </w:r>
          </w:p>
        </w:tc>
        <w:tc>
          <w:tcPr>
            <w:tcW w:w="1600" w:type="dxa"/>
            <w:shd w:val="clear" w:color="auto" w:fill="D9E2F3"/>
            <w:vAlign w:val="center"/>
          </w:tcPr>
          <w:p>
            <w:pPr>
              <w:keepNext/>
              <w:spacing w:before="0" w:after="0"/>
              <w:jc w:val="center"/>
            </w:pPr>
            <w:r>
              <w:rPr>
                <w:rFonts w:asciiTheme="majorHAnsi" w:hAnsiTheme="majorHAnsi" w:cstheme="majorHAnsi"/>
                <w:b/>
                <w:bCs/>
                <w:sz w:val="22"/>
                <w:szCs w:val="22"/>
              </w:rPr>
              <w:t xml:space="preserve">Số cột</w:t>
            </w:r>
          </w:p>
        </w:tc>
        <w:tc>
          <w:tcPr>
            <w:tcW w:w="5000" w:type="dxa"/>
            <w:shd w:val="clear" w:color="auto" w:fill="D9E2F3"/>
            <w:vAlign w:val="center"/>
          </w:tcPr>
          <w:p>
            <w:pPr>
              <w:keepNext/>
              <w:spacing w:before="0" w:after="0"/>
              <w:jc w:val="center"/>
            </w:pPr>
            <w:r>
              <w:rPr>
                <w:rFonts w:asciiTheme="majorHAnsi" w:hAnsiTheme="majorHAnsi" w:cstheme="majorHAnsi"/>
                <w:b/>
                <w:bCs/>
                <w:sz w:val="22"/>
                <w:szCs w:val="22"/>
              </w:rPr>
              <w:t xml:space="preserve">Nhóm biến</w:t>
            </w:r>
          </w:p>
        </w:tc>
      </w:tr>
      <w:tr>
        <w:trPr>
          <w:cantSplit/>
        </w:trPr>
        <w:tc>
          <w:tcPr>
            <w:tcW w:w="2600" w:type="dxa"/>
            <w:vAlign w:val="center"/>
          </w:tcPr>
          <w:p>
            <w:pPr>
              <w:keepNext/>
              <w:spacing w:before="0" w:after="0"/>
              <w:jc w:val="left"/>
            </w:pPr>
            <w:r>
              <w:rPr>
                <w:rFonts w:asciiTheme="majorHAnsi" w:hAnsiTheme="majorHAnsi" w:cstheme="majorHAnsi"/>
                <w:sz w:val="22"/>
                <w:szCs w:val="22"/>
              </w:rPr>
              <w:t xml:space="preserve">int64</w:t>
            </w:r>
          </w:p>
        </w:tc>
        <w:tc>
          <w:tcPr>
            <w:tcW w:w="1600" w:type="dxa"/>
            <w:vAlign w:val="center"/>
          </w:tcPr>
          <w:p>
            <w:pPr>
              <w:keepNext/>
              <w:spacing w:before="0" w:after="0"/>
              <w:jc w:val="center"/>
            </w:pPr>
            <w:r>
              <w:rPr>
                <w:rFonts w:asciiTheme="majorHAnsi" w:hAnsiTheme="majorHAnsi" w:cstheme="majorHAnsi"/>
                <w:sz w:val="22"/>
                <w:szCs w:val="22"/>
              </w:rPr>
              <w:t xml:space="preserve">35</w:t>
            </w:r>
          </w:p>
        </w:tc>
        <w:tc>
          <w:tcPr>
            <w:tcW w:w="5000" w:type="dxa"/>
            <w:vAlign w:val="center"/>
          </w:tcPr>
          <w:p>
            <w:pPr>
              <w:keepNext/>
              <w:spacing w:before="0" w:after="0"/>
              <w:jc w:val="left"/>
            </w:pPr>
            <w:r>
              <w:rPr>
                <w:rFonts w:asciiTheme="majorHAnsi" w:hAnsiTheme="majorHAnsi" w:cstheme="majorHAnsi"/>
                <w:sz w:val="22"/>
                <w:szCs w:val="22"/>
              </w:rPr>
              <w:t xml:space="preserve">Biến số (numeric)</w:t>
            </w:r>
          </w:p>
        </w:tc>
      </w:tr>
      <w:tr>
        <w:trPr>
          <w:cantSplit/>
        </w:trPr>
        <w:tc>
          <w:tcPr>
            <w:tcW w:w="2600" w:type="dxa"/>
            <w:vAlign w:val="center"/>
          </w:tcPr>
          <w:p>
            <w:pPr>
              <w:keepNext/>
              <w:spacing w:before="0" w:after="0"/>
              <w:jc w:val="left"/>
            </w:pPr>
            <w:r>
              <w:rPr>
                <w:rFonts w:asciiTheme="majorHAnsi" w:hAnsiTheme="majorHAnsi" w:cstheme="majorHAnsi"/>
                <w:sz w:val="22"/>
                <w:szCs w:val="22"/>
              </w:rPr>
              <w:t xml:space="preserve">float64</w:t>
            </w:r>
          </w:p>
        </w:tc>
        <w:tc>
          <w:tcPr>
            <w:tcW w:w="1600" w:type="dxa"/>
            <w:vAlign w:val="center"/>
          </w:tcPr>
          <w:p>
            <w:pPr>
              <w:keepNext/>
              <w:spacing w:before="0" w:after="0"/>
              <w:jc w:val="center"/>
            </w:pPr>
            <w:r>
              <w:rPr>
                <w:rFonts w:asciiTheme="majorHAnsi" w:hAnsiTheme="majorHAnsi" w:cstheme="majorHAnsi"/>
                <w:sz w:val="22"/>
                <w:szCs w:val="22"/>
              </w:rPr>
              <w:t xml:space="preserve">3</w:t>
            </w:r>
          </w:p>
        </w:tc>
        <w:tc>
          <w:tcPr>
            <w:tcW w:w="5000" w:type="dxa"/>
            <w:vAlign w:val="center"/>
          </w:tcPr>
          <w:p>
            <w:pPr>
              <w:keepNext/>
              <w:spacing w:before="0" w:after="0"/>
              <w:jc w:val="left"/>
            </w:pPr>
            <w:r>
              <w:rPr>
                <w:rFonts w:asciiTheme="majorHAnsi" w:hAnsiTheme="majorHAnsi" w:cstheme="majorHAnsi"/>
                <w:sz w:val="22"/>
                <w:szCs w:val="22"/>
              </w:rPr>
              <w:t xml:space="preserve">Biến số (numeric)</w:t>
            </w:r>
          </w:p>
        </w:tc>
      </w:tr>
      <w:tr>
        <w:trPr>
          <w:cantSplit/>
        </w:trPr>
        <w:tc>
          <w:tcPr>
            <w:tcW w:w="2600" w:type="dxa"/>
            <w:vAlign w:val="center"/>
          </w:tcPr>
          <w:p>
            <w:pPr>
              <w:keepNext/>
              <w:spacing w:before="0" w:after="0"/>
              <w:jc w:val="left"/>
            </w:pPr>
            <w:r>
              <w:rPr>
                <w:rFonts w:asciiTheme="majorHAnsi" w:hAnsiTheme="majorHAnsi" w:cstheme="majorHAnsi"/>
                <w:sz w:val="22"/>
                <w:szCs w:val="22"/>
              </w:rPr>
              <w:t xml:space="preserve">str / object</w:t>
            </w:r>
          </w:p>
        </w:tc>
        <w:tc>
          <w:tcPr>
            <w:tcW w:w="1600" w:type="dxa"/>
            <w:vAlign w:val="center"/>
          </w:tcPr>
          <w:p>
            <w:pPr>
              <w:keepNext/>
              <w:spacing w:before="0" w:after="0"/>
              <w:jc w:val="center"/>
            </w:pPr>
            <w:r>
              <w:rPr>
                <w:rFonts w:asciiTheme="majorHAnsi" w:hAnsiTheme="majorHAnsi" w:cstheme="majorHAnsi"/>
                <w:sz w:val="22"/>
                <w:szCs w:val="22"/>
              </w:rPr>
              <w:t xml:space="preserve">43</w:t>
            </w:r>
          </w:p>
        </w:tc>
        <w:tc>
          <w:tcPr>
            <w:tcW w:w="5000" w:type="dxa"/>
            <w:vAlign w:val="center"/>
          </w:tcPr>
          <w:p>
            <w:pPr>
              <w:keepNext/>
              <w:spacing w:before="0" w:after="0"/>
              <w:jc w:val="left"/>
            </w:pPr>
            <w:r>
              <w:rPr>
                <w:rFonts w:asciiTheme="majorHAnsi" w:hAnsiTheme="majorHAnsi" w:cstheme="majorHAnsi"/>
                <w:sz w:val="22"/>
                <w:szCs w:val="22"/>
              </w:rPr>
              <w:t xml:space="preserve">Biến phân loại (categorical)</w:t>
            </w:r>
          </w:p>
        </w:tc>
      </w:tr>
      <w:tr>
        <w:trPr>
          <w:cantSplit/>
        </w:trPr>
        <w:tc>
          <w:tcPr>
            <w:tcW w:w="2600" w:type="dxa"/>
            <w:vAlign w:val="center"/>
          </w:tcPr>
          <w:p>
            <w:pPr>
              <w:spacing w:before="0" w:after="0"/>
              <w:jc w:val="left"/>
            </w:pPr>
            <w:r>
              <w:rPr>
                <w:rFonts w:asciiTheme="majorHAnsi" w:hAnsiTheme="majorHAnsi" w:cstheme="majorHAnsi"/>
                <w:sz w:val="22"/>
                <w:szCs w:val="22"/>
              </w:rPr>
              <w:t xml:space="preserve">Tổng</w:t>
            </w:r>
          </w:p>
        </w:tc>
        <w:tc>
          <w:tcPr>
            <w:tcW w:w="1600" w:type="dxa"/>
            <w:vAlign w:val="center"/>
          </w:tcPr>
          <w:p>
            <w:pPr>
              <w:spacing w:before="0" w:after="0"/>
              <w:jc w:val="center"/>
            </w:pPr>
            <w:r>
              <w:rPr>
                <w:rFonts w:asciiTheme="majorHAnsi" w:hAnsiTheme="majorHAnsi" w:cstheme="majorHAnsi"/>
                <w:sz w:val="22"/>
                <w:szCs w:val="22"/>
              </w:rPr>
              <w:t xml:space="preserve">81</w:t>
            </w:r>
          </w:p>
        </w:tc>
        <w:tc>
          <w:tcPr>
            <w:tcW w:w="5000" w:type="dxa"/>
            <w:vAlign w:val="center"/>
          </w:tcPr>
          <w:p>
            <w:pPr>
              <w:spacing w:before="0" w:after="0"/>
              <w:jc w:val="left"/>
            </w:pPr>
            <w:r>
              <w:rPr>
                <w:rFonts w:asciiTheme="majorHAnsi" w:hAnsiTheme="majorHAnsi" w:cstheme="majorHAnsi"/>
                <w:sz w:val="22"/>
                <w:szCs w:val="22"/>
              </w:rPr>
              <w:t xml:space="preserve">38 biến số + 43 biến phân loại</w:t>
            </w:r>
          </w:p>
        </w:tc>
      </w:tr>
    </w:tbl>
    <w:p>
      <w:pPr>
        <w:spacing w:before="0" w:after="60"/>
      </w:pPr>
    </w:p>
    <w:p>
      <w:pPr>
        <w:pStyle w:val="u2"/>
        <w:keepNext/>
        <w:spacing w:before="200" w:after="100"/>
      </w:pPr>
      <w:bookmarkStart w:id="302" w:name="_Toc900000302"/>
      <w:r>
        <w:rPr>
          <w:rFonts w:asciiTheme="majorHAnsi" w:hAnsiTheme="majorHAnsi" w:cstheme="majorHAnsi"/>
          <w:color w:val="2E74B5"/>
          <w:sz w:val="26"/>
          <w:szCs w:val="26"/>
        </w:rPr>
        <w:t xml:space="preserve">2.2. Phân biệt kiểu biến theo ý nghĩa</w:t>
      </w:r>
      <w:bookmarkEnd w:id="302"/>
    </w:p>
    <w:p>
      <w:pPr>
        <w:spacing w:before="0" w:after="120"/>
      </w:pPr>
      <w:r>
        <w:rPr>
          <w:rFonts w:asciiTheme="majorHAnsi" w:hAnsiTheme="majorHAnsi" w:cstheme="majorHAnsi"/>
          <w:sz w:val="26"/>
          <w:szCs w:val="26"/>
        </w:rPr>
        <w:t xml:space="preserve">Ngoài kiểu dữ liệu mà Python đọc được, cần nhìn vào ý nghĩa của từng biến. Theo paper của De Cock, bộ dữ liệu Ames gồm các nhóm biến nominal, ordinal, discrete và continuous, nên có những biến được lưu bằng số nhưng không nên hiểu đơn giản là biến định lượng liên tục. Ví dụ, OverallQual là mức đánh giá chất lượng theo thứ tự, còn MSSubClass là mã nhóm nhà; ngược lại GrLivArea, TotalBsmtSF và LotArea là các biến định lượng liên tục (Bảng 3).</w:t>
      </w:r>
    </w:p>
    <w:p>
      <w:pPr>
        <w:keepNext/>
        <w:spacing w:before="160" w:after="80"/>
        <w:jc w:val="center"/>
      </w:pPr>
      <w:r>
        <w:rPr>
          <w:rFonts w:asciiTheme="majorHAnsi" w:hAnsiTheme="majorHAnsi" w:cstheme="majorHAnsi"/>
          <w:i/>
          <w:iCs/>
          <w:sz w:val="22"/>
          <w:szCs w:val="22"/>
        </w:rPr>
        <w:t xml:space="preserve">Bảng 3. Phân nhóm biến theo ý nghĩa dữ liệu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3000"/>
        <w:gridCol w:w="6200"/>
      </w:tblGrid>
      <w:tr>
        <w:trPr>
          <w:cantSplit/>
          <w:tblHeader/>
        </w:trPr>
        <w:tc>
          <w:tcPr>
            <w:tcW w:w="3000" w:type="dxa"/>
            <w:shd w:val="clear" w:color="auto" w:fill="D9E2F3"/>
            <w:vAlign w:val="center"/>
          </w:tcPr>
          <w:p>
            <w:pPr>
              <w:keepNext/>
              <w:spacing w:before="0" w:after="0"/>
              <w:jc w:val="center"/>
            </w:pPr>
            <w:r>
              <w:rPr>
                <w:rFonts w:asciiTheme="majorHAnsi" w:hAnsiTheme="majorHAnsi" w:cstheme="majorHAnsi"/>
                <w:b/>
                <w:bCs/>
                <w:sz w:val="22"/>
                <w:szCs w:val="22"/>
              </w:rPr>
              <w:t xml:space="preserve">Nhóm biến</w:t>
            </w:r>
          </w:p>
        </w:tc>
        <w:tc>
          <w:tcPr>
            <w:tcW w:w="6200" w:type="dxa"/>
            <w:shd w:val="clear" w:color="auto" w:fill="D9E2F3"/>
            <w:vAlign w:val="center"/>
          </w:tcPr>
          <w:p>
            <w:pPr>
              <w:keepNext/>
              <w:spacing w:before="0" w:after="0"/>
              <w:jc w:val="center"/>
            </w:pPr>
            <w:r>
              <w:rPr>
                <w:rFonts w:asciiTheme="majorHAnsi" w:hAnsiTheme="majorHAnsi" w:cstheme="majorHAnsi"/>
                <w:b/>
                <w:bCs/>
                <w:sz w:val="22"/>
                <w:szCs w:val="22"/>
              </w:rPr>
              <w:t xml:space="preserve">Ví dụ</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Định danh</w:t>
            </w:r>
          </w:p>
        </w:tc>
        <w:tc>
          <w:tcPr>
            <w:tcW w:w="6200" w:type="dxa"/>
            <w:vAlign w:val="center"/>
          </w:tcPr>
          <w:p>
            <w:pPr>
              <w:keepNext/>
              <w:spacing w:before="0" w:after="0"/>
              <w:jc w:val="left"/>
            </w:pPr>
            <w:r>
              <w:rPr>
                <w:rFonts w:asciiTheme="majorHAnsi" w:hAnsiTheme="majorHAnsi" w:cstheme="majorHAnsi"/>
                <w:sz w:val="22"/>
                <w:szCs w:val="22"/>
              </w:rPr>
              <w:t xml:space="preserve">Id</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Mục tiêu</w:t>
            </w:r>
          </w:p>
        </w:tc>
        <w:tc>
          <w:tcPr>
            <w:tcW w:w="6200" w:type="dxa"/>
            <w:vAlign w:val="center"/>
          </w:tcPr>
          <w:p>
            <w:pPr>
              <w:keepNext/>
              <w:spacing w:before="0" w:after="0"/>
              <w:jc w:val="left"/>
            </w:pPr>
            <w:r>
              <w:rPr>
                <w:rFonts w:asciiTheme="majorHAnsi" w:hAnsiTheme="majorHAnsi" w:cstheme="majorHAnsi"/>
                <w:sz w:val="22"/>
                <w:szCs w:val="22"/>
              </w:rPr>
              <w:t xml:space="preserve">SalePrice</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Định lượng liên tục</w:t>
            </w:r>
          </w:p>
        </w:tc>
        <w:tc>
          <w:tcPr>
            <w:tcW w:w="6200" w:type="dxa"/>
            <w:vAlign w:val="center"/>
          </w:tcPr>
          <w:p>
            <w:pPr>
              <w:keepNext/>
              <w:spacing w:before="0" w:after="0"/>
              <w:jc w:val="left"/>
            </w:pPr>
            <w:r>
              <w:rPr>
                <w:rFonts w:asciiTheme="majorHAnsi" w:hAnsiTheme="majorHAnsi" w:cstheme="majorHAnsi"/>
                <w:sz w:val="22"/>
                <w:szCs w:val="22"/>
              </w:rPr>
              <w:t xml:space="preserve">GrLivArea, TotalBsmtSF, LotArea</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Định lượng rời rạc</w:t>
            </w:r>
          </w:p>
        </w:tc>
        <w:tc>
          <w:tcPr>
            <w:tcW w:w="6200" w:type="dxa"/>
            <w:vAlign w:val="center"/>
          </w:tcPr>
          <w:p>
            <w:pPr>
              <w:keepNext/>
              <w:spacing w:before="0" w:after="0"/>
              <w:jc w:val="left"/>
            </w:pPr>
            <w:r>
              <w:rPr>
                <w:rFonts w:asciiTheme="majorHAnsi" w:hAnsiTheme="majorHAnsi" w:cstheme="majorHAnsi"/>
                <w:sz w:val="22"/>
                <w:szCs w:val="22"/>
              </w:rPr>
              <w:t xml:space="preserve">BedroomAbvGr, FullBath, GarageCars</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Thứ bậc</w:t>
            </w:r>
          </w:p>
        </w:tc>
        <w:tc>
          <w:tcPr>
            <w:tcW w:w="6200" w:type="dxa"/>
            <w:vAlign w:val="center"/>
          </w:tcPr>
          <w:p>
            <w:pPr>
              <w:keepNext/>
              <w:spacing w:before="0" w:after="0"/>
              <w:jc w:val="left"/>
            </w:pPr>
            <w:r>
              <w:rPr>
                <w:rFonts w:asciiTheme="majorHAnsi" w:hAnsiTheme="majorHAnsi" w:cstheme="majorHAnsi"/>
                <w:sz w:val="22"/>
                <w:szCs w:val="22"/>
              </w:rPr>
              <w:t xml:space="preserve">OverallQual, OverallCond, KitchenQual</w:t>
            </w:r>
          </w:p>
        </w:tc>
      </w:tr>
      <w:tr>
        <w:trPr>
          <w:cantSplit/>
        </w:trPr>
        <w:tc>
          <w:tcPr>
            <w:tcW w:w="3000" w:type="dxa"/>
            <w:vAlign w:val="center"/>
          </w:tcPr>
          <w:p>
            <w:pPr>
              <w:spacing w:before="0" w:after="0"/>
              <w:jc w:val="left"/>
            </w:pPr>
            <w:r>
              <w:rPr>
                <w:rFonts w:asciiTheme="majorHAnsi" w:hAnsiTheme="majorHAnsi" w:cstheme="majorHAnsi"/>
                <w:sz w:val="22"/>
                <w:szCs w:val="22"/>
              </w:rPr>
              <w:t xml:space="preserve">Phân loại</w:t>
            </w:r>
          </w:p>
        </w:tc>
        <w:tc>
          <w:tcPr>
            <w:tcW w:w="6200" w:type="dxa"/>
            <w:vAlign w:val="center"/>
          </w:tcPr>
          <w:p>
            <w:pPr>
              <w:spacing w:before="0" w:after="0"/>
              <w:jc w:val="left"/>
            </w:pPr>
            <w:r>
              <w:rPr>
                <w:rFonts w:asciiTheme="majorHAnsi" w:hAnsiTheme="majorHAnsi" w:cstheme="majorHAnsi"/>
                <w:sz w:val="22"/>
                <w:szCs w:val="22"/>
              </w:rPr>
              <w:t xml:space="preserve">Neighborhood, HouseStyle, SaleCondition</w:t>
            </w:r>
          </w:p>
        </w:tc>
      </w:tr>
    </w:tbl>
    <w:p>
      <w:pPr>
        <w:spacing w:before="0" w:after="60"/>
      </w:pPr>
    </w:p>
    <w:p>
      <w:pPr>
        <w:spacing w:before="0" w:after="120"/>
      </w:pPr>
      <w:r>
        <w:rPr>
          <w:rFonts w:asciiTheme="majorHAnsi" w:hAnsiTheme="majorHAnsi" w:cstheme="majorHAnsi"/>
          <w:sz w:val="26"/>
          <w:szCs w:val="26"/>
        </w:rPr>
        <w:t xml:space="preserve">Ý nghĩa và mã của từng biến được mô tả trong file data_description.txt đi kèm bộ dữ liệu. Chẳng hạn MSSubClass dùng các mã như 20 (1-STORY 1946 &amp; NEWER ALL STYLES) hay 60 (2-STORY 1946 &amp; NEWER), còn MSZoning phân loại quy hoạch khu đất (RL là Residential Low Density, RM là Residential Medium Density,...). Vì vậy khi phân tích cần kết hợp cả kiểu lưu trữ và ý nghĩa của biến để chọn cách xử lý phù hợp.</w:t>
      </w:r>
    </w:p>
    <w:p>
      <w:pPr>
        <w:pStyle w:val="u2"/>
        <w:keepNext/>
        <w:spacing w:before="200" w:after="100"/>
      </w:pPr>
      <w:bookmarkStart w:id="303" w:name="_Toc900000303"/>
      <w:r>
        <w:rPr>
          <w:rFonts w:asciiTheme="majorHAnsi" w:hAnsiTheme="majorHAnsi" w:cstheme="majorHAnsi"/>
          <w:color w:val="2E74B5"/>
          <w:sz w:val="26"/>
          <w:szCs w:val="26"/>
        </w:rPr>
        <w:t xml:space="preserve">2.3. Thống kê mô tả các biến số</w:t>
      </w:r>
      <w:bookmarkEnd w:id="303"/>
    </w:p>
    <w:p>
      <w:pPr>
        <w:spacing w:before="0" w:after="120"/>
      </w:pPr>
      <w:r>
        <w:rPr>
          <w:rFonts w:asciiTheme="majorHAnsi" w:hAnsiTheme="majorHAnsi" w:cstheme="majorHAnsi"/>
          <w:sz w:val="26"/>
          <w:szCs w:val="26"/>
        </w:rPr>
        <w:t xml:space="preserve">Bảng 4 tóm tắt thống kê mô tả của một số biến số đầu tiên trong bộ dữ liệu (không hiển thị Id và MSSubClass vì là mã định danh và mã nhóm). Một vài điểm đáng chú ý: OverallQual có trung bình 6.1 và trung vị 6.0; LotArea có giá trị lớn nhất 215245 sqft trong khi trung vị chỉ 9478.5 sqft, chênh lệch rất lớn và phù hợp với phân phối lệch phải; LotFrontage chỉ có 1201 giá trị trên 1460 dòng do bị thiếu dữ liệu.</w:t>
      </w:r>
    </w:p>
    <w:p>
      <w:pPr>
        <w:keepNext/>
        <w:spacing w:before="160" w:after="80"/>
        <w:jc w:val="center"/>
      </w:pPr>
      <w:r>
        <w:rPr>
          <w:rFonts w:asciiTheme="majorHAnsi" w:hAnsiTheme="majorHAnsi" w:cstheme="majorHAnsi"/>
          <w:i/>
          <w:iCs/>
          <w:sz w:val="22"/>
          <w:szCs w:val="22"/>
        </w:rPr>
        <w:t xml:space="preserve">Bảng 4. Thống kê mô tả một số biến số trong tập train</w:t>
      </w:r>
    </w:p>
    <w:tbl>
      <w:tblPr>
        <w:tblW w:w="9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1700"/>
        <w:gridCol w:w="920"/>
        <w:gridCol w:w="920"/>
        <w:gridCol w:w="920"/>
        <w:gridCol w:w="920"/>
        <w:gridCol w:w="920"/>
        <w:gridCol w:w="920"/>
        <w:gridCol w:w="920"/>
        <w:gridCol w:w="1100"/>
      </w:tblGrid>
      <w:tr>
        <w:trPr>
          <w:cantSplit/>
          <w:tblHeader/>
        </w:trPr>
        <w:tc>
          <w:tcPr>
            <w:tcW w:w="1700" w:type="dxa"/>
            <w:shd w:val="clear" w:color="auto" w:fill="D9E2F3"/>
            <w:vAlign w:val="center"/>
          </w:tcPr>
          <w:p>
            <w:pPr>
              <w:keepNext/>
              <w:spacing w:before="0" w:after="0"/>
              <w:jc w:val="center"/>
            </w:pPr>
            <w:r>
              <w:rPr>
                <w:rFonts w:asciiTheme="majorHAnsi" w:hAnsiTheme="majorHAnsi" w:cstheme="majorHAnsi"/>
                <w:b/>
                <w:bCs/>
                <w:sz w:val="18"/>
                <w:szCs w:val="18"/>
              </w:rPr>
              <w:t xml:space="preserve">Biến</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count</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mean</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std</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min</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25%</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50%</w:t>
            </w:r>
          </w:p>
        </w:tc>
        <w:tc>
          <w:tcPr>
            <w:tcW w:w="920" w:type="dxa"/>
            <w:shd w:val="clear" w:color="auto" w:fill="D9E2F3"/>
            <w:vAlign w:val="center"/>
          </w:tcPr>
          <w:p>
            <w:pPr>
              <w:keepNext/>
              <w:spacing w:before="0" w:after="0"/>
              <w:jc w:val="center"/>
            </w:pPr>
            <w:r>
              <w:rPr>
                <w:rFonts w:asciiTheme="majorHAnsi" w:hAnsiTheme="majorHAnsi" w:cstheme="majorHAnsi"/>
                <w:b/>
                <w:bCs/>
                <w:sz w:val="18"/>
                <w:szCs w:val="18"/>
              </w:rPr>
              <w:t xml:space="preserve">75%</w:t>
            </w:r>
          </w:p>
        </w:tc>
        <w:tc>
          <w:tcPr>
            <w:tcW w:w="1100" w:type="dxa"/>
            <w:shd w:val="clear" w:color="auto" w:fill="D9E2F3"/>
            <w:vAlign w:val="center"/>
          </w:tcPr>
          <w:p>
            <w:pPr>
              <w:keepNext/>
              <w:spacing w:before="0" w:after="0"/>
              <w:jc w:val="center"/>
            </w:pPr>
            <w:r>
              <w:rPr>
                <w:rFonts w:asciiTheme="majorHAnsi" w:hAnsiTheme="majorHAnsi" w:cstheme="majorHAnsi"/>
                <w:b/>
                <w:bCs/>
                <w:sz w:val="18"/>
                <w:szCs w:val="18"/>
              </w:rPr>
              <w:t xml:space="preserve">max</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LotFrontage</w:t>
            </w:r>
          </w:p>
        </w:tc>
        <w:tc>
          <w:tcPr>
            <w:tcW w:w="920" w:type="dxa"/>
            <w:vAlign w:val="center"/>
          </w:tcPr>
          <w:p>
            <w:pPr>
              <w:keepNext/>
              <w:spacing w:before="0" w:after="0"/>
              <w:jc w:val="right"/>
            </w:pPr>
            <w:r>
              <w:rPr>
                <w:rFonts w:asciiTheme="majorHAnsi" w:hAnsiTheme="majorHAnsi" w:cstheme="majorHAnsi"/>
                <w:sz w:val="18"/>
                <w:szCs w:val="18"/>
              </w:rPr>
              <w:t xml:space="preserve">1201.0</w:t>
            </w:r>
          </w:p>
        </w:tc>
        <w:tc>
          <w:tcPr>
            <w:tcW w:w="920" w:type="dxa"/>
            <w:vAlign w:val="center"/>
          </w:tcPr>
          <w:p>
            <w:pPr>
              <w:keepNext/>
              <w:spacing w:before="0" w:after="0"/>
              <w:jc w:val="right"/>
            </w:pPr>
            <w:r>
              <w:rPr>
                <w:rFonts w:asciiTheme="majorHAnsi" w:hAnsiTheme="majorHAnsi" w:cstheme="majorHAnsi"/>
                <w:sz w:val="18"/>
                <w:szCs w:val="18"/>
              </w:rPr>
              <w:t xml:space="preserve">70.0</w:t>
            </w:r>
          </w:p>
        </w:tc>
        <w:tc>
          <w:tcPr>
            <w:tcW w:w="920" w:type="dxa"/>
            <w:vAlign w:val="center"/>
          </w:tcPr>
          <w:p>
            <w:pPr>
              <w:keepNext/>
              <w:spacing w:before="0" w:after="0"/>
              <w:jc w:val="right"/>
            </w:pPr>
            <w:r>
              <w:rPr>
                <w:rFonts w:asciiTheme="majorHAnsi" w:hAnsiTheme="majorHAnsi" w:cstheme="majorHAnsi"/>
                <w:sz w:val="18"/>
                <w:szCs w:val="18"/>
              </w:rPr>
              <w:t xml:space="preserve">24.3</w:t>
            </w:r>
          </w:p>
        </w:tc>
        <w:tc>
          <w:tcPr>
            <w:tcW w:w="920" w:type="dxa"/>
            <w:vAlign w:val="center"/>
          </w:tcPr>
          <w:p>
            <w:pPr>
              <w:keepNext/>
              <w:spacing w:before="0" w:after="0"/>
              <w:jc w:val="right"/>
            </w:pPr>
            <w:r>
              <w:rPr>
                <w:rFonts w:asciiTheme="majorHAnsi" w:hAnsiTheme="majorHAnsi" w:cstheme="majorHAnsi"/>
                <w:sz w:val="18"/>
                <w:szCs w:val="18"/>
              </w:rPr>
              <w:t xml:space="preserve">21.0</w:t>
            </w:r>
          </w:p>
        </w:tc>
        <w:tc>
          <w:tcPr>
            <w:tcW w:w="920" w:type="dxa"/>
            <w:vAlign w:val="center"/>
          </w:tcPr>
          <w:p>
            <w:pPr>
              <w:keepNext/>
              <w:spacing w:before="0" w:after="0"/>
              <w:jc w:val="right"/>
            </w:pPr>
            <w:r>
              <w:rPr>
                <w:rFonts w:asciiTheme="majorHAnsi" w:hAnsiTheme="majorHAnsi" w:cstheme="majorHAnsi"/>
                <w:sz w:val="18"/>
                <w:szCs w:val="18"/>
              </w:rPr>
              <w:t xml:space="preserve">59.0</w:t>
            </w:r>
          </w:p>
        </w:tc>
        <w:tc>
          <w:tcPr>
            <w:tcW w:w="920" w:type="dxa"/>
            <w:vAlign w:val="center"/>
          </w:tcPr>
          <w:p>
            <w:pPr>
              <w:keepNext/>
              <w:spacing w:before="0" w:after="0"/>
              <w:jc w:val="right"/>
            </w:pPr>
            <w:r>
              <w:rPr>
                <w:rFonts w:asciiTheme="majorHAnsi" w:hAnsiTheme="majorHAnsi" w:cstheme="majorHAnsi"/>
                <w:sz w:val="18"/>
                <w:szCs w:val="18"/>
              </w:rPr>
              <w:t xml:space="preserve">69.0</w:t>
            </w:r>
          </w:p>
        </w:tc>
        <w:tc>
          <w:tcPr>
            <w:tcW w:w="920" w:type="dxa"/>
            <w:vAlign w:val="center"/>
          </w:tcPr>
          <w:p>
            <w:pPr>
              <w:keepNext/>
              <w:spacing w:before="0" w:after="0"/>
              <w:jc w:val="right"/>
            </w:pPr>
            <w:r>
              <w:rPr>
                <w:rFonts w:asciiTheme="majorHAnsi" w:hAnsiTheme="majorHAnsi" w:cstheme="majorHAnsi"/>
                <w:sz w:val="18"/>
                <w:szCs w:val="18"/>
              </w:rPr>
              <w:t xml:space="preserve">80.0</w:t>
            </w:r>
          </w:p>
        </w:tc>
        <w:tc>
          <w:tcPr>
            <w:tcW w:w="1100" w:type="dxa"/>
            <w:vAlign w:val="center"/>
          </w:tcPr>
          <w:p>
            <w:pPr>
              <w:keepNext/>
              <w:spacing w:before="0" w:after="0"/>
              <w:jc w:val="right"/>
            </w:pPr>
            <w:r>
              <w:rPr>
                <w:rFonts w:asciiTheme="majorHAnsi" w:hAnsiTheme="majorHAnsi" w:cstheme="majorHAnsi"/>
                <w:sz w:val="18"/>
                <w:szCs w:val="18"/>
              </w:rPr>
              <w:t xml:space="preserve">313.0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LotArea</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10516.8</w:t>
            </w:r>
          </w:p>
        </w:tc>
        <w:tc>
          <w:tcPr>
            <w:tcW w:w="920" w:type="dxa"/>
            <w:vAlign w:val="center"/>
          </w:tcPr>
          <w:p>
            <w:pPr>
              <w:keepNext/>
              <w:spacing w:before="0" w:after="0"/>
              <w:jc w:val="right"/>
            </w:pPr>
            <w:r>
              <w:rPr>
                <w:rFonts w:asciiTheme="majorHAnsi" w:hAnsiTheme="majorHAnsi" w:cstheme="majorHAnsi"/>
                <w:sz w:val="18"/>
                <w:szCs w:val="18"/>
              </w:rPr>
              <w:t xml:space="preserve">9981.3</w:t>
            </w:r>
          </w:p>
        </w:tc>
        <w:tc>
          <w:tcPr>
            <w:tcW w:w="920" w:type="dxa"/>
            <w:vAlign w:val="center"/>
          </w:tcPr>
          <w:p>
            <w:pPr>
              <w:keepNext/>
              <w:spacing w:before="0" w:after="0"/>
              <w:jc w:val="right"/>
            </w:pPr>
            <w:r>
              <w:rPr>
                <w:rFonts w:asciiTheme="majorHAnsi" w:hAnsiTheme="majorHAnsi" w:cstheme="majorHAnsi"/>
                <w:sz w:val="18"/>
                <w:szCs w:val="18"/>
              </w:rPr>
              <w:t xml:space="preserve">1300.0</w:t>
            </w:r>
          </w:p>
        </w:tc>
        <w:tc>
          <w:tcPr>
            <w:tcW w:w="920" w:type="dxa"/>
            <w:vAlign w:val="center"/>
          </w:tcPr>
          <w:p>
            <w:pPr>
              <w:keepNext/>
              <w:spacing w:before="0" w:after="0"/>
              <w:jc w:val="right"/>
            </w:pPr>
            <w:r>
              <w:rPr>
                <w:rFonts w:asciiTheme="majorHAnsi" w:hAnsiTheme="majorHAnsi" w:cstheme="majorHAnsi"/>
                <w:sz w:val="18"/>
                <w:szCs w:val="18"/>
              </w:rPr>
              <w:t xml:space="preserve">7553.5</w:t>
            </w:r>
          </w:p>
        </w:tc>
        <w:tc>
          <w:tcPr>
            <w:tcW w:w="920" w:type="dxa"/>
            <w:vAlign w:val="center"/>
          </w:tcPr>
          <w:p>
            <w:pPr>
              <w:keepNext/>
              <w:spacing w:before="0" w:after="0"/>
              <w:jc w:val="right"/>
            </w:pPr>
            <w:r>
              <w:rPr>
                <w:rFonts w:asciiTheme="majorHAnsi" w:hAnsiTheme="majorHAnsi" w:cstheme="majorHAnsi"/>
                <w:sz w:val="18"/>
                <w:szCs w:val="18"/>
              </w:rPr>
              <w:t xml:space="preserve">9478.5</w:t>
            </w:r>
          </w:p>
        </w:tc>
        <w:tc>
          <w:tcPr>
            <w:tcW w:w="920" w:type="dxa"/>
            <w:vAlign w:val="center"/>
          </w:tcPr>
          <w:p>
            <w:pPr>
              <w:keepNext/>
              <w:spacing w:before="0" w:after="0"/>
              <w:jc w:val="right"/>
            </w:pPr>
            <w:r>
              <w:rPr>
                <w:rFonts w:asciiTheme="majorHAnsi" w:hAnsiTheme="majorHAnsi" w:cstheme="majorHAnsi"/>
                <w:sz w:val="18"/>
                <w:szCs w:val="18"/>
              </w:rPr>
              <w:t xml:space="preserve">11601.5</w:t>
            </w:r>
          </w:p>
        </w:tc>
        <w:tc>
          <w:tcPr>
            <w:tcW w:w="1100" w:type="dxa"/>
            <w:vAlign w:val="center"/>
          </w:tcPr>
          <w:p>
            <w:pPr>
              <w:keepNext/>
              <w:spacing w:before="0" w:after="0"/>
              <w:jc w:val="right"/>
            </w:pPr>
            <w:r>
              <w:rPr>
                <w:rFonts w:asciiTheme="majorHAnsi" w:hAnsiTheme="majorHAnsi" w:cstheme="majorHAnsi"/>
                <w:sz w:val="18"/>
                <w:szCs w:val="18"/>
              </w:rPr>
              <w:t xml:space="preserve">215245.0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OverallQual</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6.1</w:t>
            </w:r>
          </w:p>
        </w:tc>
        <w:tc>
          <w:tcPr>
            <w:tcW w:w="920" w:type="dxa"/>
            <w:vAlign w:val="center"/>
          </w:tcPr>
          <w:p>
            <w:pPr>
              <w:keepNext/>
              <w:spacing w:before="0" w:after="0"/>
              <w:jc w:val="right"/>
            </w:pPr>
            <w:r>
              <w:rPr>
                <w:rFonts w:asciiTheme="majorHAnsi" w:hAnsiTheme="majorHAnsi" w:cstheme="majorHAnsi"/>
                <w:sz w:val="18"/>
                <w:szCs w:val="18"/>
              </w:rPr>
              <w:t xml:space="preserve">1.4</w:t>
            </w:r>
          </w:p>
        </w:tc>
        <w:tc>
          <w:tcPr>
            <w:tcW w:w="920" w:type="dxa"/>
            <w:vAlign w:val="center"/>
          </w:tcPr>
          <w:p>
            <w:pPr>
              <w:keepNext/>
              <w:spacing w:before="0" w:after="0"/>
              <w:jc w:val="right"/>
            </w:pPr>
            <w:r>
              <w:rPr>
                <w:rFonts w:asciiTheme="majorHAnsi" w:hAnsiTheme="majorHAnsi" w:cstheme="majorHAnsi"/>
                <w:sz w:val="18"/>
                <w:szCs w:val="18"/>
              </w:rPr>
              <w:t xml:space="preserve">1.0</w:t>
            </w:r>
          </w:p>
        </w:tc>
        <w:tc>
          <w:tcPr>
            <w:tcW w:w="920" w:type="dxa"/>
            <w:vAlign w:val="center"/>
          </w:tcPr>
          <w:p>
            <w:pPr>
              <w:keepNext/>
              <w:spacing w:before="0" w:after="0"/>
              <w:jc w:val="right"/>
            </w:pPr>
            <w:r>
              <w:rPr>
                <w:rFonts w:asciiTheme="majorHAnsi" w:hAnsiTheme="majorHAnsi" w:cstheme="majorHAnsi"/>
                <w:sz w:val="18"/>
                <w:szCs w:val="18"/>
              </w:rPr>
              <w:t xml:space="preserve">5.0</w:t>
            </w:r>
          </w:p>
        </w:tc>
        <w:tc>
          <w:tcPr>
            <w:tcW w:w="920" w:type="dxa"/>
            <w:vAlign w:val="center"/>
          </w:tcPr>
          <w:p>
            <w:pPr>
              <w:keepNext/>
              <w:spacing w:before="0" w:after="0"/>
              <w:jc w:val="right"/>
            </w:pPr>
            <w:r>
              <w:rPr>
                <w:rFonts w:asciiTheme="majorHAnsi" w:hAnsiTheme="majorHAnsi" w:cstheme="majorHAnsi"/>
                <w:sz w:val="18"/>
                <w:szCs w:val="18"/>
              </w:rPr>
              <w:t xml:space="preserve">6.0</w:t>
            </w:r>
          </w:p>
        </w:tc>
        <w:tc>
          <w:tcPr>
            <w:tcW w:w="920" w:type="dxa"/>
            <w:vAlign w:val="center"/>
          </w:tcPr>
          <w:p>
            <w:pPr>
              <w:keepNext/>
              <w:spacing w:before="0" w:after="0"/>
              <w:jc w:val="right"/>
            </w:pPr>
            <w:r>
              <w:rPr>
                <w:rFonts w:asciiTheme="majorHAnsi" w:hAnsiTheme="majorHAnsi" w:cstheme="majorHAnsi"/>
                <w:sz w:val="18"/>
                <w:szCs w:val="18"/>
              </w:rPr>
              <w:t xml:space="preserve">7.0</w:t>
            </w:r>
          </w:p>
        </w:tc>
        <w:tc>
          <w:tcPr>
            <w:tcW w:w="1100" w:type="dxa"/>
            <w:vAlign w:val="center"/>
          </w:tcPr>
          <w:p>
            <w:pPr>
              <w:keepNext/>
              <w:spacing w:before="0" w:after="0"/>
              <w:jc w:val="right"/>
            </w:pPr>
            <w:r>
              <w:rPr>
                <w:rFonts w:asciiTheme="majorHAnsi" w:hAnsiTheme="majorHAnsi" w:cstheme="majorHAnsi"/>
                <w:sz w:val="18"/>
                <w:szCs w:val="18"/>
              </w:rPr>
              <w:t xml:space="preserve">10.0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OverallCond</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5.6</w:t>
            </w:r>
          </w:p>
        </w:tc>
        <w:tc>
          <w:tcPr>
            <w:tcW w:w="920" w:type="dxa"/>
            <w:vAlign w:val="center"/>
          </w:tcPr>
          <w:p>
            <w:pPr>
              <w:keepNext/>
              <w:spacing w:before="0" w:after="0"/>
              <w:jc w:val="right"/>
            </w:pPr>
            <w:r>
              <w:rPr>
                <w:rFonts w:asciiTheme="majorHAnsi" w:hAnsiTheme="majorHAnsi" w:cstheme="majorHAnsi"/>
                <w:sz w:val="18"/>
                <w:szCs w:val="18"/>
              </w:rPr>
              <w:t xml:space="preserve">1.1</w:t>
            </w:r>
          </w:p>
        </w:tc>
        <w:tc>
          <w:tcPr>
            <w:tcW w:w="920" w:type="dxa"/>
            <w:vAlign w:val="center"/>
          </w:tcPr>
          <w:p>
            <w:pPr>
              <w:keepNext/>
              <w:spacing w:before="0" w:after="0"/>
              <w:jc w:val="right"/>
            </w:pPr>
            <w:r>
              <w:rPr>
                <w:rFonts w:asciiTheme="majorHAnsi" w:hAnsiTheme="majorHAnsi" w:cstheme="majorHAnsi"/>
                <w:sz w:val="18"/>
                <w:szCs w:val="18"/>
              </w:rPr>
              <w:t xml:space="preserve">1.0</w:t>
            </w:r>
          </w:p>
        </w:tc>
        <w:tc>
          <w:tcPr>
            <w:tcW w:w="920" w:type="dxa"/>
            <w:vAlign w:val="center"/>
          </w:tcPr>
          <w:p>
            <w:pPr>
              <w:keepNext/>
              <w:spacing w:before="0" w:after="0"/>
              <w:jc w:val="right"/>
            </w:pPr>
            <w:r>
              <w:rPr>
                <w:rFonts w:asciiTheme="majorHAnsi" w:hAnsiTheme="majorHAnsi" w:cstheme="majorHAnsi"/>
                <w:sz w:val="18"/>
                <w:szCs w:val="18"/>
              </w:rPr>
              <w:t xml:space="preserve">5.0</w:t>
            </w:r>
          </w:p>
        </w:tc>
        <w:tc>
          <w:tcPr>
            <w:tcW w:w="920" w:type="dxa"/>
            <w:vAlign w:val="center"/>
          </w:tcPr>
          <w:p>
            <w:pPr>
              <w:keepNext/>
              <w:spacing w:before="0" w:after="0"/>
              <w:jc w:val="right"/>
            </w:pPr>
            <w:r>
              <w:rPr>
                <w:rFonts w:asciiTheme="majorHAnsi" w:hAnsiTheme="majorHAnsi" w:cstheme="majorHAnsi"/>
                <w:sz w:val="18"/>
                <w:szCs w:val="18"/>
              </w:rPr>
              <w:t xml:space="preserve">5.0</w:t>
            </w:r>
          </w:p>
        </w:tc>
        <w:tc>
          <w:tcPr>
            <w:tcW w:w="920" w:type="dxa"/>
            <w:vAlign w:val="center"/>
          </w:tcPr>
          <w:p>
            <w:pPr>
              <w:keepNext/>
              <w:spacing w:before="0" w:after="0"/>
              <w:jc w:val="right"/>
            </w:pPr>
            <w:r>
              <w:rPr>
                <w:rFonts w:asciiTheme="majorHAnsi" w:hAnsiTheme="majorHAnsi" w:cstheme="majorHAnsi"/>
                <w:sz w:val="18"/>
                <w:szCs w:val="18"/>
              </w:rPr>
              <w:t xml:space="preserve">6.0</w:t>
            </w:r>
          </w:p>
        </w:tc>
        <w:tc>
          <w:tcPr>
            <w:tcW w:w="1100" w:type="dxa"/>
            <w:vAlign w:val="center"/>
          </w:tcPr>
          <w:p>
            <w:pPr>
              <w:keepNext/>
              <w:spacing w:before="0" w:after="0"/>
              <w:jc w:val="right"/>
            </w:pPr>
            <w:r>
              <w:rPr>
                <w:rFonts w:asciiTheme="majorHAnsi" w:hAnsiTheme="majorHAnsi" w:cstheme="majorHAnsi"/>
                <w:sz w:val="18"/>
                <w:szCs w:val="18"/>
              </w:rPr>
              <w:t xml:space="preserve">9.0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YearBuilt</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1971.3</w:t>
            </w:r>
          </w:p>
        </w:tc>
        <w:tc>
          <w:tcPr>
            <w:tcW w:w="920" w:type="dxa"/>
            <w:vAlign w:val="center"/>
          </w:tcPr>
          <w:p>
            <w:pPr>
              <w:keepNext/>
              <w:spacing w:before="0" w:after="0"/>
              <w:jc w:val="right"/>
            </w:pPr>
            <w:r>
              <w:rPr>
                <w:rFonts w:asciiTheme="majorHAnsi" w:hAnsiTheme="majorHAnsi" w:cstheme="majorHAnsi"/>
                <w:sz w:val="18"/>
                <w:szCs w:val="18"/>
              </w:rPr>
              <w:t xml:space="preserve">30.2</w:t>
            </w:r>
          </w:p>
        </w:tc>
        <w:tc>
          <w:tcPr>
            <w:tcW w:w="920" w:type="dxa"/>
            <w:vAlign w:val="center"/>
          </w:tcPr>
          <w:p>
            <w:pPr>
              <w:keepNext/>
              <w:spacing w:before="0" w:after="0"/>
              <w:jc w:val="right"/>
            </w:pPr>
            <w:r>
              <w:rPr>
                <w:rFonts w:asciiTheme="majorHAnsi" w:hAnsiTheme="majorHAnsi" w:cstheme="majorHAnsi"/>
                <w:sz w:val="18"/>
                <w:szCs w:val="18"/>
              </w:rPr>
              <w:t xml:space="preserve">1872.0</w:t>
            </w:r>
          </w:p>
        </w:tc>
        <w:tc>
          <w:tcPr>
            <w:tcW w:w="920" w:type="dxa"/>
            <w:vAlign w:val="center"/>
          </w:tcPr>
          <w:p>
            <w:pPr>
              <w:keepNext/>
              <w:spacing w:before="0" w:after="0"/>
              <w:jc w:val="right"/>
            </w:pPr>
            <w:r>
              <w:rPr>
                <w:rFonts w:asciiTheme="majorHAnsi" w:hAnsiTheme="majorHAnsi" w:cstheme="majorHAnsi"/>
                <w:sz w:val="18"/>
                <w:szCs w:val="18"/>
              </w:rPr>
              <w:t xml:space="preserve">1954.0</w:t>
            </w:r>
          </w:p>
        </w:tc>
        <w:tc>
          <w:tcPr>
            <w:tcW w:w="920" w:type="dxa"/>
            <w:vAlign w:val="center"/>
          </w:tcPr>
          <w:p>
            <w:pPr>
              <w:keepNext/>
              <w:spacing w:before="0" w:after="0"/>
              <w:jc w:val="right"/>
            </w:pPr>
            <w:r>
              <w:rPr>
                <w:rFonts w:asciiTheme="majorHAnsi" w:hAnsiTheme="majorHAnsi" w:cstheme="majorHAnsi"/>
                <w:sz w:val="18"/>
                <w:szCs w:val="18"/>
              </w:rPr>
              <w:t xml:space="preserve">1973.0</w:t>
            </w:r>
          </w:p>
        </w:tc>
        <w:tc>
          <w:tcPr>
            <w:tcW w:w="920" w:type="dxa"/>
            <w:vAlign w:val="center"/>
          </w:tcPr>
          <w:p>
            <w:pPr>
              <w:keepNext/>
              <w:spacing w:before="0" w:after="0"/>
              <w:jc w:val="right"/>
            </w:pPr>
            <w:r>
              <w:rPr>
                <w:rFonts w:asciiTheme="majorHAnsi" w:hAnsiTheme="majorHAnsi" w:cstheme="majorHAnsi"/>
                <w:sz w:val="18"/>
                <w:szCs w:val="18"/>
              </w:rPr>
              <w:t xml:space="preserve">2000.0</w:t>
            </w:r>
          </w:p>
        </w:tc>
        <w:tc>
          <w:tcPr>
            <w:tcW w:w="1100" w:type="dxa"/>
            <w:vAlign w:val="center"/>
          </w:tcPr>
          <w:p>
            <w:pPr>
              <w:keepNext/>
              <w:spacing w:before="0" w:after="0"/>
              <w:jc w:val="right"/>
            </w:pPr>
            <w:r>
              <w:rPr>
                <w:rFonts w:asciiTheme="majorHAnsi" w:hAnsiTheme="majorHAnsi" w:cstheme="majorHAnsi"/>
                <w:sz w:val="18"/>
                <w:szCs w:val="18"/>
              </w:rPr>
              <w:t xml:space="preserve">2010.0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YearRemodAdd</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1984.9</w:t>
            </w:r>
          </w:p>
        </w:tc>
        <w:tc>
          <w:tcPr>
            <w:tcW w:w="920" w:type="dxa"/>
            <w:vAlign w:val="center"/>
          </w:tcPr>
          <w:p>
            <w:pPr>
              <w:keepNext/>
              <w:spacing w:before="0" w:after="0"/>
              <w:jc w:val="right"/>
            </w:pPr>
            <w:r>
              <w:rPr>
                <w:rFonts w:asciiTheme="majorHAnsi" w:hAnsiTheme="majorHAnsi" w:cstheme="majorHAnsi"/>
                <w:sz w:val="18"/>
                <w:szCs w:val="18"/>
              </w:rPr>
              <w:t xml:space="preserve">20.6</w:t>
            </w:r>
          </w:p>
        </w:tc>
        <w:tc>
          <w:tcPr>
            <w:tcW w:w="920" w:type="dxa"/>
            <w:vAlign w:val="center"/>
          </w:tcPr>
          <w:p>
            <w:pPr>
              <w:keepNext/>
              <w:spacing w:before="0" w:after="0"/>
              <w:jc w:val="right"/>
            </w:pPr>
            <w:r>
              <w:rPr>
                <w:rFonts w:asciiTheme="majorHAnsi" w:hAnsiTheme="majorHAnsi" w:cstheme="majorHAnsi"/>
                <w:sz w:val="18"/>
                <w:szCs w:val="18"/>
              </w:rPr>
              <w:t xml:space="preserve">1950.0</w:t>
            </w:r>
          </w:p>
        </w:tc>
        <w:tc>
          <w:tcPr>
            <w:tcW w:w="920" w:type="dxa"/>
            <w:vAlign w:val="center"/>
          </w:tcPr>
          <w:p>
            <w:pPr>
              <w:keepNext/>
              <w:spacing w:before="0" w:after="0"/>
              <w:jc w:val="right"/>
            </w:pPr>
            <w:r>
              <w:rPr>
                <w:rFonts w:asciiTheme="majorHAnsi" w:hAnsiTheme="majorHAnsi" w:cstheme="majorHAnsi"/>
                <w:sz w:val="18"/>
                <w:szCs w:val="18"/>
              </w:rPr>
              <w:t xml:space="preserve">1967.0</w:t>
            </w:r>
          </w:p>
        </w:tc>
        <w:tc>
          <w:tcPr>
            <w:tcW w:w="920" w:type="dxa"/>
            <w:vAlign w:val="center"/>
          </w:tcPr>
          <w:p>
            <w:pPr>
              <w:keepNext/>
              <w:spacing w:before="0" w:after="0"/>
              <w:jc w:val="right"/>
            </w:pPr>
            <w:r>
              <w:rPr>
                <w:rFonts w:asciiTheme="majorHAnsi" w:hAnsiTheme="majorHAnsi" w:cstheme="majorHAnsi"/>
                <w:sz w:val="18"/>
                <w:szCs w:val="18"/>
              </w:rPr>
              <w:t xml:space="preserve">1994.0</w:t>
            </w:r>
          </w:p>
        </w:tc>
        <w:tc>
          <w:tcPr>
            <w:tcW w:w="920" w:type="dxa"/>
            <w:vAlign w:val="center"/>
          </w:tcPr>
          <w:p>
            <w:pPr>
              <w:keepNext/>
              <w:spacing w:before="0" w:after="0"/>
              <w:jc w:val="right"/>
            </w:pPr>
            <w:r>
              <w:rPr>
                <w:rFonts w:asciiTheme="majorHAnsi" w:hAnsiTheme="majorHAnsi" w:cstheme="majorHAnsi"/>
                <w:sz w:val="18"/>
                <w:szCs w:val="18"/>
              </w:rPr>
              <w:t xml:space="preserve">2004.0</w:t>
            </w:r>
          </w:p>
        </w:tc>
        <w:tc>
          <w:tcPr>
            <w:tcW w:w="1100" w:type="dxa"/>
            <w:vAlign w:val="center"/>
          </w:tcPr>
          <w:p>
            <w:pPr>
              <w:keepNext/>
              <w:spacing w:before="0" w:after="0"/>
              <w:jc w:val="right"/>
            </w:pPr>
            <w:r>
              <w:rPr>
                <w:rFonts w:asciiTheme="majorHAnsi" w:hAnsiTheme="majorHAnsi" w:cstheme="majorHAnsi"/>
                <w:sz w:val="18"/>
                <w:szCs w:val="18"/>
              </w:rPr>
              <w:t xml:space="preserve">2010.0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MasVnrArea</w:t>
            </w:r>
          </w:p>
        </w:tc>
        <w:tc>
          <w:tcPr>
            <w:tcW w:w="920" w:type="dxa"/>
            <w:vAlign w:val="center"/>
          </w:tcPr>
          <w:p>
            <w:pPr>
              <w:keepNext/>
              <w:spacing w:before="0" w:after="0"/>
              <w:jc w:val="right"/>
            </w:pPr>
            <w:r>
              <w:rPr>
                <w:rFonts w:asciiTheme="majorHAnsi" w:hAnsiTheme="majorHAnsi" w:cstheme="majorHAnsi"/>
                <w:sz w:val="18"/>
                <w:szCs w:val="18"/>
              </w:rPr>
              <w:t xml:space="preserve">1452.0</w:t>
            </w:r>
          </w:p>
        </w:tc>
        <w:tc>
          <w:tcPr>
            <w:tcW w:w="920" w:type="dxa"/>
            <w:vAlign w:val="center"/>
          </w:tcPr>
          <w:p>
            <w:pPr>
              <w:keepNext/>
              <w:spacing w:before="0" w:after="0"/>
              <w:jc w:val="right"/>
            </w:pPr>
            <w:r>
              <w:rPr>
                <w:rFonts w:asciiTheme="majorHAnsi" w:hAnsiTheme="majorHAnsi" w:cstheme="majorHAnsi"/>
                <w:sz w:val="18"/>
                <w:szCs w:val="18"/>
              </w:rPr>
              <w:t xml:space="preserve">103.7</w:t>
            </w:r>
          </w:p>
        </w:tc>
        <w:tc>
          <w:tcPr>
            <w:tcW w:w="920" w:type="dxa"/>
            <w:vAlign w:val="center"/>
          </w:tcPr>
          <w:p>
            <w:pPr>
              <w:keepNext/>
              <w:spacing w:before="0" w:after="0"/>
              <w:jc w:val="right"/>
            </w:pPr>
            <w:r>
              <w:rPr>
                <w:rFonts w:asciiTheme="majorHAnsi" w:hAnsiTheme="majorHAnsi" w:cstheme="majorHAnsi"/>
                <w:sz w:val="18"/>
                <w:szCs w:val="18"/>
              </w:rPr>
              <w:t xml:space="preserve">181.1</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166.0</w:t>
            </w:r>
          </w:p>
        </w:tc>
        <w:tc>
          <w:tcPr>
            <w:tcW w:w="1100" w:type="dxa"/>
            <w:vAlign w:val="center"/>
          </w:tcPr>
          <w:p>
            <w:pPr>
              <w:keepNext/>
              <w:spacing w:before="0" w:after="0"/>
              <w:jc w:val="right"/>
            </w:pPr>
            <w:r>
              <w:rPr>
                <w:rFonts w:asciiTheme="majorHAnsi" w:hAnsiTheme="majorHAnsi" w:cstheme="majorHAnsi"/>
                <w:sz w:val="18"/>
                <w:szCs w:val="18"/>
              </w:rPr>
              <w:t xml:space="preserve">1600.0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BsmtFinSF1</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443.6</w:t>
            </w:r>
          </w:p>
        </w:tc>
        <w:tc>
          <w:tcPr>
            <w:tcW w:w="920" w:type="dxa"/>
            <w:vAlign w:val="center"/>
          </w:tcPr>
          <w:p>
            <w:pPr>
              <w:keepNext/>
              <w:spacing w:before="0" w:after="0"/>
              <w:jc w:val="right"/>
            </w:pPr>
            <w:r>
              <w:rPr>
                <w:rFonts w:asciiTheme="majorHAnsi" w:hAnsiTheme="majorHAnsi" w:cstheme="majorHAnsi"/>
                <w:sz w:val="18"/>
                <w:szCs w:val="18"/>
              </w:rPr>
              <w:t xml:space="preserve">456.1</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383.5</w:t>
            </w:r>
          </w:p>
        </w:tc>
        <w:tc>
          <w:tcPr>
            <w:tcW w:w="920" w:type="dxa"/>
            <w:vAlign w:val="center"/>
          </w:tcPr>
          <w:p>
            <w:pPr>
              <w:keepNext/>
              <w:spacing w:before="0" w:after="0"/>
              <w:jc w:val="right"/>
            </w:pPr>
            <w:r>
              <w:rPr>
                <w:rFonts w:asciiTheme="majorHAnsi" w:hAnsiTheme="majorHAnsi" w:cstheme="majorHAnsi"/>
                <w:sz w:val="18"/>
                <w:szCs w:val="18"/>
              </w:rPr>
              <w:t xml:space="preserve">712.2</w:t>
            </w:r>
          </w:p>
        </w:tc>
        <w:tc>
          <w:tcPr>
            <w:tcW w:w="1100" w:type="dxa"/>
            <w:vAlign w:val="center"/>
          </w:tcPr>
          <w:p>
            <w:pPr>
              <w:keepNext/>
              <w:spacing w:before="0" w:after="0"/>
              <w:jc w:val="right"/>
            </w:pPr>
            <w:r>
              <w:rPr>
                <w:rFonts w:asciiTheme="majorHAnsi" w:hAnsiTheme="majorHAnsi" w:cstheme="majorHAnsi"/>
                <w:sz w:val="18"/>
                <w:szCs w:val="18"/>
              </w:rPr>
              <w:t xml:space="preserve">5644.0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BsmtFinSF2</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46.5</w:t>
            </w:r>
          </w:p>
        </w:tc>
        <w:tc>
          <w:tcPr>
            <w:tcW w:w="920" w:type="dxa"/>
            <w:vAlign w:val="center"/>
          </w:tcPr>
          <w:p>
            <w:pPr>
              <w:keepNext/>
              <w:spacing w:before="0" w:after="0"/>
              <w:jc w:val="right"/>
            </w:pPr>
            <w:r>
              <w:rPr>
                <w:rFonts w:asciiTheme="majorHAnsi" w:hAnsiTheme="majorHAnsi" w:cstheme="majorHAnsi"/>
                <w:sz w:val="18"/>
                <w:szCs w:val="18"/>
              </w:rPr>
              <w:t xml:space="preserve">161.3</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1100" w:type="dxa"/>
            <w:vAlign w:val="center"/>
          </w:tcPr>
          <w:p>
            <w:pPr>
              <w:keepNext/>
              <w:spacing w:before="0" w:after="0"/>
              <w:jc w:val="right"/>
            </w:pPr>
            <w:r>
              <w:rPr>
                <w:rFonts w:asciiTheme="majorHAnsi" w:hAnsiTheme="majorHAnsi" w:cstheme="majorHAnsi"/>
                <w:sz w:val="18"/>
                <w:szCs w:val="18"/>
              </w:rPr>
              <w:t xml:space="preserve">1474.0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BsmtUnfSF</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567.2</w:t>
            </w:r>
          </w:p>
        </w:tc>
        <w:tc>
          <w:tcPr>
            <w:tcW w:w="920" w:type="dxa"/>
            <w:vAlign w:val="center"/>
          </w:tcPr>
          <w:p>
            <w:pPr>
              <w:keepNext/>
              <w:spacing w:before="0" w:after="0"/>
              <w:jc w:val="right"/>
            </w:pPr>
            <w:r>
              <w:rPr>
                <w:rFonts w:asciiTheme="majorHAnsi" w:hAnsiTheme="majorHAnsi" w:cstheme="majorHAnsi"/>
                <w:sz w:val="18"/>
                <w:szCs w:val="18"/>
              </w:rPr>
              <w:t xml:space="preserve">441.9</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223.0</w:t>
            </w:r>
          </w:p>
        </w:tc>
        <w:tc>
          <w:tcPr>
            <w:tcW w:w="920" w:type="dxa"/>
            <w:vAlign w:val="center"/>
          </w:tcPr>
          <w:p>
            <w:pPr>
              <w:keepNext/>
              <w:spacing w:before="0" w:after="0"/>
              <w:jc w:val="right"/>
            </w:pPr>
            <w:r>
              <w:rPr>
                <w:rFonts w:asciiTheme="majorHAnsi" w:hAnsiTheme="majorHAnsi" w:cstheme="majorHAnsi"/>
                <w:sz w:val="18"/>
                <w:szCs w:val="18"/>
              </w:rPr>
              <w:t xml:space="preserve">477.5</w:t>
            </w:r>
          </w:p>
        </w:tc>
        <w:tc>
          <w:tcPr>
            <w:tcW w:w="920" w:type="dxa"/>
            <w:vAlign w:val="center"/>
          </w:tcPr>
          <w:p>
            <w:pPr>
              <w:keepNext/>
              <w:spacing w:before="0" w:after="0"/>
              <w:jc w:val="right"/>
            </w:pPr>
            <w:r>
              <w:rPr>
                <w:rFonts w:asciiTheme="majorHAnsi" w:hAnsiTheme="majorHAnsi" w:cstheme="majorHAnsi"/>
                <w:sz w:val="18"/>
                <w:szCs w:val="18"/>
              </w:rPr>
              <w:t xml:space="preserve">808.0</w:t>
            </w:r>
          </w:p>
        </w:tc>
        <w:tc>
          <w:tcPr>
            <w:tcW w:w="1100" w:type="dxa"/>
            <w:vAlign w:val="center"/>
          </w:tcPr>
          <w:p>
            <w:pPr>
              <w:keepNext/>
              <w:spacing w:before="0" w:after="0"/>
              <w:jc w:val="right"/>
            </w:pPr>
            <w:r>
              <w:rPr>
                <w:rFonts w:asciiTheme="majorHAnsi" w:hAnsiTheme="majorHAnsi" w:cstheme="majorHAnsi"/>
                <w:sz w:val="18"/>
                <w:szCs w:val="18"/>
              </w:rPr>
              <w:t xml:space="preserve">2336.0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TotalBsmtSF</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1057.4</w:t>
            </w:r>
          </w:p>
        </w:tc>
        <w:tc>
          <w:tcPr>
            <w:tcW w:w="920" w:type="dxa"/>
            <w:vAlign w:val="center"/>
          </w:tcPr>
          <w:p>
            <w:pPr>
              <w:keepNext/>
              <w:spacing w:before="0" w:after="0"/>
              <w:jc w:val="right"/>
            </w:pPr>
            <w:r>
              <w:rPr>
                <w:rFonts w:asciiTheme="majorHAnsi" w:hAnsiTheme="majorHAnsi" w:cstheme="majorHAnsi"/>
                <w:sz w:val="18"/>
                <w:szCs w:val="18"/>
              </w:rPr>
              <w:t xml:space="preserve">438.7</w:t>
            </w:r>
          </w:p>
        </w:tc>
        <w:tc>
          <w:tcPr>
            <w:tcW w:w="920" w:type="dxa"/>
            <w:vAlign w:val="center"/>
          </w:tcPr>
          <w:p>
            <w:pPr>
              <w:keepNext/>
              <w:spacing w:before="0" w:after="0"/>
              <w:jc w:val="right"/>
            </w:pPr>
            <w:r>
              <w:rPr>
                <w:rFonts w:asciiTheme="majorHAnsi" w:hAnsiTheme="majorHAnsi" w:cstheme="majorHAnsi"/>
                <w:sz w:val="18"/>
                <w:szCs w:val="18"/>
              </w:rPr>
              <w:t xml:space="preserve">0.0</w:t>
            </w:r>
          </w:p>
        </w:tc>
        <w:tc>
          <w:tcPr>
            <w:tcW w:w="920" w:type="dxa"/>
            <w:vAlign w:val="center"/>
          </w:tcPr>
          <w:p>
            <w:pPr>
              <w:keepNext/>
              <w:spacing w:before="0" w:after="0"/>
              <w:jc w:val="right"/>
            </w:pPr>
            <w:r>
              <w:rPr>
                <w:rFonts w:asciiTheme="majorHAnsi" w:hAnsiTheme="majorHAnsi" w:cstheme="majorHAnsi"/>
                <w:sz w:val="18"/>
                <w:szCs w:val="18"/>
              </w:rPr>
              <w:t xml:space="preserve">795.8</w:t>
            </w:r>
          </w:p>
        </w:tc>
        <w:tc>
          <w:tcPr>
            <w:tcW w:w="920" w:type="dxa"/>
            <w:vAlign w:val="center"/>
          </w:tcPr>
          <w:p>
            <w:pPr>
              <w:keepNext/>
              <w:spacing w:before="0" w:after="0"/>
              <w:jc w:val="right"/>
            </w:pPr>
            <w:r>
              <w:rPr>
                <w:rFonts w:asciiTheme="majorHAnsi" w:hAnsiTheme="majorHAnsi" w:cstheme="majorHAnsi"/>
                <w:sz w:val="18"/>
                <w:szCs w:val="18"/>
              </w:rPr>
              <w:t xml:space="preserve">991.5</w:t>
            </w:r>
          </w:p>
        </w:tc>
        <w:tc>
          <w:tcPr>
            <w:tcW w:w="920" w:type="dxa"/>
            <w:vAlign w:val="center"/>
          </w:tcPr>
          <w:p>
            <w:pPr>
              <w:keepNext/>
              <w:spacing w:before="0" w:after="0"/>
              <w:jc w:val="right"/>
            </w:pPr>
            <w:r>
              <w:rPr>
                <w:rFonts w:asciiTheme="majorHAnsi" w:hAnsiTheme="majorHAnsi" w:cstheme="majorHAnsi"/>
                <w:sz w:val="18"/>
                <w:szCs w:val="18"/>
              </w:rPr>
              <w:t xml:space="preserve">1298.2</w:t>
            </w:r>
          </w:p>
        </w:tc>
        <w:tc>
          <w:tcPr>
            <w:tcW w:w="1100" w:type="dxa"/>
            <w:vAlign w:val="center"/>
          </w:tcPr>
          <w:p>
            <w:pPr>
              <w:keepNext/>
              <w:spacing w:before="0" w:after="0"/>
              <w:jc w:val="right"/>
            </w:pPr>
            <w:r>
              <w:rPr>
                <w:rFonts w:asciiTheme="majorHAnsi" w:hAnsiTheme="majorHAnsi" w:cstheme="majorHAnsi"/>
                <w:sz w:val="18"/>
                <w:szCs w:val="18"/>
              </w:rPr>
              <w:t xml:space="preserve">6110.0</w:t>
            </w:r>
          </w:p>
        </w:tc>
      </w:tr>
      <w:tr>
        <w:trPr>
          <w:cantSplit/>
        </w:trPr>
        <w:tc>
          <w:tcPr>
            <w:tcW w:w="1700" w:type="dxa"/>
            <w:vAlign w:val="center"/>
          </w:tcPr>
          <w:p>
            <w:pPr>
              <w:keepNext/>
              <w:spacing w:before="0" w:after="0"/>
              <w:jc w:val="left"/>
            </w:pPr>
            <w:r>
              <w:rPr>
                <w:rFonts w:asciiTheme="majorHAnsi" w:hAnsiTheme="majorHAnsi" w:cstheme="majorHAnsi"/>
                <w:sz w:val="18"/>
                <w:szCs w:val="18"/>
              </w:rPr>
              <w:t xml:space="preserve">1stFlrSF</w:t>
            </w:r>
          </w:p>
        </w:tc>
        <w:tc>
          <w:tcPr>
            <w:tcW w:w="920" w:type="dxa"/>
            <w:vAlign w:val="center"/>
          </w:tcPr>
          <w:p>
            <w:pPr>
              <w:keepNext/>
              <w:spacing w:before="0" w:after="0"/>
              <w:jc w:val="right"/>
            </w:pPr>
            <w:r>
              <w:rPr>
                <w:rFonts w:asciiTheme="majorHAnsi" w:hAnsiTheme="majorHAnsi" w:cstheme="majorHAnsi"/>
                <w:sz w:val="18"/>
                <w:szCs w:val="18"/>
              </w:rPr>
              <w:t xml:space="preserve">1460.0</w:t>
            </w:r>
          </w:p>
        </w:tc>
        <w:tc>
          <w:tcPr>
            <w:tcW w:w="920" w:type="dxa"/>
            <w:vAlign w:val="center"/>
          </w:tcPr>
          <w:p>
            <w:pPr>
              <w:keepNext/>
              <w:spacing w:before="0" w:after="0"/>
              <w:jc w:val="right"/>
            </w:pPr>
            <w:r>
              <w:rPr>
                <w:rFonts w:asciiTheme="majorHAnsi" w:hAnsiTheme="majorHAnsi" w:cstheme="majorHAnsi"/>
                <w:sz w:val="18"/>
                <w:szCs w:val="18"/>
              </w:rPr>
              <w:t xml:space="preserve">1162.6</w:t>
            </w:r>
          </w:p>
        </w:tc>
        <w:tc>
          <w:tcPr>
            <w:tcW w:w="920" w:type="dxa"/>
            <w:vAlign w:val="center"/>
          </w:tcPr>
          <w:p>
            <w:pPr>
              <w:keepNext/>
              <w:spacing w:before="0" w:after="0"/>
              <w:jc w:val="right"/>
            </w:pPr>
            <w:r>
              <w:rPr>
                <w:rFonts w:asciiTheme="majorHAnsi" w:hAnsiTheme="majorHAnsi" w:cstheme="majorHAnsi"/>
                <w:sz w:val="18"/>
                <w:szCs w:val="18"/>
              </w:rPr>
              <w:t xml:space="preserve">386.6</w:t>
            </w:r>
          </w:p>
        </w:tc>
        <w:tc>
          <w:tcPr>
            <w:tcW w:w="920" w:type="dxa"/>
            <w:vAlign w:val="center"/>
          </w:tcPr>
          <w:p>
            <w:pPr>
              <w:keepNext/>
              <w:spacing w:before="0" w:after="0"/>
              <w:jc w:val="right"/>
            </w:pPr>
            <w:r>
              <w:rPr>
                <w:rFonts w:asciiTheme="majorHAnsi" w:hAnsiTheme="majorHAnsi" w:cstheme="majorHAnsi"/>
                <w:sz w:val="18"/>
                <w:szCs w:val="18"/>
              </w:rPr>
              <w:t xml:space="preserve">334.0</w:t>
            </w:r>
          </w:p>
        </w:tc>
        <w:tc>
          <w:tcPr>
            <w:tcW w:w="920" w:type="dxa"/>
            <w:vAlign w:val="center"/>
          </w:tcPr>
          <w:p>
            <w:pPr>
              <w:keepNext/>
              <w:spacing w:before="0" w:after="0"/>
              <w:jc w:val="right"/>
            </w:pPr>
            <w:r>
              <w:rPr>
                <w:rFonts w:asciiTheme="majorHAnsi" w:hAnsiTheme="majorHAnsi" w:cstheme="majorHAnsi"/>
                <w:sz w:val="18"/>
                <w:szCs w:val="18"/>
              </w:rPr>
              <w:t xml:space="preserve">882.0</w:t>
            </w:r>
          </w:p>
        </w:tc>
        <w:tc>
          <w:tcPr>
            <w:tcW w:w="920" w:type="dxa"/>
            <w:vAlign w:val="center"/>
          </w:tcPr>
          <w:p>
            <w:pPr>
              <w:keepNext/>
              <w:spacing w:before="0" w:after="0"/>
              <w:jc w:val="right"/>
            </w:pPr>
            <w:r>
              <w:rPr>
                <w:rFonts w:asciiTheme="majorHAnsi" w:hAnsiTheme="majorHAnsi" w:cstheme="majorHAnsi"/>
                <w:sz w:val="18"/>
                <w:szCs w:val="18"/>
              </w:rPr>
              <w:t xml:space="preserve">1087.0</w:t>
            </w:r>
          </w:p>
        </w:tc>
        <w:tc>
          <w:tcPr>
            <w:tcW w:w="920" w:type="dxa"/>
            <w:vAlign w:val="center"/>
          </w:tcPr>
          <w:p>
            <w:pPr>
              <w:keepNext/>
              <w:spacing w:before="0" w:after="0"/>
              <w:jc w:val="right"/>
            </w:pPr>
            <w:r>
              <w:rPr>
                <w:rFonts w:asciiTheme="majorHAnsi" w:hAnsiTheme="majorHAnsi" w:cstheme="majorHAnsi"/>
                <w:sz w:val="18"/>
                <w:szCs w:val="18"/>
              </w:rPr>
              <w:t xml:space="preserve">1391.2</w:t>
            </w:r>
          </w:p>
        </w:tc>
        <w:tc>
          <w:tcPr>
            <w:tcW w:w="1100" w:type="dxa"/>
            <w:vAlign w:val="center"/>
          </w:tcPr>
          <w:p>
            <w:pPr>
              <w:keepNext/>
              <w:spacing w:before="0" w:after="0"/>
              <w:jc w:val="right"/>
            </w:pPr>
            <w:r>
              <w:rPr>
                <w:rFonts w:asciiTheme="majorHAnsi" w:hAnsiTheme="majorHAnsi" w:cstheme="majorHAnsi"/>
                <w:sz w:val="18"/>
                <w:szCs w:val="18"/>
              </w:rPr>
              <w:t xml:space="preserve">4692.0</w:t>
            </w:r>
          </w:p>
        </w:tc>
      </w:tr>
      <w:tr>
        <w:trPr>
          <w:cantSplit/>
        </w:trPr>
        <w:tc>
          <w:tcPr>
            <w:tcW w:w="1700" w:type="dxa"/>
            <w:vAlign w:val="center"/>
          </w:tcPr>
          <w:p>
            <w:pPr>
              <w:spacing w:before="0" w:after="0"/>
              <w:jc w:val="left"/>
            </w:pPr>
            <w:r>
              <w:rPr>
                <w:rFonts w:asciiTheme="majorHAnsi" w:hAnsiTheme="majorHAnsi" w:cstheme="majorHAnsi"/>
                <w:sz w:val="18"/>
                <w:szCs w:val="18"/>
              </w:rPr>
              <w:t xml:space="preserve">2ndFlrSF</w:t>
            </w:r>
          </w:p>
        </w:tc>
        <w:tc>
          <w:tcPr>
            <w:tcW w:w="920" w:type="dxa"/>
            <w:vAlign w:val="center"/>
          </w:tcPr>
          <w:p>
            <w:pPr>
              <w:spacing w:before="0" w:after="0"/>
              <w:jc w:val="right"/>
            </w:pPr>
            <w:r>
              <w:rPr>
                <w:rFonts w:asciiTheme="majorHAnsi" w:hAnsiTheme="majorHAnsi" w:cstheme="majorHAnsi"/>
                <w:sz w:val="18"/>
                <w:szCs w:val="18"/>
              </w:rPr>
              <w:t xml:space="preserve">1460.0</w:t>
            </w:r>
          </w:p>
        </w:tc>
        <w:tc>
          <w:tcPr>
            <w:tcW w:w="920" w:type="dxa"/>
            <w:vAlign w:val="center"/>
          </w:tcPr>
          <w:p>
            <w:pPr>
              <w:spacing w:before="0" w:after="0"/>
              <w:jc w:val="right"/>
            </w:pPr>
            <w:r>
              <w:rPr>
                <w:rFonts w:asciiTheme="majorHAnsi" w:hAnsiTheme="majorHAnsi" w:cstheme="majorHAnsi"/>
                <w:sz w:val="18"/>
                <w:szCs w:val="18"/>
              </w:rPr>
              <w:t xml:space="preserve">347.0</w:t>
            </w:r>
          </w:p>
        </w:tc>
        <w:tc>
          <w:tcPr>
            <w:tcW w:w="920" w:type="dxa"/>
            <w:vAlign w:val="center"/>
          </w:tcPr>
          <w:p>
            <w:pPr>
              <w:spacing w:before="0" w:after="0"/>
              <w:jc w:val="right"/>
            </w:pPr>
            <w:r>
              <w:rPr>
                <w:rFonts w:asciiTheme="majorHAnsi" w:hAnsiTheme="majorHAnsi" w:cstheme="majorHAnsi"/>
                <w:sz w:val="18"/>
                <w:szCs w:val="18"/>
              </w:rPr>
              <w:t xml:space="preserve">436.5</w:t>
            </w:r>
          </w:p>
        </w:tc>
        <w:tc>
          <w:tcPr>
            <w:tcW w:w="920" w:type="dxa"/>
            <w:vAlign w:val="center"/>
          </w:tcPr>
          <w:p>
            <w:pPr>
              <w:spacing w:before="0" w:after="0"/>
              <w:jc w:val="right"/>
            </w:pPr>
            <w:r>
              <w:rPr>
                <w:rFonts w:asciiTheme="majorHAnsi" w:hAnsiTheme="majorHAnsi" w:cstheme="majorHAnsi"/>
                <w:sz w:val="18"/>
                <w:szCs w:val="18"/>
              </w:rPr>
              <w:t xml:space="preserve">0.0</w:t>
            </w:r>
          </w:p>
        </w:tc>
        <w:tc>
          <w:tcPr>
            <w:tcW w:w="920" w:type="dxa"/>
            <w:vAlign w:val="center"/>
          </w:tcPr>
          <w:p>
            <w:pPr>
              <w:spacing w:before="0" w:after="0"/>
              <w:jc w:val="right"/>
            </w:pPr>
            <w:r>
              <w:rPr>
                <w:rFonts w:asciiTheme="majorHAnsi" w:hAnsiTheme="majorHAnsi" w:cstheme="majorHAnsi"/>
                <w:sz w:val="18"/>
                <w:szCs w:val="18"/>
              </w:rPr>
              <w:t xml:space="preserve">0.0</w:t>
            </w:r>
          </w:p>
        </w:tc>
        <w:tc>
          <w:tcPr>
            <w:tcW w:w="920" w:type="dxa"/>
            <w:vAlign w:val="center"/>
          </w:tcPr>
          <w:p>
            <w:pPr>
              <w:spacing w:before="0" w:after="0"/>
              <w:jc w:val="right"/>
            </w:pPr>
            <w:r>
              <w:rPr>
                <w:rFonts w:asciiTheme="majorHAnsi" w:hAnsiTheme="majorHAnsi" w:cstheme="majorHAnsi"/>
                <w:sz w:val="18"/>
                <w:szCs w:val="18"/>
              </w:rPr>
              <w:t xml:space="preserve">0.0</w:t>
            </w:r>
          </w:p>
        </w:tc>
        <w:tc>
          <w:tcPr>
            <w:tcW w:w="920" w:type="dxa"/>
            <w:vAlign w:val="center"/>
          </w:tcPr>
          <w:p>
            <w:pPr>
              <w:spacing w:before="0" w:after="0"/>
              <w:jc w:val="right"/>
            </w:pPr>
            <w:r>
              <w:rPr>
                <w:rFonts w:asciiTheme="majorHAnsi" w:hAnsiTheme="majorHAnsi" w:cstheme="majorHAnsi"/>
                <w:sz w:val="18"/>
                <w:szCs w:val="18"/>
              </w:rPr>
              <w:t xml:space="preserve">728.0</w:t>
            </w:r>
          </w:p>
        </w:tc>
        <w:tc>
          <w:tcPr>
            <w:tcW w:w="1100" w:type="dxa"/>
            <w:vAlign w:val="center"/>
          </w:tcPr>
          <w:p>
            <w:pPr>
              <w:spacing w:before="0" w:after="0"/>
              <w:jc w:val="right"/>
            </w:pPr>
            <w:r>
              <w:rPr>
                <w:rFonts w:asciiTheme="majorHAnsi" w:hAnsiTheme="majorHAnsi" w:cstheme="majorHAnsi"/>
                <w:sz w:val="18"/>
                <w:szCs w:val="18"/>
              </w:rPr>
              <w:t xml:space="preserve">2065.0</w:t>
            </w:r>
          </w:p>
        </w:tc>
      </w:tr>
    </w:tbl>
    <w:p>
      <w:pPr>
        <w:spacing w:before="0" w:after="60"/>
      </w:pPr>
    </w:p>
    <w:p>
      <w:pPr>
        <w:pStyle w:val="u2"/>
        <w:keepNext/>
        <w:spacing w:before="200" w:after="100"/>
      </w:pPr>
      <w:bookmarkStart w:id="304" w:name="_Toc900000304"/>
      <w:r>
        <w:rPr>
          <w:rFonts w:asciiTheme="majorHAnsi" w:hAnsiTheme="majorHAnsi" w:cstheme="majorHAnsi"/>
          <w:color w:val="2E74B5"/>
          <w:sz w:val="26"/>
          <w:szCs w:val="26"/>
        </w:rPr>
        <w:t xml:space="preserve">2.4. Biến mục tiêu SalePrice</w:t>
      </w:r>
      <w:bookmarkEnd w:id="304"/>
    </w:p>
    <w:p w14:paraId="4A8D7597"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Biến mục tiêu SalePrice dao động từ 34.900 USD đến 755.000 USD, giá trị trung bình khoảng 180.921 USD. Độ lệch (skewness) = 1.88 &gt; 0 cho thấy phân phối lệch phải khá rõ, tức là có một số căn nhà có giá rất cao so với phần lớn các quan sát còn lại. Vì vậy, trong bước tiền xử lý có thể cân nhắc biến đổi log cho SalePrice để phân phối cân đối hơn.</w:t>
      </w:r>
    </w:p>
    <w:p>
      <w:pPr>
        <w:spacing w:before="0" w:after="120"/>
      </w:pPr>
      <w:r>
        <w:rPr>
          <w:rFonts w:asciiTheme="majorHAnsi" w:hAnsiTheme="majorHAnsi" w:cstheme="majorHAnsi"/>
          <w:sz w:val="26"/>
          <w:szCs w:val="26"/>
        </w:rPr>
        <w:t xml:space="preserve">Bảng 5 cho thấy trung vị của SalePrice là 163.000 USD, thấp hơn giá trị trung bình 180.921 USD, và một nửa số căn nhà có giá nằm trong khoảng từ 129.975 đến 214.000 USD (từ phân vị thứ 25 đến phân vị thứ 75).</w:t>
      </w:r>
    </w:p>
    <w:p>
      <w:pPr>
        <w:keepNext/>
        <w:spacing w:before="160" w:after="80"/>
        <w:jc w:val="center"/>
      </w:pPr>
      <w:r>
        <w:rPr>
          <w:rFonts w:asciiTheme="majorHAnsi" w:hAnsiTheme="majorHAnsi" w:cstheme="majorHAnsi"/>
          <w:i/>
          <w:iCs/>
          <w:sz w:val="22"/>
          <w:szCs w:val="22"/>
        </w:rPr>
        <w:t xml:space="preserve">Bảng 5. Thống kê mô tả biến mục tiêu SalePrice</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4000"/>
        <w:gridCol w:w="3400"/>
      </w:tblGrid>
      <w:tr>
        <w:trPr>
          <w:cantSplit/>
          <w:tblHeader/>
        </w:trPr>
        <w:tc>
          <w:tcPr>
            <w:tcW w:w="4000" w:type="dxa"/>
            <w:shd w:val="clear" w:color="auto" w:fill="D9E2F3"/>
            <w:vAlign w:val="center"/>
          </w:tcPr>
          <w:p>
            <w:pPr>
              <w:keepNext/>
              <w:spacing w:before="0" w:after="0"/>
              <w:jc w:val="center"/>
            </w:pPr>
            <w:r>
              <w:rPr>
                <w:rFonts w:asciiTheme="majorHAnsi" w:hAnsiTheme="majorHAnsi" w:cstheme="majorHAnsi"/>
                <w:b/>
                <w:bCs/>
                <w:sz w:val="22"/>
                <w:szCs w:val="22"/>
              </w:rPr>
              <w:t xml:space="preserve">Thống kê</w:t>
            </w:r>
          </w:p>
        </w:tc>
        <w:tc>
          <w:tcPr>
            <w:tcW w:w="3400" w:type="dxa"/>
            <w:shd w:val="clear" w:color="auto" w:fill="D9E2F3"/>
            <w:vAlign w:val="center"/>
          </w:tcPr>
          <w:p>
            <w:pPr>
              <w:keepNext/>
              <w:spacing w:before="0" w:after="0"/>
              <w:jc w:val="center"/>
            </w:pPr>
            <w:r>
              <w:rPr>
                <w:rFonts w:asciiTheme="majorHAnsi" w:hAnsiTheme="majorHAnsi" w:cstheme="majorHAnsi"/>
                <w:b/>
                <w:bCs/>
                <w:sz w:val="22"/>
                <w:szCs w:val="22"/>
              </w:rPr>
              <w:t xml:space="preserve">Giá trị</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Số quan sát</w:t>
            </w:r>
          </w:p>
        </w:tc>
        <w:tc>
          <w:tcPr>
            <w:tcW w:w="3400" w:type="dxa"/>
            <w:vAlign w:val="center"/>
          </w:tcPr>
          <w:p>
            <w:pPr>
              <w:keepNext/>
              <w:spacing w:before="0" w:after="0"/>
              <w:jc w:val="right"/>
            </w:pPr>
            <w:r>
              <w:rPr>
                <w:rFonts w:asciiTheme="majorHAnsi" w:hAnsiTheme="majorHAnsi" w:cstheme="majorHAnsi"/>
                <w:sz w:val="22"/>
                <w:szCs w:val="22"/>
              </w:rPr>
              <w:t xml:space="preserve">1460</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Trung bình</w:t>
            </w:r>
          </w:p>
        </w:tc>
        <w:tc>
          <w:tcPr>
            <w:tcW w:w="3400" w:type="dxa"/>
            <w:vAlign w:val="center"/>
          </w:tcPr>
          <w:p>
            <w:pPr>
              <w:keepNext/>
              <w:spacing w:before="0" w:after="0"/>
              <w:jc w:val="right"/>
            </w:pPr>
            <w:r>
              <w:rPr>
                <w:rFonts w:asciiTheme="majorHAnsi" w:hAnsiTheme="majorHAnsi" w:cstheme="majorHAnsi"/>
                <w:sz w:val="22"/>
                <w:szCs w:val="22"/>
              </w:rPr>
              <w:t xml:space="preserve">180.921 USD</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Độ lệch chuẩn</w:t>
            </w:r>
          </w:p>
        </w:tc>
        <w:tc>
          <w:tcPr>
            <w:tcW w:w="3400" w:type="dxa"/>
            <w:vAlign w:val="center"/>
          </w:tcPr>
          <w:p>
            <w:pPr>
              <w:keepNext/>
              <w:spacing w:before="0" w:after="0"/>
              <w:jc w:val="right"/>
            </w:pPr>
            <w:r>
              <w:rPr>
                <w:rFonts w:asciiTheme="majorHAnsi" w:hAnsiTheme="majorHAnsi" w:cstheme="majorHAnsi"/>
                <w:sz w:val="22"/>
                <w:szCs w:val="22"/>
              </w:rPr>
              <w:t xml:space="preserve">79.443 USD</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Nhỏ nhất</w:t>
            </w:r>
          </w:p>
        </w:tc>
        <w:tc>
          <w:tcPr>
            <w:tcW w:w="3400" w:type="dxa"/>
            <w:vAlign w:val="center"/>
          </w:tcPr>
          <w:p>
            <w:pPr>
              <w:keepNext/>
              <w:spacing w:before="0" w:after="0"/>
              <w:jc w:val="right"/>
            </w:pPr>
            <w:r>
              <w:rPr>
                <w:rFonts w:asciiTheme="majorHAnsi" w:hAnsiTheme="majorHAnsi" w:cstheme="majorHAnsi"/>
                <w:sz w:val="22"/>
                <w:szCs w:val="22"/>
              </w:rPr>
              <w:t xml:space="preserve">34.900 USD</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Phân vị 25%</w:t>
            </w:r>
          </w:p>
        </w:tc>
        <w:tc>
          <w:tcPr>
            <w:tcW w:w="3400" w:type="dxa"/>
            <w:vAlign w:val="center"/>
          </w:tcPr>
          <w:p>
            <w:pPr>
              <w:keepNext/>
              <w:spacing w:before="0" w:after="0"/>
              <w:jc w:val="right"/>
            </w:pPr>
            <w:r>
              <w:rPr>
                <w:rFonts w:asciiTheme="majorHAnsi" w:hAnsiTheme="majorHAnsi" w:cstheme="majorHAnsi"/>
                <w:sz w:val="22"/>
                <w:szCs w:val="22"/>
              </w:rPr>
              <w:t xml:space="preserve">129.975 USD</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Trung vị (50%)</w:t>
            </w:r>
          </w:p>
        </w:tc>
        <w:tc>
          <w:tcPr>
            <w:tcW w:w="3400" w:type="dxa"/>
            <w:vAlign w:val="center"/>
          </w:tcPr>
          <w:p>
            <w:pPr>
              <w:keepNext/>
              <w:spacing w:before="0" w:after="0"/>
              <w:jc w:val="right"/>
            </w:pPr>
            <w:r>
              <w:rPr>
                <w:rFonts w:asciiTheme="majorHAnsi" w:hAnsiTheme="majorHAnsi" w:cstheme="majorHAnsi"/>
                <w:sz w:val="22"/>
                <w:szCs w:val="22"/>
              </w:rPr>
              <w:t xml:space="preserve">163.000 USD</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Phân vị 75%</w:t>
            </w:r>
          </w:p>
        </w:tc>
        <w:tc>
          <w:tcPr>
            <w:tcW w:w="3400" w:type="dxa"/>
            <w:vAlign w:val="center"/>
          </w:tcPr>
          <w:p>
            <w:pPr>
              <w:keepNext/>
              <w:spacing w:before="0" w:after="0"/>
              <w:jc w:val="right"/>
            </w:pPr>
            <w:r>
              <w:rPr>
                <w:rFonts w:asciiTheme="majorHAnsi" w:hAnsiTheme="majorHAnsi" w:cstheme="majorHAnsi"/>
                <w:sz w:val="22"/>
                <w:szCs w:val="22"/>
              </w:rPr>
              <w:t xml:space="preserve">214.000 USD</w:t>
            </w:r>
          </w:p>
        </w:tc>
      </w:tr>
      <w:tr>
        <w:trPr>
          <w:cantSplit/>
        </w:trPr>
        <w:tc>
          <w:tcPr>
            <w:tcW w:w="4000" w:type="dxa"/>
            <w:vAlign w:val="center"/>
          </w:tcPr>
          <w:p>
            <w:pPr>
              <w:keepNext/>
              <w:spacing w:before="0" w:after="0"/>
              <w:jc w:val="left"/>
            </w:pPr>
            <w:r>
              <w:rPr>
                <w:rFonts w:asciiTheme="majorHAnsi" w:hAnsiTheme="majorHAnsi" w:cstheme="majorHAnsi"/>
                <w:sz w:val="22"/>
                <w:szCs w:val="22"/>
              </w:rPr>
              <w:t xml:space="preserve">Lớn nhất</w:t>
            </w:r>
          </w:p>
        </w:tc>
        <w:tc>
          <w:tcPr>
            <w:tcW w:w="3400" w:type="dxa"/>
            <w:vAlign w:val="center"/>
          </w:tcPr>
          <w:p>
            <w:pPr>
              <w:keepNext/>
              <w:spacing w:before="0" w:after="0"/>
              <w:jc w:val="right"/>
            </w:pPr>
            <w:r>
              <w:rPr>
                <w:rFonts w:asciiTheme="majorHAnsi" w:hAnsiTheme="majorHAnsi" w:cstheme="majorHAnsi"/>
                <w:sz w:val="22"/>
                <w:szCs w:val="22"/>
              </w:rPr>
              <w:t xml:space="preserve">755.000 USD</w:t>
            </w:r>
          </w:p>
        </w:tc>
      </w:tr>
      <w:tr>
        <w:trPr>
          <w:cantSplit/>
        </w:trPr>
        <w:tc>
          <w:tcPr>
            <w:tcW w:w="4000" w:type="dxa"/>
            <w:vAlign w:val="center"/>
          </w:tcPr>
          <w:p>
            <w:pPr>
              <w:spacing w:before="0" w:after="0"/>
              <w:jc w:val="left"/>
            </w:pPr>
            <w:r>
              <w:rPr>
                <w:rFonts w:asciiTheme="majorHAnsi" w:hAnsiTheme="majorHAnsi" w:cstheme="majorHAnsi"/>
                <w:sz w:val="22"/>
                <w:szCs w:val="22"/>
              </w:rPr>
              <w:t xml:space="preserve">Độ lệch (skewness)</w:t>
            </w:r>
          </w:p>
        </w:tc>
        <w:tc>
          <w:tcPr>
            <w:tcW w:w="3400" w:type="dxa"/>
            <w:vAlign w:val="center"/>
          </w:tcPr>
          <w:p>
            <w:pPr>
              <w:spacing w:before="0" w:after="0"/>
              <w:jc w:val="right"/>
            </w:pPr>
            <w:r>
              <w:rPr>
                <w:rFonts w:asciiTheme="majorHAnsi" w:hAnsiTheme="majorHAnsi" w:cstheme="majorHAnsi"/>
                <w:sz w:val="22"/>
                <w:szCs w:val="22"/>
              </w:rPr>
              <w:t xml:space="preserve">1.883</w:t>
            </w:r>
          </w:p>
        </w:tc>
      </w:tr>
    </w:tbl>
    <w:p>
      <w:pPr>
        <w:spacing w:before="0" w:after="60"/>
      </w:pPr>
    </w:p>
    <w:p w14:paraId="2FE50151"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lastRenderedPageBreak/>
        <w:t>Qua thống kê ban đầu, SalePrice có khoảng giá khá rộng giữa các căn nhà. Giá trị trung bình lớn hơn nhiều so với phần lớn giá trị ở vùng giữa của phân phối, phù hợp với việc skewness dương và histogram bị kéo dài về phía bên phải. Đây là một đặc điểm cần chú ý vì các giá trị quá lớn có thể làm ảnh hưởng đến một số phương pháp mô hình hóa.</w:t>
      </w:r>
    </w:p>
    <w:p>
      <w:pPr>
        <w:keepNext/>
        <w:spacing w:before="120" w:after="80"/>
        <w:jc w:val="center"/>
      </w:pPr>
      <w:r>
        <w:drawing>
          <wp:inline xmlns:a="http://schemas.openxmlformats.org/drawingml/2006/main" xmlns:pic="http://schemas.openxmlformats.org/drawingml/2006/picture">
            <wp:extent cx="5760720" cy="1889555"/>
            <wp:docPr id="501" name="Picture 501" descr="Hình 1. Phân phối SalePrice trước và sau khi log-transform"/>
            <wp:cNvGraphicFramePr>
              <a:graphicFrameLocks noChangeAspect="1"/>
            </wp:cNvGraphicFramePr>
            <a:graphic>
              <a:graphicData uri="http://schemas.openxmlformats.org/drawingml/2006/picture">
                <pic:pic>
                  <pic:nvPicPr>
                    <pic:cNvPr id="0" name="Phan_tich_do_c3_1.png"/>
                    <pic:cNvPicPr/>
                  </pic:nvPicPr>
                  <pic:blipFill>
                    <a:blip r:embed="rId11"/>
                    <a:stretch>
                      <a:fillRect/>
                    </a:stretch>
                  </pic:blipFill>
                  <pic:spPr>
                    <a:xfrm>
                      <a:off x="0" y="0"/>
                      <a:ext cx="5760720" cy="1889555"/>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1. Phân phối SalePrice trước và sau khi log-transform</w:t>
      </w:r>
    </w:p>
    <w:p>
      <w:pPr>
        <w:spacing w:before="0" w:after="120"/>
      </w:pPr>
      <w:r>
        <w:rPr>
          <w:rFonts w:asciiTheme="majorHAnsi" w:hAnsiTheme="majorHAnsi" w:cstheme="majorHAnsi"/>
          <w:sz w:val="26"/>
          <w:szCs w:val="26"/>
        </w:rPr>
        <w:t xml:space="preserve">Sau khi lấy log(SalePrice + 1), độ lệch giảm từ 1.883 xuống 0.121 và phân phối cân đối hơn rõ rệt (Hình 1). Vì vậy khi xây dựng mô hình có thể cân nhắc dự đoán log(SalePrice) thay vì dùng SalePrice trực tiếp.</w:t>
      </w:r>
    </w:p>
    <w:p w14:paraId="6D5AB548" w14:textId="0732FAAB" w:rsidR="00FC5BC3" w:rsidRPr="00905257" w:rsidRDefault="00905257" w:rsidP="00FC5BC3">
      <w:pPr>
        <w:pStyle w:val="u1"/>
        <w:keepNext/>
        <w:spacing w:before="300" w:after="150"/>
        <w:rPr>
          <w:rFonts w:asciiTheme="majorHAnsi" w:hAnsiTheme="majorHAnsi" w:cstheme="majorHAnsi"/>
          <w:b/>
          <w:bCs/>
          <w:color w:val="1F3864"/>
        </w:rPr>
      </w:pPr>
      <w:bookmarkStart w:id="2" w:name="_Toc241153236"/>
      <w:r>
        <w:rPr>
          <w:rFonts w:asciiTheme="majorHAnsi" w:hAnsiTheme="majorHAnsi" w:cstheme="majorHAnsi"/>
          <w:b/>
          <w:bCs/>
          <w:color w:val="1F3864"/>
          <w:lang w:val="en-US"/>
        </w:rPr>
        <w:t>3</w:t>
      </w:r>
      <w:r w:rsidR="00FC5BC3" w:rsidRPr="00905257">
        <w:rPr>
          <w:rFonts w:asciiTheme="majorHAnsi" w:hAnsiTheme="majorHAnsi" w:cstheme="majorHAnsi"/>
          <w:b/>
          <w:bCs/>
          <w:color w:val="1F3864"/>
        </w:rPr>
        <w:t>. Phân tích đơn biến</w:t>
      </w:r>
      <w:bookmarkEnd w:id="2"/>
    </w:p>
    <w:p>
      <w:pPr>
        <w:pStyle w:val="u2"/>
        <w:keepNext/>
        <w:spacing w:before="200" w:after="100"/>
      </w:pPr>
      <w:bookmarkStart w:id="305" w:name="_Toc900000305"/>
      <w:r>
        <w:rPr>
          <w:rFonts w:asciiTheme="majorHAnsi" w:hAnsiTheme="majorHAnsi" w:cstheme="majorHAnsi"/>
          <w:color w:val="2E74B5"/>
          <w:sz w:val="26"/>
          <w:szCs w:val="26"/>
        </w:rPr>
        <w:t xml:space="preserve">3.1. Các biến số quan trọng</w:t>
      </w:r>
      <w:bookmarkEnd w:id="305"/>
    </w:p>
    <w:p w14:paraId="4BE981B1"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Các biến diện tích như GrLivArea, TotalBsmtSF, 1stFlrSF và LotArea đều có phân phối lệch phải. Điều này dễ quan sát trên histogram vì phần lớn giá trị nằm ở vùng thấp và có một số giá trị lớn kéo dài về phía bên phải. Biến OverallQual tập trung chủ yếu ở mức 5 đến 7, cho thấy phần lớn các căn nhà trong tập dữ liệu có chất lượng tổng thể ở mức trung bình đến khá. Đây là những thông tin ban đầu giúp nhóm hiểu được đặc điểm của dữ liệu trước khi xem xét mối quan hệ giữa các biến.</w:t>
      </w:r>
    </w:p>
    <w:p w14:paraId="58214AED"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t>Đối với phân tích đơn biến, nhóm chủ yếu sử dụng histogram và countplot. Histogram phù hợp với các biến số vì cho thấy dữ liệu tập trung ở đâu và có bị lệch hay không. Với các biến phân loại, countplot giúp nhìn nhanh nhóm nào xuất hiện nhiều và nhóm nào xuất hiện ít.</w:t>
      </w:r>
    </w:p>
    <w:p>
      <w:pPr>
        <w:spacing w:before="0" w:after="120"/>
      </w:pPr>
      <w:r>
        <w:rPr>
          <w:rFonts w:asciiTheme="majorHAnsi" w:hAnsiTheme="majorHAnsi" w:cstheme="majorHAnsi"/>
          <w:sz w:val="26"/>
          <w:szCs w:val="26"/>
        </w:rPr>
        <w:t xml:space="preserve">Hình 2 trình bày histogram kèm đường KDE của sáu biến số quan trọng. Ngoài việc các biến diện tích lệch phải, YearBuilt cho thấy số lượng nhà xây tăng dần theo thời gian và tập trung khá nhiều ở các năm gần đây của bộ dữ liệu. GarageArea có một lượng lớn giá trị bằng 0, tương ứng với những nhà không có garage.</w:t>
      </w:r>
    </w:p>
    <w:p>
      <w:pPr>
        <w:keepNext/>
        <w:spacing w:before="120" w:after="80"/>
        <w:jc w:val="center"/>
      </w:pPr>
      <w:r>
        <w:drawing>
          <wp:inline xmlns:a="http://schemas.openxmlformats.org/drawingml/2006/main" xmlns:pic="http://schemas.openxmlformats.org/drawingml/2006/picture">
            <wp:extent cx="5760720" cy="3056393"/>
            <wp:docPr id="502" name="Picture 502" descr="Hình 2. Phân phối của sáu biến số quan trọng (GrLivArea, TotalBsmtSF, 1stFlrSF, LotArea, GarageArea, YearBuilt)"/>
            <wp:cNvGraphicFramePr>
              <a:graphicFrameLocks noChangeAspect="1"/>
            </wp:cNvGraphicFramePr>
            <a:graphic>
              <a:graphicData uri="http://schemas.openxmlformats.org/drawingml/2006/picture">
                <pic:pic>
                  <pic:nvPicPr>
                    <pic:cNvPr id="0" name="Phan_tich_do_c7_2.png"/>
                    <pic:cNvPicPr/>
                  </pic:nvPicPr>
                  <pic:blipFill>
                    <a:blip r:embed="rId12"/>
                    <a:stretch>
                      <a:fillRect/>
                    </a:stretch>
                  </pic:blipFill>
                  <pic:spPr>
                    <a:xfrm>
                      <a:off x="0" y="0"/>
                      <a:ext cx="5760720" cy="3056393"/>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2. Phân phối của sáu biến số quan trọng (GrLivArea, TotalBsmtSF, 1stFlrSF, LotArea, GarageArea, YearBuilt)</w:t>
      </w:r>
    </w:p>
    <w:p>
      <w:pPr>
        <w:pStyle w:val="u2"/>
        <w:keepNext/>
        <w:spacing w:before="200" w:after="100"/>
      </w:pPr>
      <w:bookmarkStart w:id="306" w:name="_Toc900000306"/>
      <w:r>
        <w:rPr>
          <w:rFonts w:asciiTheme="majorHAnsi" w:hAnsiTheme="majorHAnsi" w:cstheme="majorHAnsi"/>
          <w:color w:val="2E74B5"/>
          <w:sz w:val="26"/>
          <w:szCs w:val="26"/>
        </w:rPr>
        <w:t xml:space="preserve">3.2. Biến thứ bậc OverallQual</w:t>
      </w:r>
      <w:bookmarkEnd w:id="306"/>
    </w:p>
    <w:p>
      <w:pPr>
        <w:spacing w:before="0" w:after="120"/>
      </w:pPr>
      <w:r>
        <w:rPr>
          <w:rFonts w:asciiTheme="majorHAnsi" w:hAnsiTheme="majorHAnsi" w:cstheme="majorHAnsi"/>
          <w:sz w:val="26"/>
          <w:szCs w:val="26"/>
        </w:rPr>
        <w:t xml:space="preserve">Hình 3 và Bảng 6 thống kê số lượng nhà theo từng mức đánh giá chất lượng tổng thể (1 là thấp nhất, 10 là cao nhất). Ba mức 5, 6 và 7 chiếm 1090 trong 1460 căn nhà (khoảng 74.7%), trong khi các mức rất thấp (1-2) và rất cao (9-10) chỉ chiếm số ít. Điều này cho thấy phần lớn nhà trong tập dữ liệu có chất lượng tổng thể ở mức trung bình đến khá.</w:t>
      </w:r>
    </w:p>
    <w:p>
      <w:pPr>
        <w:keepNext/>
        <w:spacing w:before="160" w:after="80"/>
        <w:jc w:val="center"/>
      </w:pPr>
      <w:r>
        <w:rPr>
          <w:rFonts w:asciiTheme="majorHAnsi" w:hAnsiTheme="majorHAnsi" w:cstheme="majorHAnsi"/>
          <w:i/>
          <w:iCs/>
          <w:sz w:val="22"/>
          <w:szCs w:val="22"/>
        </w:rPr>
        <w:t xml:space="preserve">Bảng 6. Số lượng nhà theo mức OverallQual</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1500"/>
        <w:gridCol w:w="770"/>
        <w:gridCol w:w="770"/>
        <w:gridCol w:w="770"/>
        <w:gridCol w:w="770"/>
        <w:gridCol w:w="770"/>
        <w:gridCol w:w="770"/>
        <w:gridCol w:w="770"/>
        <w:gridCol w:w="770"/>
        <w:gridCol w:w="770"/>
        <w:gridCol w:w="770"/>
      </w:tblGrid>
      <w:tr>
        <w:trPr>
          <w:cantSplit/>
          <w:tblHeader/>
        </w:trPr>
        <w:tc>
          <w:tcPr>
            <w:tcW w:w="1500" w:type="dxa"/>
            <w:shd w:val="clear" w:color="auto" w:fill="D9E2F3"/>
            <w:vAlign w:val="center"/>
          </w:tcPr>
          <w:p>
            <w:pPr>
              <w:keepNext/>
              <w:spacing w:before="0" w:after="0"/>
              <w:jc w:val="center"/>
            </w:pPr>
            <w:r>
              <w:rPr>
                <w:rFonts w:asciiTheme="majorHAnsi" w:hAnsiTheme="majorHAnsi" w:cstheme="majorHAnsi"/>
                <w:b/>
                <w:bCs/>
                <w:sz w:val="20"/>
                <w:szCs w:val="20"/>
              </w:rPr>
              <w:t xml:space="preserve">Mức</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1</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2</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3</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4</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5</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6</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7</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8</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9</w:t>
            </w:r>
          </w:p>
        </w:tc>
        <w:tc>
          <w:tcPr>
            <w:tcW w:w="770" w:type="dxa"/>
            <w:shd w:val="clear" w:color="auto" w:fill="D9E2F3"/>
            <w:vAlign w:val="center"/>
          </w:tcPr>
          <w:p>
            <w:pPr>
              <w:keepNext/>
              <w:spacing w:before="0" w:after="0"/>
              <w:jc w:val="center"/>
            </w:pPr>
            <w:r>
              <w:rPr>
                <w:rFonts w:asciiTheme="majorHAnsi" w:hAnsiTheme="majorHAnsi" w:cstheme="majorHAnsi"/>
                <w:b/>
                <w:bCs/>
                <w:sz w:val="20"/>
                <w:szCs w:val="20"/>
              </w:rPr>
              <w:t xml:space="preserve">10</w:t>
            </w:r>
          </w:p>
        </w:tc>
      </w:tr>
      <w:tr>
        <w:trPr>
          <w:cantSplit/>
        </w:trPr>
        <w:tc>
          <w:tcPr>
            <w:tcW w:w="1500" w:type="dxa"/>
            <w:vAlign w:val="center"/>
          </w:tcPr>
          <w:p>
            <w:pPr>
              <w:keepNext/>
              <w:spacing w:before="0" w:after="0"/>
              <w:jc w:val="left"/>
            </w:pPr>
            <w:r>
              <w:rPr>
                <w:rFonts w:asciiTheme="majorHAnsi" w:hAnsiTheme="majorHAnsi" w:cstheme="majorHAnsi"/>
                <w:sz w:val="20"/>
                <w:szCs w:val="20"/>
              </w:rPr>
              <w:t xml:space="preserve">Số nhà</w:t>
            </w:r>
          </w:p>
        </w:tc>
        <w:tc>
          <w:tcPr>
            <w:tcW w:w="770" w:type="dxa"/>
            <w:vAlign w:val="center"/>
          </w:tcPr>
          <w:p>
            <w:pPr>
              <w:keepNext/>
              <w:spacing w:before="0" w:after="0"/>
              <w:jc w:val="center"/>
            </w:pPr>
            <w:r>
              <w:rPr>
                <w:rFonts w:asciiTheme="majorHAnsi" w:hAnsiTheme="majorHAnsi" w:cstheme="majorHAnsi"/>
                <w:sz w:val="20"/>
                <w:szCs w:val="20"/>
              </w:rPr>
              <w:t xml:space="preserve">2</w:t>
            </w:r>
          </w:p>
        </w:tc>
        <w:tc>
          <w:tcPr>
            <w:tcW w:w="770" w:type="dxa"/>
            <w:vAlign w:val="center"/>
          </w:tcPr>
          <w:p>
            <w:pPr>
              <w:keepNext/>
              <w:spacing w:before="0" w:after="0"/>
              <w:jc w:val="center"/>
            </w:pPr>
            <w:r>
              <w:rPr>
                <w:rFonts w:asciiTheme="majorHAnsi" w:hAnsiTheme="majorHAnsi" w:cstheme="majorHAnsi"/>
                <w:sz w:val="20"/>
                <w:szCs w:val="20"/>
              </w:rPr>
              <w:t xml:space="preserve">3</w:t>
            </w:r>
          </w:p>
        </w:tc>
        <w:tc>
          <w:tcPr>
            <w:tcW w:w="770" w:type="dxa"/>
            <w:vAlign w:val="center"/>
          </w:tcPr>
          <w:p>
            <w:pPr>
              <w:keepNext/>
              <w:spacing w:before="0" w:after="0"/>
              <w:jc w:val="center"/>
            </w:pPr>
            <w:r>
              <w:rPr>
                <w:rFonts w:asciiTheme="majorHAnsi" w:hAnsiTheme="majorHAnsi" w:cstheme="majorHAnsi"/>
                <w:sz w:val="20"/>
                <w:szCs w:val="20"/>
              </w:rPr>
              <w:t xml:space="preserve">20</w:t>
            </w:r>
          </w:p>
        </w:tc>
        <w:tc>
          <w:tcPr>
            <w:tcW w:w="770" w:type="dxa"/>
            <w:vAlign w:val="center"/>
          </w:tcPr>
          <w:p>
            <w:pPr>
              <w:keepNext/>
              <w:spacing w:before="0" w:after="0"/>
              <w:jc w:val="center"/>
            </w:pPr>
            <w:r>
              <w:rPr>
                <w:rFonts w:asciiTheme="majorHAnsi" w:hAnsiTheme="majorHAnsi" w:cstheme="majorHAnsi"/>
                <w:sz w:val="20"/>
                <w:szCs w:val="20"/>
              </w:rPr>
              <w:t xml:space="preserve">116</w:t>
            </w:r>
          </w:p>
        </w:tc>
        <w:tc>
          <w:tcPr>
            <w:tcW w:w="770" w:type="dxa"/>
            <w:vAlign w:val="center"/>
          </w:tcPr>
          <w:p>
            <w:pPr>
              <w:keepNext/>
              <w:spacing w:before="0" w:after="0"/>
              <w:jc w:val="center"/>
            </w:pPr>
            <w:r>
              <w:rPr>
                <w:rFonts w:asciiTheme="majorHAnsi" w:hAnsiTheme="majorHAnsi" w:cstheme="majorHAnsi"/>
                <w:sz w:val="20"/>
                <w:szCs w:val="20"/>
              </w:rPr>
              <w:t xml:space="preserve">397</w:t>
            </w:r>
          </w:p>
        </w:tc>
        <w:tc>
          <w:tcPr>
            <w:tcW w:w="770" w:type="dxa"/>
            <w:vAlign w:val="center"/>
          </w:tcPr>
          <w:p>
            <w:pPr>
              <w:keepNext/>
              <w:spacing w:before="0" w:after="0"/>
              <w:jc w:val="center"/>
            </w:pPr>
            <w:r>
              <w:rPr>
                <w:rFonts w:asciiTheme="majorHAnsi" w:hAnsiTheme="majorHAnsi" w:cstheme="majorHAnsi"/>
                <w:sz w:val="20"/>
                <w:szCs w:val="20"/>
              </w:rPr>
              <w:t xml:space="preserve">374</w:t>
            </w:r>
          </w:p>
        </w:tc>
        <w:tc>
          <w:tcPr>
            <w:tcW w:w="770" w:type="dxa"/>
            <w:vAlign w:val="center"/>
          </w:tcPr>
          <w:p>
            <w:pPr>
              <w:keepNext/>
              <w:spacing w:before="0" w:after="0"/>
              <w:jc w:val="center"/>
            </w:pPr>
            <w:r>
              <w:rPr>
                <w:rFonts w:asciiTheme="majorHAnsi" w:hAnsiTheme="majorHAnsi" w:cstheme="majorHAnsi"/>
                <w:sz w:val="20"/>
                <w:szCs w:val="20"/>
              </w:rPr>
              <w:t xml:space="preserve">319</w:t>
            </w:r>
          </w:p>
        </w:tc>
        <w:tc>
          <w:tcPr>
            <w:tcW w:w="770" w:type="dxa"/>
            <w:vAlign w:val="center"/>
          </w:tcPr>
          <w:p>
            <w:pPr>
              <w:keepNext/>
              <w:spacing w:before="0" w:after="0"/>
              <w:jc w:val="center"/>
            </w:pPr>
            <w:r>
              <w:rPr>
                <w:rFonts w:asciiTheme="majorHAnsi" w:hAnsiTheme="majorHAnsi" w:cstheme="majorHAnsi"/>
                <w:sz w:val="20"/>
                <w:szCs w:val="20"/>
              </w:rPr>
              <w:t xml:space="preserve">168</w:t>
            </w:r>
          </w:p>
        </w:tc>
        <w:tc>
          <w:tcPr>
            <w:tcW w:w="770" w:type="dxa"/>
            <w:vAlign w:val="center"/>
          </w:tcPr>
          <w:p>
            <w:pPr>
              <w:keepNext/>
              <w:spacing w:before="0" w:after="0"/>
              <w:jc w:val="center"/>
            </w:pPr>
            <w:r>
              <w:rPr>
                <w:rFonts w:asciiTheme="majorHAnsi" w:hAnsiTheme="majorHAnsi" w:cstheme="majorHAnsi"/>
                <w:sz w:val="20"/>
                <w:szCs w:val="20"/>
              </w:rPr>
              <w:t xml:space="preserve">43</w:t>
            </w:r>
          </w:p>
        </w:tc>
        <w:tc>
          <w:tcPr>
            <w:tcW w:w="770" w:type="dxa"/>
            <w:vAlign w:val="center"/>
          </w:tcPr>
          <w:p>
            <w:pPr>
              <w:keepNext/>
              <w:spacing w:before="0" w:after="0"/>
              <w:jc w:val="center"/>
            </w:pPr>
            <w:r>
              <w:rPr>
                <w:rFonts w:asciiTheme="majorHAnsi" w:hAnsiTheme="majorHAnsi" w:cstheme="majorHAnsi"/>
                <w:sz w:val="20"/>
                <w:szCs w:val="20"/>
              </w:rPr>
              <w:t xml:space="preserve">18</w:t>
            </w:r>
          </w:p>
        </w:tc>
      </w:tr>
      <w:tr>
        <w:trPr>
          <w:cantSplit/>
        </w:trPr>
        <w:tc>
          <w:tcPr>
            <w:tcW w:w="1500" w:type="dxa"/>
            <w:vAlign w:val="center"/>
          </w:tcPr>
          <w:p>
            <w:pPr>
              <w:spacing w:before="0" w:after="0"/>
              <w:jc w:val="left"/>
            </w:pPr>
            <w:r>
              <w:rPr>
                <w:rFonts w:asciiTheme="majorHAnsi" w:hAnsiTheme="majorHAnsi" w:cstheme="majorHAnsi"/>
                <w:sz w:val="20"/>
                <w:szCs w:val="20"/>
              </w:rPr>
              <w:t xml:space="preserve">Tỷ lệ (%)</w:t>
            </w:r>
          </w:p>
        </w:tc>
        <w:tc>
          <w:tcPr>
            <w:tcW w:w="770" w:type="dxa"/>
            <w:vAlign w:val="center"/>
          </w:tcPr>
          <w:p>
            <w:pPr>
              <w:spacing w:before="0" w:after="0"/>
              <w:jc w:val="center"/>
            </w:pPr>
            <w:r>
              <w:rPr>
                <w:rFonts w:asciiTheme="majorHAnsi" w:hAnsiTheme="majorHAnsi" w:cstheme="majorHAnsi"/>
                <w:sz w:val="20"/>
                <w:szCs w:val="20"/>
              </w:rPr>
              <w:t xml:space="preserve">0.1</w:t>
            </w:r>
          </w:p>
        </w:tc>
        <w:tc>
          <w:tcPr>
            <w:tcW w:w="770" w:type="dxa"/>
            <w:vAlign w:val="center"/>
          </w:tcPr>
          <w:p>
            <w:pPr>
              <w:spacing w:before="0" w:after="0"/>
              <w:jc w:val="center"/>
            </w:pPr>
            <w:r>
              <w:rPr>
                <w:rFonts w:asciiTheme="majorHAnsi" w:hAnsiTheme="majorHAnsi" w:cstheme="majorHAnsi"/>
                <w:sz w:val="20"/>
                <w:szCs w:val="20"/>
              </w:rPr>
              <w:t xml:space="preserve">0.2</w:t>
            </w:r>
          </w:p>
        </w:tc>
        <w:tc>
          <w:tcPr>
            <w:tcW w:w="770" w:type="dxa"/>
            <w:vAlign w:val="center"/>
          </w:tcPr>
          <w:p>
            <w:pPr>
              <w:spacing w:before="0" w:after="0"/>
              <w:jc w:val="center"/>
            </w:pPr>
            <w:r>
              <w:rPr>
                <w:rFonts w:asciiTheme="majorHAnsi" w:hAnsiTheme="majorHAnsi" w:cstheme="majorHAnsi"/>
                <w:sz w:val="20"/>
                <w:szCs w:val="20"/>
              </w:rPr>
              <w:t xml:space="preserve">1.4</w:t>
            </w:r>
          </w:p>
        </w:tc>
        <w:tc>
          <w:tcPr>
            <w:tcW w:w="770" w:type="dxa"/>
            <w:vAlign w:val="center"/>
          </w:tcPr>
          <w:p>
            <w:pPr>
              <w:spacing w:before="0" w:after="0"/>
              <w:jc w:val="center"/>
            </w:pPr>
            <w:r>
              <w:rPr>
                <w:rFonts w:asciiTheme="majorHAnsi" w:hAnsiTheme="majorHAnsi" w:cstheme="majorHAnsi"/>
                <w:sz w:val="20"/>
                <w:szCs w:val="20"/>
              </w:rPr>
              <w:t xml:space="preserve">7.9</w:t>
            </w:r>
          </w:p>
        </w:tc>
        <w:tc>
          <w:tcPr>
            <w:tcW w:w="770" w:type="dxa"/>
            <w:vAlign w:val="center"/>
          </w:tcPr>
          <w:p>
            <w:pPr>
              <w:spacing w:before="0" w:after="0"/>
              <w:jc w:val="center"/>
            </w:pPr>
            <w:r>
              <w:rPr>
                <w:rFonts w:asciiTheme="majorHAnsi" w:hAnsiTheme="majorHAnsi" w:cstheme="majorHAnsi"/>
                <w:sz w:val="20"/>
                <w:szCs w:val="20"/>
              </w:rPr>
              <w:t xml:space="preserve">27.2</w:t>
            </w:r>
          </w:p>
        </w:tc>
        <w:tc>
          <w:tcPr>
            <w:tcW w:w="770" w:type="dxa"/>
            <w:vAlign w:val="center"/>
          </w:tcPr>
          <w:p>
            <w:pPr>
              <w:spacing w:before="0" w:after="0"/>
              <w:jc w:val="center"/>
            </w:pPr>
            <w:r>
              <w:rPr>
                <w:rFonts w:asciiTheme="majorHAnsi" w:hAnsiTheme="majorHAnsi" w:cstheme="majorHAnsi"/>
                <w:sz w:val="20"/>
                <w:szCs w:val="20"/>
              </w:rPr>
              <w:t xml:space="preserve">25.6</w:t>
            </w:r>
          </w:p>
        </w:tc>
        <w:tc>
          <w:tcPr>
            <w:tcW w:w="770" w:type="dxa"/>
            <w:vAlign w:val="center"/>
          </w:tcPr>
          <w:p>
            <w:pPr>
              <w:spacing w:before="0" w:after="0"/>
              <w:jc w:val="center"/>
            </w:pPr>
            <w:r>
              <w:rPr>
                <w:rFonts w:asciiTheme="majorHAnsi" w:hAnsiTheme="majorHAnsi" w:cstheme="majorHAnsi"/>
                <w:sz w:val="20"/>
                <w:szCs w:val="20"/>
              </w:rPr>
              <w:t xml:space="preserve">21.8</w:t>
            </w:r>
          </w:p>
        </w:tc>
        <w:tc>
          <w:tcPr>
            <w:tcW w:w="770" w:type="dxa"/>
            <w:vAlign w:val="center"/>
          </w:tcPr>
          <w:p>
            <w:pPr>
              <w:spacing w:before="0" w:after="0"/>
              <w:jc w:val="center"/>
            </w:pPr>
            <w:r>
              <w:rPr>
                <w:rFonts w:asciiTheme="majorHAnsi" w:hAnsiTheme="majorHAnsi" w:cstheme="majorHAnsi"/>
                <w:sz w:val="20"/>
                <w:szCs w:val="20"/>
              </w:rPr>
              <w:t xml:space="preserve">11.5</w:t>
            </w:r>
          </w:p>
        </w:tc>
        <w:tc>
          <w:tcPr>
            <w:tcW w:w="770" w:type="dxa"/>
            <w:vAlign w:val="center"/>
          </w:tcPr>
          <w:p>
            <w:pPr>
              <w:spacing w:before="0" w:after="0"/>
              <w:jc w:val="center"/>
            </w:pPr>
            <w:r>
              <w:rPr>
                <w:rFonts w:asciiTheme="majorHAnsi" w:hAnsiTheme="majorHAnsi" w:cstheme="majorHAnsi"/>
                <w:sz w:val="20"/>
                <w:szCs w:val="20"/>
              </w:rPr>
              <w:t xml:space="preserve">2.9</w:t>
            </w:r>
          </w:p>
        </w:tc>
        <w:tc>
          <w:tcPr>
            <w:tcW w:w="770" w:type="dxa"/>
            <w:vAlign w:val="center"/>
          </w:tcPr>
          <w:p>
            <w:pPr>
              <w:spacing w:before="0" w:after="0"/>
              <w:jc w:val="center"/>
            </w:pPr>
            <w:r>
              <w:rPr>
                <w:rFonts w:asciiTheme="majorHAnsi" w:hAnsiTheme="majorHAnsi" w:cstheme="majorHAnsi"/>
                <w:sz w:val="20"/>
                <w:szCs w:val="20"/>
              </w:rPr>
              <w:t xml:space="preserve">1.2</w:t>
            </w:r>
          </w:p>
        </w:tc>
      </w:tr>
    </w:tbl>
    <w:p>
      <w:pPr>
        <w:spacing w:before="0" w:after="60"/>
      </w:pPr>
    </w:p>
    <w:p>
      <w:pPr>
        <w:keepNext/>
        <w:spacing w:before="120" w:after="80"/>
        <w:jc w:val="center"/>
      </w:pPr>
      <w:r>
        <w:drawing>
          <wp:inline xmlns:a="http://schemas.openxmlformats.org/drawingml/2006/main" xmlns:pic="http://schemas.openxmlformats.org/drawingml/2006/picture">
            <wp:extent cx="4206240" cy="2558905"/>
            <wp:docPr id="503" name="Picture 503" descr="Hình 3. Số lượng nhà theo mức đánh giá chất lượng tổng thể OverallQual"/>
            <wp:cNvGraphicFramePr>
              <a:graphicFrameLocks noChangeAspect="1"/>
            </wp:cNvGraphicFramePr>
            <a:graphic>
              <a:graphicData uri="http://schemas.openxmlformats.org/drawingml/2006/picture">
                <pic:pic>
                  <pic:nvPicPr>
                    <pic:cNvPr id="0" name="Phan_tich_do_c10_3.png"/>
                    <pic:cNvPicPr/>
                  </pic:nvPicPr>
                  <pic:blipFill>
                    <a:blip r:embed="rId13"/>
                    <a:stretch>
                      <a:fillRect/>
                    </a:stretch>
                  </pic:blipFill>
                  <pic:spPr>
                    <a:xfrm>
                      <a:off x="0" y="0"/>
                      <a:ext cx="4206240" cy="2558905"/>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3. Số lượng nhà theo mức đánh giá chất lượng tổng thể OverallQual</w:t>
      </w:r>
    </w:p>
    <w:p>
      <w:pPr>
        <w:pStyle w:val="u2"/>
        <w:keepNext/>
        <w:spacing w:before="200" w:after="100"/>
      </w:pPr>
      <w:bookmarkStart w:id="307" w:name="_Toc900000307"/>
      <w:r>
        <w:rPr>
          <w:rFonts w:asciiTheme="majorHAnsi" w:hAnsiTheme="majorHAnsi" w:cstheme="majorHAnsi"/>
          <w:color w:val="2E74B5"/>
          <w:sz w:val="26"/>
          <w:szCs w:val="26"/>
        </w:rPr>
        <w:t xml:space="preserve">3.3. Các biến phân loại</w:t>
      </w:r>
      <w:bookmarkEnd w:id="307"/>
    </w:p>
    <w:p>
      <w:pPr>
        <w:spacing w:before="0" w:after="120"/>
      </w:pPr>
      <w:r>
        <w:rPr>
          <w:rFonts w:asciiTheme="majorHAnsi" w:hAnsiTheme="majorHAnsi" w:cstheme="majorHAnsi"/>
          <w:sz w:val="26"/>
          <w:szCs w:val="26"/>
        </w:rPr>
        <w:t xml:space="preserve">Nhóm chọn bốn biến phân loại tiêu biểu là Neighborhood, HouseStyle, SaleCondition và KitchenQual để vẽ countplot, sắp xếp theo số lượng giảm dần (Hình 4).</w:t>
      </w:r>
    </w:p>
    <w:p>
      <w:pPr>
        <w:keepNext/>
        <w:spacing w:before="120" w:after="80"/>
        <w:jc w:val="center"/>
      </w:pPr>
      <w:r>
        <w:drawing>
          <wp:inline xmlns:a="http://schemas.openxmlformats.org/drawingml/2006/main" xmlns:pic="http://schemas.openxmlformats.org/drawingml/2006/picture">
            <wp:extent cx="5760720" cy="3830163"/>
            <wp:docPr id="504" name="Picture 504" descr="Hình 4. Phân phối các biến phân loại: Neighborhood, HouseStyle, SaleCondition và KitchenQual"/>
            <wp:cNvGraphicFramePr>
              <a:graphicFrameLocks noChangeAspect="1"/>
            </wp:cNvGraphicFramePr>
            <a:graphic>
              <a:graphicData uri="http://schemas.openxmlformats.org/drawingml/2006/picture">
                <pic:pic>
                  <pic:nvPicPr>
                    <pic:cNvPr id="0" name="Phan_tich_do_c12_4.png"/>
                    <pic:cNvPicPr/>
                  </pic:nvPicPr>
                  <pic:blipFill>
                    <a:blip r:embed="rId14"/>
                    <a:stretch>
                      <a:fillRect/>
                    </a:stretch>
                  </pic:blipFill>
                  <pic:spPr>
                    <a:xfrm>
                      <a:off x="0" y="0"/>
                      <a:ext cx="5760720" cy="3830163"/>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4. Phân phối các biến phân loại: Neighborhood, HouseStyle, SaleCondition và KitchenQual</w:t>
      </w:r>
    </w:p>
    <w:p w14:paraId="7A1D329C"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Ba khu vực (Neighborhood) có nhiều giao dịch nhất là NAmes, CollgCr và OldTown. Về HouseStyle, nhà 1 tầng và 2 tầng chiếm phần lớn số giao dịch. Đối với SaleCondition, phần lớn giao dịch thuộc điều kiện bán Normal. Nhìn chung, các biến phân loại có mức độ xuất hiện không giống nhau giữa các nhóm, vì vậy khi xây dựng mô hình cần chú ý đến cách mã hóa và cách xử lý từng biến.</w:t>
      </w:r>
    </w:p>
    <w:p>
      <w:pPr>
        <w:spacing w:before="0" w:after="120"/>
      </w:pPr>
      <w:r>
        <w:rPr>
          <w:rFonts w:asciiTheme="majorHAnsi" w:hAnsiTheme="majorHAnsi" w:cstheme="majorHAnsi"/>
          <w:sz w:val="26"/>
          <w:szCs w:val="26"/>
        </w:rPr>
        <w:t xml:space="preserve">Bảng 7 và Bảng 8 cụ thể hóa số lượng giao dịch của 5 khu vực đứng đầu và của từng điều kiện bán.</w:t>
      </w:r>
    </w:p>
    <w:p>
      <w:pPr>
        <w:keepNext/>
        <w:spacing w:before="160" w:after="80"/>
        <w:jc w:val="center"/>
      </w:pPr>
      <w:r>
        <w:rPr>
          <w:rFonts w:asciiTheme="majorHAnsi" w:hAnsiTheme="majorHAnsi" w:cstheme="majorHAnsi"/>
          <w:i/>
          <w:iCs/>
          <w:sz w:val="22"/>
          <w:szCs w:val="22"/>
        </w:rPr>
        <w:t xml:space="preserve">Bảng 7. Năm khu vực (Neighborhood) có nhiều giao dịch nhất</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3000"/>
        <w:gridCol w:w="2200"/>
        <w:gridCol w:w="2200"/>
      </w:tblGrid>
      <w:tr>
        <w:trPr>
          <w:cantSplit/>
          <w:tblHeader/>
        </w:trPr>
        <w:tc>
          <w:tcPr>
            <w:tcW w:w="3000" w:type="dxa"/>
            <w:shd w:val="clear" w:color="auto" w:fill="D9E2F3"/>
            <w:vAlign w:val="center"/>
          </w:tcPr>
          <w:p>
            <w:pPr>
              <w:keepNext/>
              <w:spacing w:before="0" w:after="0"/>
              <w:jc w:val="center"/>
            </w:pPr>
            <w:r>
              <w:rPr>
                <w:rFonts w:asciiTheme="majorHAnsi" w:hAnsiTheme="majorHAnsi" w:cstheme="majorHAnsi"/>
                <w:b/>
                <w:bCs/>
                <w:sz w:val="22"/>
                <w:szCs w:val="22"/>
              </w:rPr>
              <w:t xml:space="preserve">Neighborhood</w:t>
            </w:r>
          </w:p>
        </w:tc>
        <w:tc>
          <w:tcPr>
            <w:tcW w:w="2200" w:type="dxa"/>
            <w:shd w:val="clear" w:color="auto" w:fill="D9E2F3"/>
            <w:vAlign w:val="center"/>
          </w:tcPr>
          <w:p>
            <w:pPr>
              <w:keepNext/>
              <w:spacing w:before="0" w:after="0"/>
              <w:jc w:val="center"/>
            </w:pPr>
            <w:r>
              <w:rPr>
                <w:rFonts w:asciiTheme="majorHAnsi" w:hAnsiTheme="majorHAnsi" w:cstheme="majorHAnsi"/>
                <w:b/>
                <w:bCs/>
                <w:sz w:val="22"/>
                <w:szCs w:val="22"/>
              </w:rPr>
              <w:t xml:space="preserve">Số giao dịch</w:t>
            </w:r>
          </w:p>
        </w:tc>
        <w:tc>
          <w:tcPr>
            <w:tcW w:w="2200" w:type="dxa"/>
            <w:shd w:val="clear" w:color="auto" w:fill="D9E2F3"/>
            <w:vAlign w:val="center"/>
          </w:tcPr>
          <w:p>
            <w:pPr>
              <w:keepNext/>
              <w:spacing w:before="0" w:after="0"/>
              <w:jc w:val="center"/>
            </w:pPr>
            <w:r>
              <w:rPr>
                <w:rFonts w:asciiTheme="majorHAnsi" w:hAnsiTheme="majorHAnsi" w:cstheme="majorHAnsi"/>
                <w:b/>
                <w:bCs/>
                <w:sz w:val="22"/>
                <w:szCs w:val="22"/>
              </w:rPr>
              <w:t xml:space="preserve">Tỷ lệ (%)</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NAmes</w:t>
            </w:r>
          </w:p>
        </w:tc>
        <w:tc>
          <w:tcPr>
            <w:tcW w:w="2200" w:type="dxa"/>
            <w:vAlign w:val="center"/>
          </w:tcPr>
          <w:p>
            <w:pPr>
              <w:keepNext/>
              <w:spacing w:before="0" w:after="0"/>
              <w:jc w:val="center"/>
            </w:pPr>
            <w:r>
              <w:rPr>
                <w:rFonts w:asciiTheme="majorHAnsi" w:hAnsiTheme="majorHAnsi" w:cstheme="majorHAnsi"/>
                <w:sz w:val="22"/>
                <w:szCs w:val="22"/>
              </w:rPr>
              <w:t xml:space="preserve">225</w:t>
            </w:r>
          </w:p>
        </w:tc>
        <w:tc>
          <w:tcPr>
            <w:tcW w:w="2200" w:type="dxa"/>
            <w:vAlign w:val="center"/>
          </w:tcPr>
          <w:p>
            <w:pPr>
              <w:keepNext/>
              <w:spacing w:before="0" w:after="0"/>
              <w:jc w:val="center"/>
            </w:pPr>
            <w:r>
              <w:rPr>
                <w:rFonts w:asciiTheme="majorHAnsi" w:hAnsiTheme="majorHAnsi" w:cstheme="majorHAnsi"/>
                <w:sz w:val="22"/>
                <w:szCs w:val="22"/>
              </w:rPr>
              <w:t xml:space="preserve">15.4</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CollgCr</w:t>
            </w:r>
          </w:p>
        </w:tc>
        <w:tc>
          <w:tcPr>
            <w:tcW w:w="2200" w:type="dxa"/>
            <w:vAlign w:val="center"/>
          </w:tcPr>
          <w:p>
            <w:pPr>
              <w:keepNext/>
              <w:spacing w:before="0" w:after="0"/>
              <w:jc w:val="center"/>
            </w:pPr>
            <w:r>
              <w:rPr>
                <w:rFonts w:asciiTheme="majorHAnsi" w:hAnsiTheme="majorHAnsi" w:cstheme="majorHAnsi"/>
                <w:sz w:val="22"/>
                <w:szCs w:val="22"/>
              </w:rPr>
              <w:t xml:space="preserve">150</w:t>
            </w:r>
          </w:p>
        </w:tc>
        <w:tc>
          <w:tcPr>
            <w:tcW w:w="2200" w:type="dxa"/>
            <w:vAlign w:val="center"/>
          </w:tcPr>
          <w:p>
            <w:pPr>
              <w:keepNext/>
              <w:spacing w:before="0" w:after="0"/>
              <w:jc w:val="center"/>
            </w:pPr>
            <w:r>
              <w:rPr>
                <w:rFonts w:asciiTheme="majorHAnsi" w:hAnsiTheme="majorHAnsi" w:cstheme="majorHAnsi"/>
                <w:sz w:val="22"/>
                <w:szCs w:val="22"/>
              </w:rPr>
              <w:t xml:space="preserve">10.3</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OldTown</w:t>
            </w:r>
          </w:p>
        </w:tc>
        <w:tc>
          <w:tcPr>
            <w:tcW w:w="2200" w:type="dxa"/>
            <w:vAlign w:val="center"/>
          </w:tcPr>
          <w:p>
            <w:pPr>
              <w:keepNext/>
              <w:spacing w:before="0" w:after="0"/>
              <w:jc w:val="center"/>
            </w:pPr>
            <w:r>
              <w:rPr>
                <w:rFonts w:asciiTheme="majorHAnsi" w:hAnsiTheme="majorHAnsi" w:cstheme="majorHAnsi"/>
                <w:sz w:val="22"/>
                <w:szCs w:val="22"/>
              </w:rPr>
              <w:t xml:space="preserve">113</w:t>
            </w:r>
          </w:p>
        </w:tc>
        <w:tc>
          <w:tcPr>
            <w:tcW w:w="2200" w:type="dxa"/>
            <w:vAlign w:val="center"/>
          </w:tcPr>
          <w:p>
            <w:pPr>
              <w:keepNext/>
              <w:spacing w:before="0" w:after="0"/>
              <w:jc w:val="center"/>
            </w:pPr>
            <w:r>
              <w:rPr>
                <w:rFonts w:asciiTheme="majorHAnsi" w:hAnsiTheme="majorHAnsi" w:cstheme="majorHAnsi"/>
                <w:sz w:val="22"/>
                <w:szCs w:val="22"/>
              </w:rPr>
              <w:t xml:space="preserve">7.7</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Edwards</w:t>
            </w:r>
          </w:p>
        </w:tc>
        <w:tc>
          <w:tcPr>
            <w:tcW w:w="2200" w:type="dxa"/>
            <w:vAlign w:val="center"/>
          </w:tcPr>
          <w:p>
            <w:pPr>
              <w:keepNext/>
              <w:spacing w:before="0" w:after="0"/>
              <w:jc w:val="center"/>
            </w:pPr>
            <w:r>
              <w:rPr>
                <w:rFonts w:asciiTheme="majorHAnsi" w:hAnsiTheme="majorHAnsi" w:cstheme="majorHAnsi"/>
                <w:sz w:val="22"/>
                <w:szCs w:val="22"/>
              </w:rPr>
              <w:t xml:space="preserve">100</w:t>
            </w:r>
          </w:p>
        </w:tc>
        <w:tc>
          <w:tcPr>
            <w:tcW w:w="2200" w:type="dxa"/>
            <w:vAlign w:val="center"/>
          </w:tcPr>
          <w:p>
            <w:pPr>
              <w:keepNext/>
              <w:spacing w:before="0" w:after="0"/>
              <w:jc w:val="center"/>
            </w:pPr>
            <w:r>
              <w:rPr>
                <w:rFonts w:asciiTheme="majorHAnsi" w:hAnsiTheme="majorHAnsi" w:cstheme="majorHAnsi"/>
                <w:sz w:val="22"/>
                <w:szCs w:val="22"/>
              </w:rPr>
              <w:t xml:space="preserve">6.8</w:t>
            </w:r>
          </w:p>
        </w:tc>
      </w:tr>
      <w:tr>
        <w:trPr>
          <w:cantSplit/>
        </w:trPr>
        <w:tc>
          <w:tcPr>
            <w:tcW w:w="3000" w:type="dxa"/>
            <w:vAlign w:val="center"/>
          </w:tcPr>
          <w:p>
            <w:pPr>
              <w:spacing w:before="0" w:after="0"/>
              <w:jc w:val="left"/>
            </w:pPr>
            <w:r>
              <w:rPr>
                <w:rFonts w:asciiTheme="majorHAnsi" w:hAnsiTheme="majorHAnsi" w:cstheme="majorHAnsi"/>
                <w:sz w:val="22"/>
                <w:szCs w:val="22"/>
              </w:rPr>
              <w:t xml:space="preserve">Somerst</w:t>
            </w:r>
          </w:p>
        </w:tc>
        <w:tc>
          <w:tcPr>
            <w:tcW w:w="2200" w:type="dxa"/>
            <w:vAlign w:val="center"/>
          </w:tcPr>
          <w:p>
            <w:pPr>
              <w:spacing w:before="0" w:after="0"/>
              <w:jc w:val="center"/>
            </w:pPr>
            <w:r>
              <w:rPr>
                <w:rFonts w:asciiTheme="majorHAnsi" w:hAnsiTheme="majorHAnsi" w:cstheme="majorHAnsi"/>
                <w:sz w:val="22"/>
                <w:szCs w:val="22"/>
              </w:rPr>
              <w:t xml:space="preserve">86</w:t>
            </w:r>
          </w:p>
        </w:tc>
        <w:tc>
          <w:tcPr>
            <w:tcW w:w="2200" w:type="dxa"/>
            <w:vAlign w:val="center"/>
          </w:tcPr>
          <w:p>
            <w:pPr>
              <w:spacing w:before="0" w:after="0"/>
              <w:jc w:val="center"/>
            </w:pPr>
            <w:r>
              <w:rPr>
                <w:rFonts w:asciiTheme="majorHAnsi" w:hAnsiTheme="majorHAnsi" w:cstheme="majorHAnsi"/>
                <w:sz w:val="22"/>
                <w:szCs w:val="22"/>
              </w:rPr>
              <w:t xml:space="preserve">5.9</w:t>
            </w:r>
          </w:p>
        </w:tc>
      </w:tr>
    </w:tbl>
    <w:p>
      <w:pPr>
        <w:spacing w:before="0" w:after="60"/>
      </w:pPr>
    </w:p>
    <w:p>
      <w:pPr>
        <w:keepNext/>
        <w:spacing w:before="160" w:after="80"/>
        <w:jc w:val="center"/>
      </w:pPr>
      <w:r>
        <w:rPr>
          <w:rFonts w:asciiTheme="majorHAnsi" w:hAnsiTheme="majorHAnsi" w:cstheme="majorHAnsi"/>
          <w:i/>
          <w:iCs/>
          <w:sz w:val="22"/>
          <w:szCs w:val="22"/>
        </w:rPr>
        <w:t xml:space="preserve">Bảng 8. Số giao dịch theo điều kiện bán (SaleCondition)</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3000"/>
        <w:gridCol w:w="2200"/>
        <w:gridCol w:w="2200"/>
      </w:tblGrid>
      <w:tr>
        <w:trPr>
          <w:cantSplit/>
          <w:tblHeader/>
        </w:trPr>
        <w:tc>
          <w:tcPr>
            <w:tcW w:w="3000" w:type="dxa"/>
            <w:shd w:val="clear" w:color="auto" w:fill="D9E2F3"/>
            <w:vAlign w:val="center"/>
          </w:tcPr>
          <w:p>
            <w:pPr>
              <w:keepNext/>
              <w:spacing w:before="0" w:after="0"/>
              <w:jc w:val="center"/>
            </w:pPr>
            <w:r>
              <w:rPr>
                <w:rFonts w:asciiTheme="majorHAnsi" w:hAnsiTheme="majorHAnsi" w:cstheme="majorHAnsi"/>
                <w:b/>
                <w:bCs/>
                <w:sz w:val="22"/>
                <w:szCs w:val="22"/>
              </w:rPr>
              <w:t xml:space="preserve">SaleCondition</w:t>
            </w:r>
          </w:p>
        </w:tc>
        <w:tc>
          <w:tcPr>
            <w:tcW w:w="2200" w:type="dxa"/>
            <w:shd w:val="clear" w:color="auto" w:fill="D9E2F3"/>
            <w:vAlign w:val="center"/>
          </w:tcPr>
          <w:p>
            <w:pPr>
              <w:keepNext/>
              <w:spacing w:before="0" w:after="0"/>
              <w:jc w:val="center"/>
            </w:pPr>
            <w:r>
              <w:rPr>
                <w:rFonts w:asciiTheme="majorHAnsi" w:hAnsiTheme="majorHAnsi" w:cstheme="majorHAnsi"/>
                <w:b/>
                <w:bCs/>
                <w:sz w:val="22"/>
                <w:szCs w:val="22"/>
              </w:rPr>
              <w:t xml:space="preserve">Số giao dịch</w:t>
            </w:r>
          </w:p>
        </w:tc>
        <w:tc>
          <w:tcPr>
            <w:tcW w:w="2200" w:type="dxa"/>
            <w:shd w:val="clear" w:color="auto" w:fill="D9E2F3"/>
            <w:vAlign w:val="center"/>
          </w:tcPr>
          <w:p>
            <w:pPr>
              <w:keepNext/>
              <w:spacing w:before="0" w:after="0"/>
              <w:jc w:val="center"/>
            </w:pPr>
            <w:r>
              <w:rPr>
                <w:rFonts w:asciiTheme="majorHAnsi" w:hAnsiTheme="majorHAnsi" w:cstheme="majorHAnsi"/>
                <w:b/>
                <w:bCs/>
                <w:sz w:val="22"/>
                <w:szCs w:val="22"/>
              </w:rPr>
              <w:t xml:space="preserve">Tỷ lệ (%)</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Normal</w:t>
            </w:r>
          </w:p>
        </w:tc>
        <w:tc>
          <w:tcPr>
            <w:tcW w:w="2200" w:type="dxa"/>
            <w:vAlign w:val="center"/>
          </w:tcPr>
          <w:p>
            <w:pPr>
              <w:keepNext/>
              <w:spacing w:before="0" w:after="0"/>
              <w:jc w:val="center"/>
            </w:pPr>
            <w:r>
              <w:rPr>
                <w:rFonts w:asciiTheme="majorHAnsi" w:hAnsiTheme="majorHAnsi" w:cstheme="majorHAnsi"/>
                <w:sz w:val="22"/>
                <w:szCs w:val="22"/>
              </w:rPr>
              <w:t xml:space="preserve">1198</w:t>
            </w:r>
          </w:p>
        </w:tc>
        <w:tc>
          <w:tcPr>
            <w:tcW w:w="2200" w:type="dxa"/>
            <w:vAlign w:val="center"/>
          </w:tcPr>
          <w:p>
            <w:pPr>
              <w:keepNext/>
              <w:spacing w:before="0" w:after="0"/>
              <w:jc w:val="center"/>
            </w:pPr>
            <w:r>
              <w:rPr>
                <w:rFonts w:asciiTheme="majorHAnsi" w:hAnsiTheme="majorHAnsi" w:cstheme="majorHAnsi"/>
                <w:sz w:val="22"/>
                <w:szCs w:val="22"/>
              </w:rPr>
              <w:t xml:space="preserve">82.1</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Partial</w:t>
            </w:r>
          </w:p>
        </w:tc>
        <w:tc>
          <w:tcPr>
            <w:tcW w:w="2200" w:type="dxa"/>
            <w:vAlign w:val="center"/>
          </w:tcPr>
          <w:p>
            <w:pPr>
              <w:keepNext/>
              <w:spacing w:before="0" w:after="0"/>
              <w:jc w:val="center"/>
            </w:pPr>
            <w:r>
              <w:rPr>
                <w:rFonts w:asciiTheme="majorHAnsi" w:hAnsiTheme="majorHAnsi" w:cstheme="majorHAnsi"/>
                <w:sz w:val="22"/>
                <w:szCs w:val="22"/>
              </w:rPr>
              <w:t xml:space="preserve">125</w:t>
            </w:r>
          </w:p>
        </w:tc>
        <w:tc>
          <w:tcPr>
            <w:tcW w:w="2200" w:type="dxa"/>
            <w:vAlign w:val="center"/>
          </w:tcPr>
          <w:p>
            <w:pPr>
              <w:keepNext/>
              <w:spacing w:before="0" w:after="0"/>
              <w:jc w:val="center"/>
            </w:pPr>
            <w:r>
              <w:rPr>
                <w:rFonts w:asciiTheme="majorHAnsi" w:hAnsiTheme="majorHAnsi" w:cstheme="majorHAnsi"/>
                <w:sz w:val="22"/>
                <w:szCs w:val="22"/>
              </w:rPr>
              <w:t xml:space="preserve">8.6</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Abnorml</w:t>
            </w:r>
          </w:p>
        </w:tc>
        <w:tc>
          <w:tcPr>
            <w:tcW w:w="2200" w:type="dxa"/>
            <w:vAlign w:val="center"/>
          </w:tcPr>
          <w:p>
            <w:pPr>
              <w:keepNext/>
              <w:spacing w:before="0" w:after="0"/>
              <w:jc w:val="center"/>
            </w:pPr>
            <w:r>
              <w:rPr>
                <w:rFonts w:asciiTheme="majorHAnsi" w:hAnsiTheme="majorHAnsi" w:cstheme="majorHAnsi"/>
                <w:sz w:val="22"/>
                <w:szCs w:val="22"/>
              </w:rPr>
              <w:t xml:space="preserve">101</w:t>
            </w:r>
          </w:p>
        </w:tc>
        <w:tc>
          <w:tcPr>
            <w:tcW w:w="2200" w:type="dxa"/>
            <w:vAlign w:val="center"/>
          </w:tcPr>
          <w:p>
            <w:pPr>
              <w:keepNext/>
              <w:spacing w:before="0" w:after="0"/>
              <w:jc w:val="center"/>
            </w:pPr>
            <w:r>
              <w:rPr>
                <w:rFonts w:asciiTheme="majorHAnsi" w:hAnsiTheme="majorHAnsi" w:cstheme="majorHAnsi"/>
                <w:sz w:val="22"/>
                <w:szCs w:val="22"/>
              </w:rPr>
              <w:t xml:space="preserve">6.9</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Family</w:t>
            </w:r>
          </w:p>
        </w:tc>
        <w:tc>
          <w:tcPr>
            <w:tcW w:w="2200" w:type="dxa"/>
            <w:vAlign w:val="center"/>
          </w:tcPr>
          <w:p>
            <w:pPr>
              <w:keepNext/>
              <w:spacing w:before="0" w:after="0"/>
              <w:jc w:val="center"/>
            </w:pPr>
            <w:r>
              <w:rPr>
                <w:rFonts w:asciiTheme="majorHAnsi" w:hAnsiTheme="majorHAnsi" w:cstheme="majorHAnsi"/>
                <w:sz w:val="22"/>
                <w:szCs w:val="22"/>
              </w:rPr>
              <w:t xml:space="preserve">20</w:t>
            </w:r>
          </w:p>
        </w:tc>
        <w:tc>
          <w:tcPr>
            <w:tcW w:w="2200" w:type="dxa"/>
            <w:vAlign w:val="center"/>
          </w:tcPr>
          <w:p>
            <w:pPr>
              <w:keepNext/>
              <w:spacing w:before="0" w:after="0"/>
              <w:jc w:val="center"/>
            </w:pPr>
            <w:r>
              <w:rPr>
                <w:rFonts w:asciiTheme="majorHAnsi" w:hAnsiTheme="majorHAnsi" w:cstheme="majorHAnsi"/>
                <w:sz w:val="22"/>
                <w:szCs w:val="22"/>
              </w:rPr>
              <w:t xml:space="preserve">1.4</w:t>
            </w:r>
          </w:p>
        </w:tc>
      </w:tr>
      <w:tr>
        <w:trPr>
          <w:cantSplit/>
        </w:trPr>
        <w:tc>
          <w:tcPr>
            <w:tcW w:w="3000" w:type="dxa"/>
            <w:vAlign w:val="center"/>
          </w:tcPr>
          <w:p>
            <w:pPr>
              <w:keepNext/>
              <w:spacing w:before="0" w:after="0"/>
              <w:jc w:val="left"/>
            </w:pPr>
            <w:r>
              <w:rPr>
                <w:rFonts w:asciiTheme="majorHAnsi" w:hAnsiTheme="majorHAnsi" w:cstheme="majorHAnsi"/>
                <w:sz w:val="22"/>
                <w:szCs w:val="22"/>
              </w:rPr>
              <w:t xml:space="preserve">Alloca</w:t>
            </w:r>
          </w:p>
        </w:tc>
        <w:tc>
          <w:tcPr>
            <w:tcW w:w="2200" w:type="dxa"/>
            <w:vAlign w:val="center"/>
          </w:tcPr>
          <w:p>
            <w:pPr>
              <w:keepNext/>
              <w:spacing w:before="0" w:after="0"/>
              <w:jc w:val="center"/>
            </w:pPr>
            <w:r>
              <w:rPr>
                <w:rFonts w:asciiTheme="majorHAnsi" w:hAnsiTheme="majorHAnsi" w:cstheme="majorHAnsi"/>
                <w:sz w:val="22"/>
                <w:szCs w:val="22"/>
              </w:rPr>
              <w:t xml:space="preserve">12</w:t>
            </w:r>
          </w:p>
        </w:tc>
        <w:tc>
          <w:tcPr>
            <w:tcW w:w="2200" w:type="dxa"/>
            <w:vAlign w:val="center"/>
          </w:tcPr>
          <w:p>
            <w:pPr>
              <w:keepNext/>
              <w:spacing w:before="0" w:after="0"/>
              <w:jc w:val="center"/>
            </w:pPr>
            <w:r>
              <w:rPr>
                <w:rFonts w:asciiTheme="majorHAnsi" w:hAnsiTheme="majorHAnsi" w:cstheme="majorHAnsi"/>
                <w:sz w:val="22"/>
                <w:szCs w:val="22"/>
              </w:rPr>
              <w:t xml:space="preserve">0.8</w:t>
            </w:r>
          </w:p>
        </w:tc>
      </w:tr>
      <w:tr>
        <w:trPr>
          <w:cantSplit/>
        </w:trPr>
        <w:tc>
          <w:tcPr>
            <w:tcW w:w="3000" w:type="dxa"/>
            <w:vAlign w:val="center"/>
          </w:tcPr>
          <w:p>
            <w:pPr>
              <w:spacing w:before="0" w:after="0"/>
              <w:jc w:val="left"/>
            </w:pPr>
            <w:r>
              <w:rPr>
                <w:rFonts w:asciiTheme="majorHAnsi" w:hAnsiTheme="majorHAnsi" w:cstheme="majorHAnsi"/>
                <w:sz w:val="22"/>
                <w:szCs w:val="22"/>
              </w:rPr>
              <w:t xml:space="preserve">AdjLand</w:t>
            </w:r>
          </w:p>
        </w:tc>
        <w:tc>
          <w:tcPr>
            <w:tcW w:w="2200" w:type="dxa"/>
            <w:vAlign w:val="center"/>
          </w:tcPr>
          <w:p>
            <w:pPr>
              <w:spacing w:before="0" w:after="0"/>
              <w:jc w:val="center"/>
            </w:pPr>
            <w:r>
              <w:rPr>
                <w:rFonts w:asciiTheme="majorHAnsi" w:hAnsiTheme="majorHAnsi" w:cstheme="majorHAnsi"/>
                <w:sz w:val="22"/>
                <w:szCs w:val="22"/>
              </w:rPr>
              <w:t xml:space="preserve">4</w:t>
            </w:r>
          </w:p>
        </w:tc>
        <w:tc>
          <w:tcPr>
            <w:tcW w:w="2200" w:type="dxa"/>
            <w:vAlign w:val="center"/>
          </w:tcPr>
          <w:p>
            <w:pPr>
              <w:spacing w:before="0" w:after="0"/>
              <w:jc w:val="center"/>
            </w:pPr>
            <w:r>
              <w:rPr>
                <w:rFonts w:asciiTheme="majorHAnsi" w:hAnsiTheme="majorHAnsi" w:cstheme="majorHAnsi"/>
                <w:sz w:val="22"/>
                <w:szCs w:val="22"/>
              </w:rPr>
              <w:t xml:space="preserve">0.3</w:t>
            </w:r>
          </w:p>
        </w:tc>
      </w:tr>
    </w:tbl>
    <w:p>
      <w:pPr>
        <w:spacing w:before="0" w:after="60"/>
      </w:pPr>
    </w:p>
    <w:p>
      <w:pPr>
        <w:spacing w:before="0" w:after="120"/>
      </w:pPr>
      <w:r>
        <w:rPr>
          <w:rFonts w:asciiTheme="majorHAnsi" w:hAnsiTheme="majorHAnsi" w:cstheme="majorHAnsi"/>
          <w:sz w:val="26"/>
          <w:szCs w:val="26"/>
        </w:rPr>
        <w:t xml:space="preserve">Với KitchenQual, chất lượng nhà bếp phổ biến nhất là mức Trung bình (TA) và mức Khá (Gd).</w:t>
      </w:r>
    </w:p>
    <w:p w14:paraId="4D2B80FC"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t xml:space="preserve">Khi nhìn vào các nhóm phân loại, nhóm không chỉ quan tâm đến số lượng quan sát mà còn chú ý đến sự mất cân đối giữa các nhóm. Ví dụ, nếu một khu vực có rất ít mẫu thì </w:t>
      </w:r>
      <w:r w:rsidRPr="000F0F83">
        <w:rPr>
          <w:rFonts w:asciiTheme="majorHAnsi" w:hAnsiTheme="majorHAnsi" w:cstheme="majorHAnsi"/>
          <w:sz w:val="26"/>
          <w:szCs w:val="26"/>
        </w:rPr>
        <w:lastRenderedPageBreak/>
        <w:t>việc so sánh giá trung bình hoặc trung vị với các khu vực có nhiều mẫu cần được diễn giải cẩn thận.</w:t>
      </w:r>
    </w:p>
    <w:p w14:paraId="19001632" w14:textId="79F08BB6" w:rsidR="00FC5BC3" w:rsidRPr="00905257" w:rsidRDefault="00905257" w:rsidP="00FC5BC3">
      <w:pPr>
        <w:pStyle w:val="u1"/>
        <w:keepNext/>
        <w:spacing w:before="300" w:after="150"/>
        <w:rPr>
          <w:rFonts w:asciiTheme="majorHAnsi" w:hAnsiTheme="majorHAnsi" w:cstheme="majorHAnsi"/>
          <w:b/>
          <w:bCs/>
          <w:color w:val="1F3864"/>
        </w:rPr>
      </w:pPr>
      <w:bookmarkStart w:id="3" w:name="_Toc241153237"/>
      <w:r>
        <w:rPr>
          <w:rFonts w:asciiTheme="majorHAnsi" w:hAnsiTheme="majorHAnsi" w:cstheme="majorHAnsi"/>
          <w:b/>
          <w:bCs/>
          <w:color w:val="1F3864"/>
          <w:lang w:val="en-US"/>
        </w:rPr>
        <w:t>4</w:t>
      </w:r>
      <w:r w:rsidR="00FC5BC3" w:rsidRPr="00905257">
        <w:rPr>
          <w:rFonts w:asciiTheme="majorHAnsi" w:hAnsiTheme="majorHAnsi" w:cstheme="majorHAnsi"/>
          <w:b/>
          <w:bCs/>
          <w:color w:val="1F3864"/>
        </w:rPr>
        <w:t>. Phân tích đa biến</w:t>
      </w:r>
      <w:bookmarkEnd w:id="3"/>
    </w:p>
    <w:p>
      <w:pPr>
        <w:pStyle w:val="u2"/>
        <w:keepNext/>
        <w:spacing w:before="200" w:after="100"/>
      </w:pPr>
      <w:bookmarkStart w:id="308" w:name="_Toc900000308"/>
      <w:r>
        <w:rPr>
          <w:rFonts w:asciiTheme="majorHAnsi" w:hAnsiTheme="majorHAnsi" w:cstheme="majorHAnsi"/>
          <w:color w:val="2E74B5"/>
          <w:sz w:val="26"/>
          <w:szCs w:val="26"/>
        </w:rPr>
        <w:t xml:space="preserve">4.1. Tương quan giữa các biến số và SalePrice</w:t>
      </w:r>
      <w:bookmarkEnd w:id="308"/>
    </w:p>
    <w:p w14:paraId="33603D0E"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Phân tích tương quan cho thấy một số biến liên quan đến kích thước và chất lượng của ngôi nhà có tương quan khá mạnh với SalePrice. Nhóm sử dụng hệ số tương quan để xem mức độ liên hệ tuyến tính giữa từng biến số và giá bán. Đây là bước tham khảo để biết biến nào đáng chú ý, nhưng không nên xem hệ số tương quan là bằng chứng cho quan hệ nhân quả hay là độ quan trọng của biến trong mô hình.</w:t>
      </w:r>
    </w:p>
    <w:p w14:paraId="0E13011B"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t>Từ ma trận tương quan, nhóm chọn ra các biến có hệ số tương quan lớn với SalePrice để quan sát sâu hơn bằng biểu đồ. Việc kết hợp giữa con số tương quan và biểu đồ giúp hạn chế việc chỉ nhìn vào một giá trị thống kê mà bỏ qua hình dạng thực tế của dữ liệu.</w:t>
      </w:r>
    </w:p>
    <w:p>
      <w:pPr>
        <w:keepNext/>
        <w:spacing w:before="120" w:after="80"/>
        <w:jc w:val="center"/>
      </w:pPr>
      <w:r>
        <w:drawing>
          <wp:inline xmlns:a="http://schemas.openxmlformats.org/drawingml/2006/main" xmlns:pic="http://schemas.openxmlformats.org/drawingml/2006/picture">
            <wp:extent cx="4206240" cy="2987040"/>
            <wp:docPr id="505" name="Picture 505" descr="Hình 5. Top 10 biến số có hệ số tương quan mạnh nhất với SalePrice"/>
            <wp:cNvGraphicFramePr>
              <a:graphicFrameLocks noChangeAspect="1"/>
            </wp:cNvGraphicFramePr>
            <a:graphic>
              <a:graphicData uri="http://schemas.openxmlformats.org/drawingml/2006/picture">
                <pic:pic>
                  <pic:nvPicPr>
                    <pic:cNvPr id="0" name="Phan_tich_da_c3_1.png"/>
                    <pic:cNvPicPr/>
                  </pic:nvPicPr>
                  <pic:blipFill>
                    <a:blip r:embed="rId15"/>
                    <a:stretch>
                      <a:fillRect/>
                    </a:stretch>
                  </pic:blipFill>
                  <pic:spPr>
                    <a:xfrm>
                      <a:off x="0" y="0"/>
                      <a:ext cx="4206240" cy="2987040"/>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5. Top 10 biến số có hệ số tương quan mạnh nhất với SalePrice</w:t>
      </w:r>
    </w:p>
    <w:p>
      <w:pPr>
        <w:keepNext/>
        <w:spacing w:before="160" w:after="80"/>
        <w:jc w:val="center"/>
      </w:pPr>
      <w:r>
        <w:rPr>
          <w:rFonts w:asciiTheme="majorHAnsi" w:hAnsiTheme="majorHAnsi" w:cstheme="majorHAnsi"/>
          <w:i/>
          <w:iCs/>
          <w:sz w:val="22"/>
          <w:szCs w:val="22"/>
        </w:rPr>
        <w:t xml:space="preserve">Bảng 9. Hệ số tương quan của 10 biến số đứng đầu với SalePrice</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1200"/>
        <w:gridCol w:w="3800"/>
        <w:gridCol w:w="3200"/>
      </w:tblGrid>
      <w:tr>
        <w:trPr>
          <w:cantSplit/>
          <w:tblHeader/>
        </w:trPr>
        <w:tc>
          <w:tcPr>
            <w:tcW w:w="1200" w:type="dxa"/>
            <w:shd w:val="clear" w:color="auto" w:fill="D9E2F3"/>
            <w:vAlign w:val="center"/>
          </w:tcPr>
          <w:p>
            <w:pPr>
              <w:keepNext/>
              <w:spacing w:before="0" w:after="0"/>
              <w:jc w:val="center"/>
            </w:pPr>
            <w:r>
              <w:rPr>
                <w:rFonts w:asciiTheme="majorHAnsi" w:hAnsiTheme="majorHAnsi" w:cstheme="majorHAnsi"/>
                <w:b/>
                <w:bCs/>
                <w:sz w:val="22"/>
                <w:szCs w:val="22"/>
              </w:rPr>
              <w:t xml:space="preserve">Hạng</w:t>
            </w:r>
          </w:p>
        </w:tc>
        <w:tc>
          <w:tcPr>
            <w:tcW w:w="3800" w:type="dxa"/>
            <w:shd w:val="clear" w:color="auto" w:fill="D9E2F3"/>
            <w:vAlign w:val="center"/>
          </w:tcPr>
          <w:p>
            <w:pPr>
              <w:keepNext/>
              <w:spacing w:before="0" w:after="0"/>
              <w:jc w:val="center"/>
            </w:pPr>
            <w:r>
              <w:rPr>
                <w:rFonts w:asciiTheme="majorHAnsi" w:hAnsiTheme="majorHAnsi" w:cstheme="majorHAnsi"/>
                <w:b/>
                <w:bCs/>
                <w:sz w:val="22"/>
                <w:szCs w:val="22"/>
              </w:rPr>
              <w:t xml:space="preserve">Biến</w:t>
            </w:r>
          </w:p>
        </w:tc>
        <w:tc>
          <w:tcPr>
            <w:tcW w:w="3200" w:type="dxa"/>
            <w:shd w:val="clear" w:color="auto" w:fill="D9E2F3"/>
            <w:vAlign w:val="center"/>
          </w:tcPr>
          <w:p>
            <w:pPr>
              <w:keepNext/>
              <w:spacing w:before="0" w:after="0"/>
              <w:jc w:val="center"/>
            </w:pPr>
            <w:r>
              <w:rPr>
                <w:rFonts w:asciiTheme="majorHAnsi" w:hAnsiTheme="majorHAnsi" w:cstheme="majorHAnsi"/>
                <w:b/>
                <w:bCs/>
                <w:sz w:val="22"/>
                <w:szCs w:val="22"/>
              </w:rPr>
              <w:t xml:space="preserve">Hệ số tương quan (r)</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1</w:t>
            </w:r>
          </w:p>
        </w:tc>
        <w:tc>
          <w:tcPr>
            <w:tcW w:w="3800" w:type="dxa"/>
            <w:vAlign w:val="center"/>
          </w:tcPr>
          <w:p>
            <w:pPr>
              <w:keepNext/>
              <w:spacing w:before="0" w:after="0"/>
              <w:jc w:val="left"/>
            </w:pPr>
            <w:r>
              <w:rPr>
                <w:rFonts w:asciiTheme="majorHAnsi" w:hAnsiTheme="majorHAnsi" w:cstheme="majorHAnsi"/>
                <w:sz w:val="22"/>
                <w:szCs w:val="22"/>
              </w:rPr>
              <w:t xml:space="preserve">OverallQual</w:t>
            </w:r>
          </w:p>
        </w:tc>
        <w:tc>
          <w:tcPr>
            <w:tcW w:w="3200" w:type="dxa"/>
            <w:vAlign w:val="center"/>
          </w:tcPr>
          <w:p>
            <w:pPr>
              <w:keepNext/>
              <w:spacing w:before="0" w:after="0"/>
              <w:jc w:val="center"/>
            </w:pPr>
            <w:r>
              <w:rPr>
                <w:rFonts w:asciiTheme="majorHAnsi" w:hAnsiTheme="majorHAnsi" w:cstheme="majorHAnsi"/>
                <w:sz w:val="22"/>
                <w:szCs w:val="22"/>
              </w:rPr>
              <w:t xml:space="preserve">0.791</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2</w:t>
            </w:r>
          </w:p>
        </w:tc>
        <w:tc>
          <w:tcPr>
            <w:tcW w:w="3800" w:type="dxa"/>
            <w:vAlign w:val="center"/>
          </w:tcPr>
          <w:p>
            <w:pPr>
              <w:keepNext/>
              <w:spacing w:before="0" w:after="0"/>
              <w:jc w:val="left"/>
            </w:pPr>
            <w:r>
              <w:rPr>
                <w:rFonts w:asciiTheme="majorHAnsi" w:hAnsiTheme="majorHAnsi" w:cstheme="majorHAnsi"/>
                <w:sz w:val="22"/>
                <w:szCs w:val="22"/>
              </w:rPr>
              <w:t xml:space="preserve">GrLivArea</w:t>
            </w:r>
          </w:p>
        </w:tc>
        <w:tc>
          <w:tcPr>
            <w:tcW w:w="3200" w:type="dxa"/>
            <w:vAlign w:val="center"/>
          </w:tcPr>
          <w:p>
            <w:pPr>
              <w:keepNext/>
              <w:spacing w:before="0" w:after="0"/>
              <w:jc w:val="center"/>
            </w:pPr>
            <w:r>
              <w:rPr>
                <w:rFonts w:asciiTheme="majorHAnsi" w:hAnsiTheme="majorHAnsi" w:cstheme="majorHAnsi"/>
                <w:sz w:val="22"/>
                <w:szCs w:val="22"/>
              </w:rPr>
              <w:t xml:space="preserve">0.709</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3</w:t>
            </w:r>
          </w:p>
        </w:tc>
        <w:tc>
          <w:tcPr>
            <w:tcW w:w="3800" w:type="dxa"/>
            <w:vAlign w:val="center"/>
          </w:tcPr>
          <w:p>
            <w:pPr>
              <w:keepNext/>
              <w:spacing w:before="0" w:after="0"/>
              <w:jc w:val="left"/>
            </w:pPr>
            <w:r>
              <w:rPr>
                <w:rFonts w:asciiTheme="majorHAnsi" w:hAnsiTheme="majorHAnsi" w:cstheme="majorHAnsi"/>
                <w:sz w:val="22"/>
                <w:szCs w:val="22"/>
              </w:rPr>
              <w:t xml:space="preserve">GarageCars</w:t>
            </w:r>
          </w:p>
        </w:tc>
        <w:tc>
          <w:tcPr>
            <w:tcW w:w="3200" w:type="dxa"/>
            <w:vAlign w:val="center"/>
          </w:tcPr>
          <w:p>
            <w:pPr>
              <w:keepNext/>
              <w:spacing w:before="0" w:after="0"/>
              <w:jc w:val="center"/>
            </w:pPr>
            <w:r>
              <w:rPr>
                <w:rFonts w:asciiTheme="majorHAnsi" w:hAnsiTheme="majorHAnsi" w:cstheme="majorHAnsi"/>
                <w:sz w:val="22"/>
                <w:szCs w:val="22"/>
              </w:rPr>
              <w:t xml:space="preserve">0.640</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4</w:t>
            </w:r>
          </w:p>
        </w:tc>
        <w:tc>
          <w:tcPr>
            <w:tcW w:w="3800" w:type="dxa"/>
            <w:vAlign w:val="center"/>
          </w:tcPr>
          <w:p>
            <w:pPr>
              <w:keepNext/>
              <w:spacing w:before="0" w:after="0"/>
              <w:jc w:val="left"/>
            </w:pPr>
            <w:r>
              <w:rPr>
                <w:rFonts w:asciiTheme="majorHAnsi" w:hAnsiTheme="majorHAnsi" w:cstheme="majorHAnsi"/>
                <w:sz w:val="22"/>
                <w:szCs w:val="22"/>
              </w:rPr>
              <w:t xml:space="preserve">GarageArea</w:t>
            </w:r>
          </w:p>
        </w:tc>
        <w:tc>
          <w:tcPr>
            <w:tcW w:w="3200" w:type="dxa"/>
            <w:vAlign w:val="center"/>
          </w:tcPr>
          <w:p>
            <w:pPr>
              <w:keepNext/>
              <w:spacing w:before="0" w:after="0"/>
              <w:jc w:val="center"/>
            </w:pPr>
            <w:r>
              <w:rPr>
                <w:rFonts w:asciiTheme="majorHAnsi" w:hAnsiTheme="majorHAnsi" w:cstheme="majorHAnsi"/>
                <w:sz w:val="22"/>
                <w:szCs w:val="22"/>
              </w:rPr>
              <w:t xml:space="preserve">0.623</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5</w:t>
            </w:r>
          </w:p>
        </w:tc>
        <w:tc>
          <w:tcPr>
            <w:tcW w:w="3800" w:type="dxa"/>
            <w:vAlign w:val="center"/>
          </w:tcPr>
          <w:p>
            <w:pPr>
              <w:keepNext/>
              <w:spacing w:before="0" w:after="0"/>
              <w:jc w:val="left"/>
            </w:pPr>
            <w:r>
              <w:rPr>
                <w:rFonts w:asciiTheme="majorHAnsi" w:hAnsiTheme="majorHAnsi" w:cstheme="majorHAnsi"/>
                <w:sz w:val="22"/>
                <w:szCs w:val="22"/>
              </w:rPr>
              <w:t xml:space="preserve">TotalBsmtSF</w:t>
            </w:r>
          </w:p>
        </w:tc>
        <w:tc>
          <w:tcPr>
            <w:tcW w:w="3200" w:type="dxa"/>
            <w:vAlign w:val="center"/>
          </w:tcPr>
          <w:p>
            <w:pPr>
              <w:keepNext/>
              <w:spacing w:before="0" w:after="0"/>
              <w:jc w:val="center"/>
            </w:pPr>
            <w:r>
              <w:rPr>
                <w:rFonts w:asciiTheme="majorHAnsi" w:hAnsiTheme="majorHAnsi" w:cstheme="majorHAnsi"/>
                <w:sz w:val="22"/>
                <w:szCs w:val="22"/>
              </w:rPr>
              <w:t xml:space="preserve">0.614</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6</w:t>
            </w:r>
          </w:p>
        </w:tc>
        <w:tc>
          <w:tcPr>
            <w:tcW w:w="3800" w:type="dxa"/>
            <w:vAlign w:val="center"/>
          </w:tcPr>
          <w:p>
            <w:pPr>
              <w:keepNext/>
              <w:spacing w:before="0" w:after="0"/>
              <w:jc w:val="left"/>
            </w:pPr>
            <w:r>
              <w:rPr>
                <w:rFonts w:asciiTheme="majorHAnsi" w:hAnsiTheme="majorHAnsi" w:cstheme="majorHAnsi"/>
                <w:sz w:val="22"/>
                <w:szCs w:val="22"/>
              </w:rPr>
              <w:t xml:space="preserve">1stFlrSF</w:t>
            </w:r>
          </w:p>
        </w:tc>
        <w:tc>
          <w:tcPr>
            <w:tcW w:w="3200" w:type="dxa"/>
            <w:vAlign w:val="center"/>
          </w:tcPr>
          <w:p>
            <w:pPr>
              <w:keepNext/>
              <w:spacing w:before="0" w:after="0"/>
              <w:jc w:val="center"/>
            </w:pPr>
            <w:r>
              <w:rPr>
                <w:rFonts w:asciiTheme="majorHAnsi" w:hAnsiTheme="majorHAnsi" w:cstheme="majorHAnsi"/>
                <w:sz w:val="22"/>
                <w:szCs w:val="22"/>
              </w:rPr>
              <w:t xml:space="preserve">0.606</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7</w:t>
            </w:r>
          </w:p>
        </w:tc>
        <w:tc>
          <w:tcPr>
            <w:tcW w:w="3800" w:type="dxa"/>
            <w:vAlign w:val="center"/>
          </w:tcPr>
          <w:p>
            <w:pPr>
              <w:keepNext/>
              <w:spacing w:before="0" w:after="0"/>
              <w:jc w:val="left"/>
            </w:pPr>
            <w:r>
              <w:rPr>
                <w:rFonts w:asciiTheme="majorHAnsi" w:hAnsiTheme="majorHAnsi" w:cstheme="majorHAnsi"/>
                <w:sz w:val="22"/>
                <w:szCs w:val="22"/>
              </w:rPr>
              <w:t xml:space="preserve">FullBath</w:t>
            </w:r>
          </w:p>
        </w:tc>
        <w:tc>
          <w:tcPr>
            <w:tcW w:w="3200" w:type="dxa"/>
            <w:vAlign w:val="center"/>
          </w:tcPr>
          <w:p>
            <w:pPr>
              <w:keepNext/>
              <w:spacing w:before="0" w:after="0"/>
              <w:jc w:val="center"/>
            </w:pPr>
            <w:r>
              <w:rPr>
                <w:rFonts w:asciiTheme="majorHAnsi" w:hAnsiTheme="majorHAnsi" w:cstheme="majorHAnsi"/>
                <w:sz w:val="22"/>
                <w:szCs w:val="22"/>
              </w:rPr>
              <w:t xml:space="preserve">0.561</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8</w:t>
            </w:r>
          </w:p>
        </w:tc>
        <w:tc>
          <w:tcPr>
            <w:tcW w:w="3800" w:type="dxa"/>
            <w:vAlign w:val="center"/>
          </w:tcPr>
          <w:p>
            <w:pPr>
              <w:keepNext/>
              <w:spacing w:before="0" w:after="0"/>
              <w:jc w:val="left"/>
            </w:pPr>
            <w:r>
              <w:rPr>
                <w:rFonts w:asciiTheme="majorHAnsi" w:hAnsiTheme="majorHAnsi" w:cstheme="majorHAnsi"/>
                <w:sz w:val="22"/>
                <w:szCs w:val="22"/>
              </w:rPr>
              <w:t xml:space="preserve">TotRmsAbvGrd</w:t>
            </w:r>
          </w:p>
        </w:tc>
        <w:tc>
          <w:tcPr>
            <w:tcW w:w="3200" w:type="dxa"/>
            <w:vAlign w:val="center"/>
          </w:tcPr>
          <w:p>
            <w:pPr>
              <w:keepNext/>
              <w:spacing w:before="0" w:after="0"/>
              <w:jc w:val="center"/>
            </w:pPr>
            <w:r>
              <w:rPr>
                <w:rFonts w:asciiTheme="majorHAnsi" w:hAnsiTheme="majorHAnsi" w:cstheme="majorHAnsi"/>
                <w:sz w:val="22"/>
                <w:szCs w:val="22"/>
              </w:rPr>
              <w:t xml:space="preserve">0.534</w:t>
            </w:r>
          </w:p>
        </w:tc>
      </w:tr>
      <w:tr>
        <w:trPr>
          <w:cantSplit/>
        </w:trPr>
        <w:tc>
          <w:tcPr>
            <w:tcW w:w="1200" w:type="dxa"/>
            <w:vAlign w:val="center"/>
          </w:tcPr>
          <w:p>
            <w:pPr>
              <w:keepNext/>
              <w:spacing w:before="0" w:after="0"/>
              <w:jc w:val="center"/>
            </w:pPr>
            <w:r>
              <w:rPr>
                <w:rFonts w:asciiTheme="majorHAnsi" w:hAnsiTheme="majorHAnsi" w:cstheme="majorHAnsi"/>
                <w:sz w:val="22"/>
                <w:szCs w:val="22"/>
              </w:rPr>
              <w:t xml:space="preserve">9</w:t>
            </w:r>
          </w:p>
        </w:tc>
        <w:tc>
          <w:tcPr>
            <w:tcW w:w="3800" w:type="dxa"/>
            <w:vAlign w:val="center"/>
          </w:tcPr>
          <w:p>
            <w:pPr>
              <w:keepNext/>
              <w:spacing w:before="0" w:after="0"/>
              <w:jc w:val="left"/>
            </w:pPr>
            <w:r>
              <w:rPr>
                <w:rFonts w:asciiTheme="majorHAnsi" w:hAnsiTheme="majorHAnsi" w:cstheme="majorHAnsi"/>
                <w:sz w:val="22"/>
                <w:szCs w:val="22"/>
              </w:rPr>
              <w:t xml:space="preserve">YearBuilt</w:t>
            </w:r>
          </w:p>
        </w:tc>
        <w:tc>
          <w:tcPr>
            <w:tcW w:w="3200" w:type="dxa"/>
            <w:vAlign w:val="center"/>
          </w:tcPr>
          <w:p>
            <w:pPr>
              <w:keepNext/>
              <w:spacing w:before="0" w:after="0"/>
              <w:jc w:val="center"/>
            </w:pPr>
            <w:r>
              <w:rPr>
                <w:rFonts w:asciiTheme="majorHAnsi" w:hAnsiTheme="majorHAnsi" w:cstheme="majorHAnsi"/>
                <w:sz w:val="22"/>
                <w:szCs w:val="22"/>
              </w:rPr>
              <w:t xml:space="preserve">0.523</w:t>
            </w:r>
          </w:p>
        </w:tc>
      </w:tr>
      <w:tr>
        <w:trPr>
          <w:cantSplit/>
        </w:trPr>
        <w:tc>
          <w:tcPr>
            <w:tcW w:w="1200" w:type="dxa"/>
            <w:vAlign w:val="center"/>
          </w:tcPr>
          <w:p>
            <w:pPr>
              <w:spacing w:before="0" w:after="0"/>
              <w:jc w:val="center"/>
            </w:pPr>
            <w:r>
              <w:rPr>
                <w:rFonts w:asciiTheme="majorHAnsi" w:hAnsiTheme="majorHAnsi" w:cstheme="majorHAnsi"/>
                <w:sz w:val="22"/>
                <w:szCs w:val="22"/>
              </w:rPr>
              <w:t xml:space="preserve">10</w:t>
            </w:r>
          </w:p>
        </w:tc>
        <w:tc>
          <w:tcPr>
            <w:tcW w:w="3800" w:type="dxa"/>
            <w:vAlign w:val="center"/>
          </w:tcPr>
          <w:p>
            <w:pPr>
              <w:spacing w:before="0" w:after="0"/>
              <w:jc w:val="left"/>
            </w:pPr>
            <w:r>
              <w:rPr>
                <w:rFonts w:asciiTheme="majorHAnsi" w:hAnsiTheme="majorHAnsi" w:cstheme="majorHAnsi"/>
                <w:sz w:val="22"/>
                <w:szCs w:val="22"/>
              </w:rPr>
              <w:t xml:space="preserve">YearRemodAdd</w:t>
            </w:r>
          </w:p>
        </w:tc>
        <w:tc>
          <w:tcPr>
            <w:tcW w:w="3200" w:type="dxa"/>
            <w:vAlign w:val="center"/>
          </w:tcPr>
          <w:p>
            <w:pPr>
              <w:spacing w:before="0" w:after="0"/>
              <w:jc w:val="center"/>
            </w:pPr>
            <w:r>
              <w:rPr>
                <w:rFonts w:asciiTheme="majorHAnsi" w:hAnsiTheme="majorHAnsi" w:cstheme="majorHAnsi"/>
                <w:sz w:val="22"/>
                <w:szCs w:val="22"/>
              </w:rPr>
              <w:t xml:space="preserve">0.507</w:t>
            </w:r>
          </w:p>
        </w:tc>
      </w:tr>
    </w:tbl>
    <w:p>
      <w:pPr>
        <w:spacing w:before="0" w:after="60"/>
      </w:pPr>
    </w:p>
    <w:p>
      <w:pPr>
        <w:keepNext/>
        <w:spacing w:before="0" w:after="120"/>
      </w:pPr>
      <w:r>
        <w:rPr>
          <w:rFonts w:asciiTheme="majorHAnsi" w:hAnsiTheme="majorHAnsi" w:cstheme="majorHAnsi"/>
          <w:sz w:val="26"/>
          <w:szCs w:val="26"/>
        </w:rPr>
        <w:t xml:space="preserve">Các biến nổi bật nhất gồm:</w:t>
      </w:r>
    </w:p>
    <w:p w14:paraId="0DFCC6A4"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OverallQual: r xấp xỉ 0.79 - tương quan mạnh nhất.</w:t>
      </w:r>
    </w:p>
    <w:p w14:paraId="355D4816"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GrLivArea (diện tích sàn ở): r xấp xỉ 0.71.</w:t>
      </w:r>
    </w:p>
    <w:p w14:paraId="56A34AE8"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GarageCars / GarageArea: r xấp xỉ 0.62 - 0.64.</w:t>
      </w:r>
    </w:p>
    <w:p w14:paraId="517D9B18"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TotalBsmtSF, 1stFlrSF: r xấp xỉ 0.61.</w:t>
      </w:r>
    </w:p>
    <w:p>
      <w:pPr>
        <w:pStyle w:val="u2"/>
        <w:keepNext/>
        <w:spacing w:before="200" w:after="100"/>
      </w:pPr>
      <w:bookmarkStart w:id="309" w:name="_Toc900000309"/>
      <w:r>
        <w:rPr>
          <w:rFonts w:asciiTheme="majorHAnsi" w:hAnsiTheme="majorHAnsi" w:cstheme="majorHAnsi"/>
          <w:color w:val="2E74B5"/>
          <w:sz w:val="26"/>
          <w:szCs w:val="26"/>
        </w:rPr>
        <w:t>4.2. Ma trận tương quan giữa các biến đứng đầu</w:t>
      </w:r>
      <w:bookmarkEnd w:id="309"/>
    </w:p>
    <w:p>
      <w:pPr>
        <w:spacing w:before="0" w:after="120"/>
      </w:pPr>
      <w:r>
        <w:rPr>
          <w:rFonts w:asciiTheme="majorHAnsi" w:hAnsiTheme="majorHAnsi" w:cstheme="majorHAnsi"/>
          <w:sz w:val="26"/>
          <w:szCs w:val="26"/>
        </w:rPr>
        <w:t xml:space="preserve">Để xem mối quan hệ giữa chính các biến này, nhóm vẽ thêm ma trận tương quan của 8 biến đứng đầu cùng với SalePrice (Hình 6). Một số cặp biến có tương quan cao với nhau: GarageCars và GarageArea (0.88), GrLivArea và TotRmsAbvGrd (0.83), TotalBsmtSF và 1stFlrSF (0.82). Đây là những biến cùng mô tả kích thước của ngôi nhà nên có thể mang thông tin trùng nhau, cần lưu ý khi xây dựng mô hình.</w:t>
      </w:r>
    </w:p>
    <w:p>
      <w:pPr>
        <w:keepNext/>
        <w:spacing w:before="120" w:after="80"/>
        <w:jc w:val="center"/>
      </w:pPr>
      <w:r>
        <w:drawing>
          <wp:inline xmlns:a="http://schemas.openxmlformats.org/drawingml/2006/main" xmlns:pic="http://schemas.openxmlformats.org/drawingml/2006/picture">
            <wp:extent cx="4389120" cy="3884623"/>
            <wp:docPr id="506" name="Picture 506" descr="Hình 6. Ma trận tương quan của các biến liên quan nhiều nhất đến SalePrice"/>
            <wp:cNvGraphicFramePr>
              <a:graphicFrameLocks noChangeAspect="1"/>
            </wp:cNvGraphicFramePr>
            <a:graphic>
              <a:graphicData uri="http://schemas.openxmlformats.org/drawingml/2006/picture">
                <pic:pic>
                  <pic:nvPicPr>
                    <pic:cNvPr id="0" name="Phan_tich_da_c4_2.png"/>
                    <pic:cNvPicPr/>
                  </pic:nvPicPr>
                  <pic:blipFill>
                    <a:blip r:embed="rId16"/>
                    <a:stretch>
                      <a:fillRect/>
                    </a:stretch>
                  </pic:blipFill>
                  <pic:spPr>
                    <a:xfrm>
                      <a:off x="0" y="0"/>
                      <a:ext cx="4389120" cy="3884623"/>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6. Ma trận tương quan của các biến liên quan nhiều nhất đến SalePrice</w:t>
      </w:r>
    </w:p>
    <w:p>
      <w:pPr>
        <w:pStyle w:val="u2"/>
        <w:keepNext/>
        <w:spacing w:before="200" w:after="100"/>
      </w:pPr>
      <w:bookmarkStart w:id="310" w:name="_Toc900000310"/>
      <w:r>
        <w:rPr>
          <w:rFonts w:asciiTheme="majorHAnsi" w:hAnsiTheme="majorHAnsi" w:cstheme="majorHAnsi"/>
          <w:color w:val="2E74B5"/>
          <w:sz w:val="26"/>
          <w:szCs w:val="26"/>
        </w:rPr>
        <w:t>4.3. Quan hệ giữa diện tích, chất lượng và giá bán</w:t>
      </w:r>
      <w:bookmarkEnd w:id="310"/>
    </w:p>
    <w:p>
      <w:pPr>
        <w:spacing w:before="0" w:after="120"/>
      </w:pPr>
      <w:r>
        <w:rPr>
          <w:rFonts w:asciiTheme="majorHAnsi" w:hAnsiTheme="majorHAnsi" w:cstheme="majorHAnsi"/>
          <w:sz w:val="26"/>
          <w:szCs w:val="26"/>
        </w:rPr>
        <w:t xml:space="preserve">Hình 7 biểu diễn quan hệ giữa SalePrice với GrLivArea và TotalBsmtSF, trong đó màu của mỗi điểm thể hiện mức OverallQual.</w:t>
      </w:r>
    </w:p>
    <w:p>
      <w:pPr>
        <w:keepNext/>
        <w:spacing w:before="120" w:after="80"/>
        <w:jc w:val="center"/>
      </w:pPr>
      <w:r>
        <w:drawing>
          <wp:inline xmlns:a="http://schemas.openxmlformats.org/drawingml/2006/main" xmlns:pic="http://schemas.openxmlformats.org/drawingml/2006/picture">
            <wp:extent cx="5760720" cy="2189878"/>
            <wp:docPr id="507" name="Picture 507" descr="Hình 7. GrLivArea và TotalBsmtSF so với SalePrice (màu thể hiện OverallQual)"/>
            <wp:cNvGraphicFramePr>
              <a:graphicFrameLocks noChangeAspect="1"/>
            </wp:cNvGraphicFramePr>
            <a:graphic>
              <a:graphicData uri="http://schemas.openxmlformats.org/drawingml/2006/picture">
                <pic:pic>
                  <pic:nvPicPr>
                    <pic:cNvPr id="0" name="Phan_tich_da_c7_3.png"/>
                    <pic:cNvPicPr/>
                  </pic:nvPicPr>
                  <pic:blipFill>
                    <a:blip r:embed="rId21"/>
                    <a:stretch>
                      <a:fillRect/>
                    </a:stretch>
                  </pic:blipFill>
                  <pic:spPr>
                    <a:xfrm>
                      <a:off x="0" y="0"/>
                      <a:ext cx="5760720" cy="2189878"/>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7. GrLivArea và TotalBsmtSF so với SalePrice (màu thể hiện OverallQual)</w:t>
      </w:r>
    </w:p>
    <w:p w14:paraId="2A96BD34"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Giá bán có xu hướng tăng theo diện tích GrLivArea nhưng các điểm dữ liệu không nằm hoàn toàn trên một đường thẳng. Quan sát trên biểu đồ cũng cho thấy ở cùng một khoảng diện tích, những căn có OverallQual cao thường có giá cao hơn. Như vậy, kích thước và chất lượng đều là những đặc điểm đáng chú ý khi giải thích sự thay đổi của giá bán. Tuy nhiên, qua EDA nhóm chỉ mô tả mối quan hệ quan sát được chứ chưa kiểm định tác động tương tác giữa hai biến.</w:t>
      </w:r>
    </w:p>
    <w:p>
      <w:pPr>
        <w:spacing w:before="0" w:after="120"/>
      </w:pPr>
      <w:r>
        <w:rPr>
          <w:rFonts w:asciiTheme="majorHAnsi" w:hAnsiTheme="majorHAnsi" w:cstheme="majorHAnsi"/>
          <w:sz w:val="26"/>
          <w:szCs w:val="26"/>
        </w:rPr>
        <w:t xml:space="preserve">Xu hướng tương tự cũng thấy ở TotalBsmtSF: giá bán tăng khi diện tích tầng hầm tăng nhưng quan hệ không hoàn toàn tuyến tính. Một vài điểm có diện tích rất lớn nhưng giá bán thấp nằm lệch hẳn khỏi phần lớn dữ liệu; các điểm này được xem xét riêng ở mục 5.</w:t>
      </w:r>
    </w:p>
    <w:p>
      <w:pPr>
        <w:pStyle w:val="u2"/>
        <w:keepNext/>
        <w:spacing w:before="200" w:after="100"/>
      </w:pPr>
      <w:bookmarkStart w:id="311" w:name="_Toc900000311"/>
      <w:r>
        <w:rPr>
          <w:rFonts w:asciiTheme="majorHAnsi" w:hAnsiTheme="majorHAnsi" w:cstheme="majorHAnsi"/>
          <w:color w:val="2E74B5"/>
          <w:sz w:val="26"/>
          <w:szCs w:val="26"/>
        </w:rPr>
        <w:t>4.4. Giá bán theo chất lượng tổng thể (OverallQual)</w:t>
      </w:r>
      <w:bookmarkEnd w:id="311"/>
    </w:p>
    <w:p>
      <w:pPr>
        <w:spacing w:before="0" w:after="120"/>
      </w:pPr>
      <w:r>
        <w:rPr>
          <w:rFonts w:asciiTheme="majorHAnsi" w:hAnsiTheme="majorHAnsi" w:cstheme="majorHAnsi"/>
          <w:sz w:val="26"/>
          <w:szCs w:val="26"/>
        </w:rPr>
        <w:t xml:space="preserve">Hình 8 cho thấy SalePrice tăng khá đều theo OverallQual: từ mức 1 đến mức 10, giá trung vị tăng dần và tăng mạnh nhất từ mức 7 trở lên. Ở các mức cao, khoảng giá cũng trải rộng hơn, tức là cùng chất lượng tổng thể vẫn có sự khác biệt lớn về giá.</w:t>
      </w:r>
    </w:p>
    <w:p>
      <w:pPr>
        <w:keepNext/>
        <w:spacing w:before="120" w:after="80"/>
        <w:jc w:val="center"/>
      </w:pPr>
      <w:r>
        <w:drawing>
          <wp:inline xmlns:a="http://schemas.openxmlformats.org/drawingml/2006/main" xmlns:pic="http://schemas.openxmlformats.org/drawingml/2006/picture">
            <wp:extent cx="4754880" cy="2796988"/>
            <wp:docPr id="508" name="Picture 508" descr="Hình 8. SalePrice theo OverallQual"/>
            <wp:cNvGraphicFramePr>
              <a:graphicFrameLocks noChangeAspect="1"/>
            </wp:cNvGraphicFramePr>
            <a:graphic>
              <a:graphicData uri="http://schemas.openxmlformats.org/drawingml/2006/picture">
                <pic:pic>
                  <pic:nvPicPr>
                    <pic:cNvPr id="0" name="Phan_tich_da_c13_4.png"/>
                    <pic:cNvPicPr/>
                  </pic:nvPicPr>
                  <pic:blipFill>
                    <a:blip r:embed="rId22"/>
                    <a:stretch>
                      <a:fillRect/>
                    </a:stretch>
                  </pic:blipFill>
                  <pic:spPr>
                    <a:xfrm>
                      <a:off x="0" y="0"/>
                      <a:ext cx="4754880" cy="2796988"/>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8. SalePrice theo OverallQual</w:t>
      </w:r>
    </w:p>
    <w:p>
      <w:pPr>
        <w:pStyle w:val="u2"/>
        <w:keepNext/>
        <w:spacing w:before="200" w:after="100"/>
      </w:pPr>
      <w:bookmarkStart w:id="312" w:name="_Toc900000312"/>
      <w:r>
        <w:rPr>
          <w:rFonts w:asciiTheme="majorHAnsi" w:hAnsiTheme="majorHAnsi" w:cstheme="majorHAnsi"/>
          <w:color w:val="2E74B5"/>
          <w:sz w:val="26"/>
          <w:szCs w:val="26"/>
        </w:rPr>
        <w:t>4.5. Giá bán theo vị trí (Neighborhood)</w:t>
      </w:r>
      <w:bookmarkEnd w:id="312"/>
    </w:p>
    <w:p>
      <w:pPr>
        <w:keepNext/>
        <w:spacing w:before="120" w:after="80"/>
        <w:jc w:val="center"/>
      </w:pPr>
      <w:r>
        <w:drawing>
          <wp:inline xmlns:a="http://schemas.openxmlformats.org/drawingml/2006/main" xmlns:pic="http://schemas.openxmlformats.org/drawingml/2006/picture">
            <wp:extent cx="5120640" cy="2673038"/>
            <wp:docPr id="509" name="Picture 509" descr="Hình 9. SalePrice theo Neighborhood (8 khu vực có nhiều giao dịch nhất)"/>
            <wp:cNvGraphicFramePr>
              <a:graphicFrameLocks noChangeAspect="1"/>
            </wp:cNvGraphicFramePr>
            <a:graphic>
              <a:graphicData uri="http://schemas.openxmlformats.org/drawingml/2006/picture">
                <pic:pic>
                  <pic:nvPicPr>
                    <pic:cNvPr id="0" name="Phan_tich_da_c14_5.png"/>
                    <pic:cNvPicPr/>
                  </pic:nvPicPr>
                  <pic:blipFill>
                    <a:blip r:embed="rId23"/>
                    <a:stretch>
                      <a:fillRect/>
                    </a:stretch>
                  </pic:blipFill>
                  <pic:spPr>
                    <a:xfrm>
                      <a:off x="0" y="0"/>
                      <a:ext cx="5120640" cy="2673038"/>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9. SalePrice theo Neighborhood (8 khu vực có nhiều giao dịch nhất)</w:t>
      </w:r>
    </w:p>
    <w:p w14:paraId="7276F306"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Vị trí (Neighborhood) tạo ra sự khác nhau khá rõ về giá trung vị giữa các khu vực. Trong nhóm 8 khu vực có nhiều giao dịch được chọn để vẽ biểu đồ, NridgHt và Somerst có giá trung vị cao hơn, trong khi OldTown và Edwards thấp hơn đáng kể. Điều này cho thấy vị trí là một đặc điểm nên được xem xét khi phân tích giá nhà, dù chỉ nhìn vào biểu đồ chưa thể giải thích đầy đủ nguyên nhân của sự khác nhau này.</w:t>
      </w:r>
    </w:p>
    <w:p w14:paraId="58562D02"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t>Qua biểu đồ theo Neighborhood, có thể thấy giá không phân bố giống nhau giữa các khu vực. Điều này phù hợp với việc vị trí thường đi cùng nhiều đặc điểm khác của căn nhà. Trong bài này nhóm chỉ ghi nhận sự khác nhau trong dữ liệu, còn nguyên nhân cụ thể cần được phân tích thêm nếu xây dựng mô hình hoặc nghiên cứu sâu hơn.</w:t>
      </w:r>
    </w:p>
    <w:p>
      <w:pPr>
        <w:pStyle w:val="u2"/>
        <w:keepNext/>
        <w:spacing w:before="200" w:after="100"/>
      </w:pPr>
      <w:bookmarkStart w:id="313" w:name="_Toc900000313"/>
      <w:r>
        <w:rPr>
          <w:rFonts w:asciiTheme="majorHAnsi" w:hAnsiTheme="majorHAnsi" w:cstheme="majorHAnsi"/>
          <w:color w:val="2E74B5"/>
          <w:sz w:val="26"/>
          <w:szCs w:val="26"/>
        </w:rPr>
        <w:t>4.6. Năm xây và giá bán</w:t>
      </w:r>
      <w:bookmarkEnd w:id="313"/>
    </w:p>
    <w:p>
      <w:pPr>
        <w:spacing w:before="0" w:after="120"/>
      </w:pPr>
      <w:r>
        <w:rPr>
          <w:rFonts w:asciiTheme="majorHAnsi" w:hAnsiTheme="majorHAnsi" w:cstheme="majorHAnsi"/>
          <w:sz w:val="26"/>
          <w:szCs w:val="26"/>
        </w:rPr>
        <w:t xml:space="preserve">Hình 10 biểu diễn quan hệ giữa YearBuilt và SalePrice cùng đường hồi quy tuyến tính (màu đỏ). Có xu hướng giá bán tăng nhẹ theo năm xây, tức là những căn nhà mới hơn thường có giá trung bình cao hơn. Tuy nhiên mức độ phân tán vẫn khá lớn nên YearBuilt không thể giải thích toàn bộ sự thay đổi của giá bán.</w:t>
      </w:r>
    </w:p>
    <w:p>
      <w:pPr>
        <w:keepNext/>
        <w:spacing w:before="120" w:after="80"/>
        <w:jc w:val="center"/>
      </w:pPr>
      <w:r>
        <w:drawing>
          <wp:inline xmlns:a="http://schemas.openxmlformats.org/drawingml/2006/main" xmlns:pic="http://schemas.openxmlformats.org/drawingml/2006/picture">
            <wp:extent cx="4937760" cy="2428710"/>
            <wp:docPr id="510" name="Picture 510" descr="Hình 10. Quan hệ giữa YearBuilt và SalePrice"/>
            <wp:cNvGraphicFramePr>
              <a:graphicFrameLocks noChangeAspect="1"/>
            </wp:cNvGraphicFramePr>
            <a:graphic>
              <a:graphicData uri="http://schemas.openxmlformats.org/drawingml/2006/picture">
                <pic:pic>
                  <pic:nvPicPr>
                    <pic:cNvPr id="0" name="Phan_tich_da_c17_6.png"/>
                    <pic:cNvPicPr/>
                  </pic:nvPicPr>
                  <pic:blipFill>
                    <a:blip r:embed="rId24"/>
                    <a:stretch>
                      <a:fillRect/>
                    </a:stretch>
                  </pic:blipFill>
                  <pic:spPr>
                    <a:xfrm>
                      <a:off x="0" y="0"/>
                      <a:ext cx="4937760" cy="2428710"/>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10. Quan hệ giữa YearBuilt và SalePrice</w:t>
      </w:r>
    </w:p>
    <w:p w14:paraId="7D097B11" w14:textId="79AF4E28" w:rsidR="00FC5BC3" w:rsidRPr="00905257" w:rsidRDefault="00905257" w:rsidP="00FC5BC3">
      <w:pPr>
        <w:pStyle w:val="u1"/>
        <w:keepNext/>
        <w:spacing w:before="300" w:after="150"/>
        <w:rPr>
          <w:rFonts w:asciiTheme="majorHAnsi" w:hAnsiTheme="majorHAnsi" w:cstheme="majorHAnsi"/>
          <w:b/>
          <w:bCs/>
          <w:color w:val="1F3864"/>
        </w:rPr>
      </w:pPr>
      <w:bookmarkStart w:id="4" w:name="_Toc241153238"/>
      <w:r w:rsidRPr="00905257">
        <w:rPr>
          <w:rFonts w:asciiTheme="majorHAnsi" w:hAnsiTheme="majorHAnsi" w:cstheme="majorHAnsi"/>
          <w:b/>
          <w:bCs/>
          <w:color w:val="1F3864"/>
        </w:rPr>
        <w:t>5</w:t>
      </w:r>
      <w:r w:rsidR="00FC5BC3" w:rsidRPr="00905257">
        <w:rPr>
          <w:rFonts w:asciiTheme="majorHAnsi" w:hAnsiTheme="majorHAnsi" w:cstheme="majorHAnsi"/>
          <w:b/>
          <w:bCs/>
          <w:color w:val="1F3864"/>
        </w:rPr>
        <w:t>. Giá trị thiếu, mẫu bất thường và ngoại lệ</w:t>
      </w:r>
      <w:bookmarkEnd w:id="4"/>
    </w:p>
    <w:p>
      <w:pPr>
        <w:pStyle w:val="u2"/>
        <w:keepNext/>
        <w:spacing w:before="200" w:after="100"/>
      </w:pPr>
      <w:bookmarkStart w:id="314" w:name="_Toc900000314"/>
      <w:r>
        <w:rPr>
          <w:rFonts w:asciiTheme="majorHAnsi" w:hAnsiTheme="majorHAnsi" w:cstheme="majorHAnsi"/>
          <w:color w:val="2E74B5"/>
          <w:sz w:val="26"/>
          <w:szCs w:val="26"/>
        </w:rPr>
        <w:t xml:space="preserve">5.1. Kiểm tra bản ghi trùng lặp</w:t>
      </w:r>
      <w:bookmarkEnd w:id="314"/>
    </w:p>
    <w:p>
      <w:pPr>
        <w:spacing w:before="0" w:after="120"/>
      </w:pPr>
      <w:r>
        <w:rPr>
          <w:rFonts w:asciiTheme="majorHAnsi" w:hAnsiTheme="majorHAnsi" w:cstheme="majorHAnsi"/>
          <w:sz w:val="26"/>
          <w:szCs w:val="26"/>
        </w:rPr>
        <w:t xml:space="preserve">Nhóm kiểm tra bản ghi trùng lặp trên toàn bộ các cột và kiểm tra riêng cột Id; kết quả là 0 bản ghi trùng và 0 Id trùng. Như vậy mỗi dòng tương ứng với một giao dịch nhà riêng biệt và Id là mã duy nhất trong tập dữ liệu.</w:t>
      </w:r>
    </w:p>
    <w:p>
      <w:pPr>
        <w:pStyle w:val="u2"/>
        <w:keepNext/>
        <w:spacing w:before="200" w:after="100"/>
      </w:pPr>
      <w:bookmarkStart w:id="315" w:name="_Toc900000315"/>
      <w:r>
        <w:rPr>
          <w:rFonts w:asciiTheme="majorHAnsi" w:hAnsiTheme="majorHAnsi" w:cstheme="majorHAnsi"/>
          <w:color w:val="2E74B5"/>
          <w:sz w:val="26"/>
          <w:szCs w:val="26"/>
        </w:rPr>
        <w:t xml:space="preserve">5.2. Giá trị thiếu</w:t>
      </w:r>
      <w:bookmarkEnd w:id="315"/>
    </w:p>
    <w:p>
      <w:pPr>
        <w:keepNext/>
        <w:spacing w:before="120" w:after="80"/>
        <w:jc w:val="center"/>
      </w:pPr>
      <w:r>
        <w:drawing>
          <wp:inline xmlns:a="http://schemas.openxmlformats.org/drawingml/2006/main" xmlns:pic="http://schemas.openxmlformats.org/drawingml/2006/picture">
            <wp:extent cx="4572000" cy="3548571"/>
            <wp:docPr id="511" name="Picture 511" descr="Hình 11. Tỷ lệ giá trị thiếu theo cột"/>
            <wp:cNvGraphicFramePr>
              <a:graphicFrameLocks noChangeAspect="1"/>
            </wp:cNvGraphicFramePr>
            <a:graphic>
              <a:graphicData uri="http://schemas.openxmlformats.org/drawingml/2006/picture">
                <pic:pic>
                  <pic:nvPicPr>
                    <pic:cNvPr id="0" name="Gia_tri_thie_c7_1.png"/>
                    <pic:cNvPicPr/>
                  </pic:nvPicPr>
                  <pic:blipFill>
                    <a:blip r:embed="rId25"/>
                    <a:stretch>
                      <a:fillRect/>
                    </a:stretch>
                  </pic:blipFill>
                  <pic:spPr>
                    <a:xfrm>
                      <a:off x="0" y="0"/>
                      <a:ext cx="4572000" cy="3548571"/>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11. Tỷ lệ giá trị thiếu theo cột</w:t>
      </w:r>
    </w:p>
    <w:p>
      <w:pPr>
        <w:keepNext/>
        <w:spacing w:before="160" w:after="80"/>
        <w:jc w:val="center"/>
      </w:pPr>
      <w:r>
        <w:rPr>
          <w:rFonts w:asciiTheme="majorHAnsi" w:hAnsiTheme="majorHAnsi" w:cstheme="majorHAnsi"/>
          <w:i/>
          <w:iCs/>
          <w:sz w:val="22"/>
          <w:szCs w:val="22"/>
        </w:rPr>
        <w:t xml:space="preserve">Bảng 10. Số lượng và tỷ lệ giá trị thiếu của 19 cột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1900"/>
        <w:gridCol w:w="1250"/>
        <w:gridCol w:w="1100"/>
        <w:gridCol w:w="1900"/>
        <w:gridCol w:w="1250"/>
        <w:gridCol w:w="1100"/>
      </w:tblGrid>
      <w:tr>
        <w:trPr>
          <w:cantSplit/>
          <w:tblHeader/>
        </w:trPr>
        <w:tc>
          <w:tcPr>
            <w:tcW w:w="1900" w:type="dxa"/>
            <w:shd w:val="clear" w:color="auto" w:fill="D9E2F3"/>
            <w:vAlign w:val="center"/>
          </w:tcPr>
          <w:p>
            <w:pPr>
              <w:keepNext/>
              <w:spacing w:before="0" w:after="0"/>
              <w:jc w:val="center"/>
            </w:pPr>
            <w:r>
              <w:rPr>
                <w:rFonts w:asciiTheme="majorHAnsi" w:hAnsiTheme="majorHAnsi" w:cstheme="majorHAnsi"/>
                <w:b/>
                <w:bCs/>
                <w:sz w:val="20"/>
                <w:szCs w:val="20"/>
              </w:rPr>
              <w:t xml:space="preserve">Cột</w:t>
            </w:r>
          </w:p>
        </w:tc>
        <w:tc>
          <w:tcPr>
            <w:tcW w:w="1250" w:type="dxa"/>
            <w:shd w:val="clear" w:color="auto" w:fill="D9E2F3"/>
            <w:vAlign w:val="center"/>
          </w:tcPr>
          <w:p>
            <w:pPr>
              <w:keepNext/>
              <w:spacing w:before="0" w:after="0"/>
              <w:jc w:val="center"/>
            </w:pPr>
            <w:r>
              <w:rPr>
                <w:rFonts w:asciiTheme="majorHAnsi" w:hAnsiTheme="majorHAnsi" w:cstheme="majorHAnsi"/>
                <w:b/>
                <w:bCs/>
                <w:sz w:val="20"/>
                <w:szCs w:val="20"/>
              </w:rPr>
              <w:t xml:space="preserve">Số dòng thiếu</w:t>
            </w:r>
          </w:p>
        </w:tc>
        <w:tc>
          <w:tcPr>
            <w:tcW w:w="1100" w:type="dxa"/>
            <w:shd w:val="clear" w:color="auto" w:fill="D9E2F3"/>
            <w:vAlign w:val="center"/>
          </w:tcPr>
          <w:p>
            <w:pPr>
              <w:keepNext/>
              <w:spacing w:before="0" w:after="0"/>
              <w:jc w:val="center"/>
            </w:pPr>
            <w:r>
              <w:rPr>
                <w:rFonts w:asciiTheme="majorHAnsi" w:hAnsiTheme="majorHAnsi" w:cstheme="majorHAnsi"/>
                <w:b/>
                <w:bCs/>
                <w:sz w:val="20"/>
                <w:szCs w:val="20"/>
              </w:rPr>
              <w:t xml:space="preserve">Tỷ lệ (%)</w:t>
            </w:r>
          </w:p>
        </w:tc>
        <w:tc>
          <w:tcPr>
            <w:tcW w:w="1900" w:type="dxa"/>
            <w:shd w:val="clear" w:color="auto" w:fill="D9E2F3"/>
            <w:vAlign w:val="center"/>
          </w:tcPr>
          <w:p>
            <w:pPr>
              <w:keepNext/>
              <w:spacing w:before="0" w:after="0"/>
              <w:jc w:val="center"/>
            </w:pPr>
            <w:r>
              <w:rPr>
                <w:rFonts w:asciiTheme="majorHAnsi" w:hAnsiTheme="majorHAnsi" w:cstheme="majorHAnsi"/>
                <w:b/>
                <w:bCs/>
                <w:sz w:val="20"/>
                <w:szCs w:val="20"/>
              </w:rPr>
              <w:t xml:space="preserve">Cột</w:t>
            </w:r>
          </w:p>
        </w:tc>
        <w:tc>
          <w:tcPr>
            <w:tcW w:w="1250" w:type="dxa"/>
            <w:shd w:val="clear" w:color="auto" w:fill="D9E2F3"/>
            <w:vAlign w:val="center"/>
          </w:tcPr>
          <w:p>
            <w:pPr>
              <w:keepNext/>
              <w:spacing w:before="0" w:after="0"/>
              <w:jc w:val="center"/>
            </w:pPr>
            <w:r>
              <w:rPr>
                <w:rFonts w:asciiTheme="majorHAnsi" w:hAnsiTheme="majorHAnsi" w:cstheme="majorHAnsi"/>
                <w:b/>
                <w:bCs/>
                <w:sz w:val="20"/>
                <w:szCs w:val="20"/>
              </w:rPr>
              <w:t xml:space="preserve">Số dòng thiếu</w:t>
            </w:r>
          </w:p>
        </w:tc>
        <w:tc>
          <w:tcPr>
            <w:tcW w:w="1100" w:type="dxa"/>
            <w:shd w:val="clear" w:color="auto" w:fill="D9E2F3"/>
            <w:vAlign w:val="center"/>
          </w:tcPr>
          <w:p>
            <w:pPr>
              <w:keepNext/>
              <w:spacing w:before="0" w:after="0"/>
              <w:jc w:val="center"/>
            </w:pPr>
            <w:r>
              <w:rPr>
                <w:rFonts w:asciiTheme="majorHAnsi" w:hAnsiTheme="majorHAnsi" w:cstheme="majorHAnsi"/>
                <w:b/>
                <w:bCs/>
                <w:sz w:val="20"/>
                <w:szCs w:val="20"/>
              </w:rPr>
              <w:t xml:space="preserve">Tỷ lệ (%)</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PoolQC</w:t>
            </w:r>
          </w:p>
        </w:tc>
        <w:tc>
          <w:tcPr>
            <w:tcW w:w="1250" w:type="dxa"/>
            <w:vAlign w:val="center"/>
          </w:tcPr>
          <w:p>
            <w:pPr>
              <w:keepNext/>
              <w:spacing w:before="0" w:after="0"/>
              <w:jc w:val="center"/>
            </w:pPr>
            <w:r>
              <w:rPr>
                <w:rFonts w:asciiTheme="majorHAnsi" w:hAnsiTheme="majorHAnsi" w:cstheme="majorHAnsi"/>
                <w:sz w:val="20"/>
                <w:szCs w:val="20"/>
              </w:rPr>
              <w:t xml:space="preserve">1453</w:t>
            </w:r>
          </w:p>
        </w:tc>
        <w:tc>
          <w:tcPr>
            <w:tcW w:w="1100" w:type="dxa"/>
            <w:vAlign w:val="center"/>
          </w:tcPr>
          <w:p>
            <w:pPr>
              <w:keepNext/>
              <w:spacing w:before="0" w:after="0"/>
              <w:jc w:val="center"/>
            </w:pPr>
            <w:r>
              <w:rPr>
                <w:rFonts w:asciiTheme="majorHAnsi" w:hAnsiTheme="majorHAnsi" w:cstheme="majorHAnsi"/>
                <w:sz w:val="20"/>
                <w:szCs w:val="20"/>
              </w:rPr>
              <w:t xml:space="preserve">99.5</w:t>
            </w:r>
          </w:p>
        </w:tc>
        <w:tc>
          <w:tcPr>
            <w:tcW w:w="1900" w:type="dxa"/>
            <w:vAlign w:val="center"/>
          </w:tcPr>
          <w:p>
            <w:pPr>
              <w:keepNext/>
              <w:spacing w:before="0" w:after="0"/>
              <w:jc w:val="left"/>
            </w:pPr>
            <w:r>
              <w:rPr>
                <w:rFonts w:asciiTheme="majorHAnsi" w:hAnsiTheme="majorHAnsi" w:cstheme="majorHAnsi"/>
                <w:sz w:val="20"/>
                <w:szCs w:val="20"/>
              </w:rPr>
              <w:t xml:space="preserve">GarageQual</w:t>
            </w:r>
          </w:p>
        </w:tc>
        <w:tc>
          <w:tcPr>
            <w:tcW w:w="1250" w:type="dxa"/>
            <w:vAlign w:val="center"/>
          </w:tcPr>
          <w:p>
            <w:pPr>
              <w:keepNext/>
              <w:spacing w:before="0" w:after="0"/>
              <w:jc w:val="center"/>
            </w:pPr>
            <w:r>
              <w:rPr>
                <w:rFonts w:asciiTheme="majorHAnsi" w:hAnsiTheme="majorHAnsi" w:cstheme="majorHAnsi"/>
                <w:sz w:val="20"/>
                <w:szCs w:val="20"/>
              </w:rPr>
              <w:t xml:space="preserve">81</w:t>
            </w:r>
          </w:p>
        </w:tc>
        <w:tc>
          <w:tcPr>
            <w:tcW w:w="1100" w:type="dxa"/>
            <w:vAlign w:val="center"/>
          </w:tcPr>
          <w:p>
            <w:pPr>
              <w:keepNext/>
              <w:spacing w:before="0" w:after="0"/>
              <w:jc w:val="center"/>
            </w:pPr>
            <w:r>
              <w:rPr>
                <w:rFonts w:asciiTheme="majorHAnsi" w:hAnsiTheme="majorHAnsi" w:cstheme="majorHAnsi"/>
                <w:sz w:val="20"/>
                <w:szCs w:val="20"/>
              </w:rPr>
              <w:t xml:space="preserve">5.5</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MiscFeature</w:t>
            </w:r>
          </w:p>
        </w:tc>
        <w:tc>
          <w:tcPr>
            <w:tcW w:w="1250" w:type="dxa"/>
            <w:vAlign w:val="center"/>
          </w:tcPr>
          <w:p>
            <w:pPr>
              <w:keepNext/>
              <w:spacing w:before="0" w:after="0"/>
              <w:jc w:val="center"/>
            </w:pPr>
            <w:r>
              <w:rPr>
                <w:rFonts w:asciiTheme="majorHAnsi" w:hAnsiTheme="majorHAnsi" w:cstheme="majorHAnsi"/>
                <w:sz w:val="20"/>
                <w:szCs w:val="20"/>
              </w:rPr>
              <w:t xml:space="preserve">1406</w:t>
            </w:r>
          </w:p>
        </w:tc>
        <w:tc>
          <w:tcPr>
            <w:tcW w:w="1100" w:type="dxa"/>
            <w:vAlign w:val="center"/>
          </w:tcPr>
          <w:p>
            <w:pPr>
              <w:keepNext/>
              <w:spacing w:before="0" w:after="0"/>
              <w:jc w:val="center"/>
            </w:pPr>
            <w:r>
              <w:rPr>
                <w:rFonts w:asciiTheme="majorHAnsi" w:hAnsiTheme="majorHAnsi" w:cstheme="majorHAnsi"/>
                <w:sz w:val="20"/>
                <w:szCs w:val="20"/>
              </w:rPr>
              <w:t xml:space="preserve">96.3</w:t>
            </w:r>
          </w:p>
        </w:tc>
        <w:tc>
          <w:tcPr>
            <w:tcW w:w="1900" w:type="dxa"/>
            <w:vAlign w:val="center"/>
          </w:tcPr>
          <w:p>
            <w:pPr>
              <w:keepNext/>
              <w:spacing w:before="0" w:after="0"/>
              <w:jc w:val="left"/>
            </w:pPr>
            <w:r>
              <w:rPr>
                <w:rFonts w:asciiTheme="majorHAnsi" w:hAnsiTheme="majorHAnsi" w:cstheme="majorHAnsi"/>
                <w:sz w:val="20"/>
                <w:szCs w:val="20"/>
              </w:rPr>
              <w:t xml:space="preserve">GarageCond</w:t>
            </w:r>
          </w:p>
        </w:tc>
        <w:tc>
          <w:tcPr>
            <w:tcW w:w="1250" w:type="dxa"/>
            <w:vAlign w:val="center"/>
          </w:tcPr>
          <w:p>
            <w:pPr>
              <w:keepNext/>
              <w:spacing w:before="0" w:after="0"/>
              <w:jc w:val="center"/>
            </w:pPr>
            <w:r>
              <w:rPr>
                <w:rFonts w:asciiTheme="majorHAnsi" w:hAnsiTheme="majorHAnsi" w:cstheme="majorHAnsi"/>
                <w:sz w:val="20"/>
                <w:szCs w:val="20"/>
              </w:rPr>
              <w:t xml:space="preserve">81</w:t>
            </w:r>
          </w:p>
        </w:tc>
        <w:tc>
          <w:tcPr>
            <w:tcW w:w="1100" w:type="dxa"/>
            <w:vAlign w:val="center"/>
          </w:tcPr>
          <w:p>
            <w:pPr>
              <w:keepNext/>
              <w:spacing w:before="0" w:after="0"/>
              <w:jc w:val="center"/>
            </w:pPr>
            <w:r>
              <w:rPr>
                <w:rFonts w:asciiTheme="majorHAnsi" w:hAnsiTheme="majorHAnsi" w:cstheme="majorHAnsi"/>
                <w:sz w:val="20"/>
                <w:szCs w:val="20"/>
              </w:rPr>
              <w:t xml:space="preserve">5.5</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Alley</w:t>
            </w:r>
          </w:p>
        </w:tc>
        <w:tc>
          <w:tcPr>
            <w:tcW w:w="1250" w:type="dxa"/>
            <w:vAlign w:val="center"/>
          </w:tcPr>
          <w:p>
            <w:pPr>
              <w:keepNext/>
              <w:spacing w:before="0" w:after="0"/>
              <w:jc w:val="center"/>
            </w:pPr>
            <w:r>
              <w:rPr>
                <w:rFonts w:asciiTheme="majorHAnsi" w:hAnsiTheme="majorHAnsi" w:cstheme="majorHAnsi"/>
                <w:sz w:val="20"/>
                <w:szCs w:val="20"/>
              </w:rPr>
              <w:t xml:space="preserve">1369</w:t>
            </w:r>
          </w:p>
        </w:tc>
        <w:tc>
          <w:tcPr>
            <w:tcW w:w="1100" w:type="dxa"/>
            <w:vAlign w:val="center"/>
          </w:tcPr>
          <w:p>
            <w:pPr>
              <w:keepNext/>
              <w:spacing w:before="0" w:after="0"/>
              <w:jc w:val="center"/>
            </w:pPr>
            <w:r>
              <w:rPr>
                <w:rFonts w:asciiTheme="majorHAnsi" w:hAnsiTheme="majorHAnsi" w:cstheme="majorHAnsi"/>
                <w:sz w:val="20"/>
                <w:szCs w:val="20"/>
              </w:rPr>
              <w:t xml:space="preserve">93.8</w:t>
            </w:r>
          </w:p>
        </w:tc>
        <w:tc>
          <w:tcPr>
            <w:tcW w:w="1900" w:type="dxa"/>
            <w:vAlign w:val="center"/>
          </w:tcPr>
          <w:p>
            <w:pPr>
              <w:keepNext/>
              <w:spacing w:before="0" w:after="0"/>
              <w:jc w:val="left"/>
            </w:pPr>
            <w:r>
              <w:rPr>
                <w:rFonts w:asciiTheme="majorHAnsi" w:hAnsiTheme="majorHAnsi" w:cstheme="majorHAnsi"/>
                <w:sz w:val="20"/>
                <w:szCs w:val="20"/>
              </w:rPr>
              <w:t xml:space="preserve">BsmtExposure</w:t>
            </w:r>
          </w:p>
        </w:tc>
        <w:tc>
          <w:tcPr>
            <w:tcW w:w="1250" w:type="dxa"/>
            <w:vAlign w:val="center"/>
          </w:tcPr>
          <w:p>
            <w:pPr>
              <w:keepNext/>
              <w:spacing w:before="0" w:after="0"/>
              <w:jc w:val="center"/>
            </w:pPr>
            <w:r>
              <w:rPr>
                <w:rFonts w:asciiTheme="majorHAnsi" w:hAnsiTheme="majorHAnsi" w:cstheme="majorHAnsi"/>
                <w:sz w:val="20"/>
                <w:szCs w:val="20"/>
              </w:rPr>
              <w:t xml:space="preserve">38</w:t>
            </w:r>
          </w:p>
        </w:tc>
        <w:tc>
          <w:tcPr>
            <w:tcW w:w="1100" w:type="dxa"/>
            <w:vAlign w:val="center"/>
          </w:tcPr>
          <w:p>
            <w:pPr>
              <w:keepNext/>
              <w:spacing w:before="0" w:after="0"/>
              <w:jc w:val="center"/>
            </w:pPr>
            <w:r>
              <w:rPr>
                <w:rFonts w:asciiTheme="majorHAnsi" w:hAnsiTheme="majorHAnsi" w:cstheme="majorHAnsi"/>
                <w:sz w:val="20"/>
                <w:szCs w:val="20"/>
              </w:rPr>
              <w:t xml:space="preserve">2.6</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Fence</w:t>
            </w:r>
          </w:p>
        </w:tc>
        <w:tc>
          <w:tcPr>
            <w:tcW w:w="1250" w:type="dxa"/>
            <w:vAlign w:val="center"/>
          </w:tcPr>
          <w:p>
            <w:pPr>
              <w:keepNext/>
              <w:spacing w:before="0" w:after="0"/>
              <w:jc w:val="center"/>
            </w:pPr>
            <w:r>
              <w:rPr>
                <w:rFonts w:asciiTheme="majorHAnsi" w:hAnsiTheme="majorHAnsi" w:cstheme="majorHAnsi"/>
                <w:sz w:val="20"/>
                <w:szCs w:val="20"/>
              </w:rPr>
              <w:t xml:space="preserve">1179</w:t>
            </w:r>
          </w:p>
        </w:tc>
        <w:tc>
          <w:tcPr>
            <w:tcW w:w="1100" w:type="dxa"/>
            <w:vAlign w:val="center"/>
          </w:tcPr>
          <w:p>
            <w:pPr>
              <w:keepNext/>
              <w:spacing w:before="0" w:after="0"/>
              <w:jc w:val="center"/>
            </w:pPr>
            <w:r>
              <w:rPr>
                <w:rFonts w:asciiTheme="majorHAnsi" w:hAnsiTheme="majorHAnsi" w:cstheme="majorHAnsi"/>
                <w:sz w:val="20"/>
                <w:szCs w:val="20"/>
              </w:rPr>
              <w:t xml:space="preserve">80.8</w:t>
            </w:r>
          </w:p>
        </w:tc>
        <w:tc>
          <w:tcPr>
            <w:tcW w:w="1900" w:type="dxa"/>
            <w:vAlign w:val="center"/>
          </w:tcPr>
          <w:p>
            <w:pPr>
              <w:keepNext/>
              <w:spacing w:before="0" w:after="0"/>
              <w:jc w:val="left"/>
            </w:pPr>
            <w:r>
              <w:rPr>
                <w:rFonts w:asciiTheme="majorHAnsi" w:hAnsiTheme="majorHAnsi" w:cstheme="majorHAnsi"/>
                <w:sz w:val="20"/>
                <w:szCs w:val="20"/>
              </w:rPr>
              <w:t xml:space="preserve">BsmtFinType2</w:t>
            </w:r>
          </w:p>
        </w:tc>
        <w:tc>
          <w:tcPr>
            <w:tcW w:w="1250" w:type="dxa"/>
            <w:vAlign w:val="center"/>
          </w:tcPr>
          <w:p>
            <w:pPr>
              <w:keepNext/>
              <w:spacing w:before="0" w:after="0"/>
              <w:jc w:val="center"/>
            </w:pPr>
            <w:r>
              <w:rPr>
                <w:rFonts w:asciiTheme="majorHAnsi" w:hAnsiTheme="majorHAnsi" w:cstheme="majorHAnsi"/>
                <w:sz w:val="20"/>
                <w:szCs w:val="20"/>
              </w:rPr>
              <w:t xml:space="preserve">38</w:t>
            </w:r>
          </w:p>
        </w:tc>
        <w:tc>
          <w:tcPr>
            <w:tcW w:w="1100" w:type="dxa"/>
            <w:vAlign w:val="center"/>
          </w:tcPr>
          <w:p>
            <w:pPr>
              <w:keepNext/>
              <w:spacing w:before="0" w:after="0"/>
              <w:jc w:val="center"/>
            </w:pPr>
            <w:r>
              <w:rPr>
                <w:rFonts w:asciiTheme="majorHAnsi" w:hAnsiTheme="majorHAnsi" w:cstheme="majorHAnsi"/>
                <w:sz w:val="20"/>
                <w:szCs w:val="20"/>
              </w:rPr>
              <w:t xml:space="preserve">2.6</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MasVnrType</w:t>
            </w:r>
          </w:p>
        </w:tc>
        <w:tc>
          <w:tcPr>
            <w:tcW w:w="1250" w:type="dxa"/>
            <w:vAlign w:val="center"/>
          </w:tcPr>
          <w:p>
            <w:pPr>
              <w:keepNext/>
              <w:spacing w:before="0" w:after="0"/>
              <w:jc w:val="center"/>
            </w:pPr>
            <w:r>
              <w:rPr>
                <w:rFonts w:asciiTheme="majorHAnsi" w:hAnsiTheme="majorHAnsi" w:cstheme="majorHAnsi"/>
                <w:sz w:val="20"/>
                <w:szCs w:val="20"/>
              </w:rPr>
              <w:t xml:space="preserve">872</w:t>
            </w:r>
          </w:p>
        </w:tc>
        <w:tc>
          <w:tcPr>
            <w:tcW w:w="1100" w:type="dxa"/>
            <w:vAlign w:val="center"/>
          </w:tcPr>
          <w:p>
            <w:pPr>
              <w:keepNext/>
              <w:spacing w:before="0" w:after="0"/>
              <w:jc w:val="center"/>
            </w:pPr>
            <w:r>
              <w:rPr>
                <w:rFonts w:asciiTheme="majorHAnsi" w:hAnsiTheme="majorHAnsi" w:cstheme="majorHAnsi"/>
                <w:sz w:val="20"/>
                <w:szCs w:val="20"/>
              </w:rPr>
              <w:t xml:space="preserve">59.7</w:t>
            </w:r>
          </w:p>
        </w:tc>
        <w:tc>
          <w:tcPr>
            <w:tcW w:w="1900" w:type="dxa"/>
            <w:vAlign w:val="center"/>
          </w:tcPr>
          <w:p>
            <w:pPr>
              <w:keepNext/>
              <w:spacing w:before="0" w:after="0"/>
              <w:jc w:val="left"/>
            </w:pPr>
            <w:r>
              <w:rPr>
                <w:rFonts w:asciiTheme="majorHAnsi" w:hAnsiTheme="majorHAnsi" w:cstheme="majorHAnsi"/>
                <w:sz w:val="20"/>
                <w:szCs w:val="20"/>
              </w:rPr>
              <w:t xml:space="preserve">BsmtQual</w:t>
            </w:r>
          </w:p>
        </w:tc>
        <w:tc>
          <w:tcPr>
            <w:tcW w:w="1250" w:type="dxa"/>
            <w:vAlign w:val="center"/>
          </w:tcPr>
          <w:p>
            <w:pPr>
              <w:keepNext/>
              <w:spacing w:before="0" w:after="0"/>
              <w:jc w:val="center"/>
            </w:pPr>
            <w:r>
              <w:rPr>
                <w:rFonts w:asciiTheme="majorHAnsi" w:hAnsiTheme="majorHAnsi" w:cstheme="majorHAnsi"/>
                <w:sz w:val="20"/>
                <w:szCs w:val="20"/>
              </w:rPr>
              <w:t xml:space="preserve">37</w:t>
            </w:r>
          </w:p>
        </w:tc>
        <w:tc>
          <w:tcPr>
            <w:tcW w:w="1100" w:type="dxa"/>
            <w:vAlign w:val="center"/>
          </w:tcPr>
          <w:p>
            <w:pPr>
              <w:keepNext/>
              <w:spacing w:before="0" w:after="0"/>
              <w:jc w:val="center"/>
            </w:pPr>
            <w:r>
              <w:rPr>
                <w:rFonts w:asciiTheme="majorHAnsi" w:hAnsiTheme="majorHAnsi" w:cstheme="majorHAnsi"/>
                <w:sz w:val="20"/>
                <w:szCs w:val="20"/>
              </w:rPr>
              <w:t xml:space="preserve">2.5</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FireplaceQu</w:t>
            </w:r>
          </w:p>
        </w:tc>
        <w:tc>
          <w:tcPr>
            <w:tcW w:w="1250" w:type="dxa"/>
            <w:vAlign w:val="center"/>
          </w:tcPr>
          <w:p>
            <w:pPr>
              <w:keepNext/>
              <w:spacing w:before="0" w:after="0"/>
              <w:jc w:val="center"/>
            </w:pPr>
            <w:r>
              <w:rPr>
                <w:rFonts w:asciiTheme="majorHAnsi" w:hAnsiTheme="majorHAnsi" w:cstheme="majorHAnsi"/>
                <w:sz w:val="20"/>
                <w:szCs w:val="20"/>
              </w:rPr>
              <w:t xml:space="preserve">690</w:t>
            </w:r>
          </w:p>
        </w:tc>
        <w:tc>
          <w:tcPr>
            <w:tcW w:w="1100" w:type="dxa"/>
            <w:vAlign w:val="center"/>
          </w:tcPr>
          <w:p>
            <w:pPr>
              <w:keepNext/>
              <w:spacing w:before="0" w:after="0"/>
              <w:jc w:val="center"/>
            </w:pPr>
            <w:r>
              <w:rPr>
                <w:rFonts w:asciiTheme="majorHAnsi" w:hAnsiTheme="majorHAnsi" w:cstheme="majorHAnsi"/>
                <w:sz w:val="20"/>
                <w:szCs w:val="20"/>
              </w:rPr>
              <w:t xml:space="preserve">47.3</w:t>
            </w:r>
          </w:p>
        </w:tc>
        <w:tc>
          <w:tcPr>
            <w:tcW w:w="1900" w:type="dxa"/>
            <w:vAlign w:val="center"/>
          </w:tcPr>
          <w:p>
            <w:pPr>
              <w:keepNext/>
              <w:spacing w:before="0" w:after="0"/>
              <w:jc w:val="left"/>
            </w:pPr>
            <w:r>
              <w:rPr>
                <w:rFonts w:asciiTheme="majorHAnsi" w:hAnsiTheme="majorHAnsi" w:cstheme="majorHAnsi"/>
                <w:sz w:val="20"/>
                <w:szCs w:val="20"/>
              </w:rPr>
              <w:t xml:space="preserve">BsmtCond</w:t>
            </w:r>
          </w:p>
        </w:tc>
        <w:tc>
          <w:tcPr>
            <w:tcW w:w="1250" w:type="dxa"/>
            <w:vAlign w:val="center"/>
          </w:tcPr>
          <w:p>
            <w:pPr>
              <w:keepNext/>
              <w:spacing w:before="0" w:after="0"/>
              <w:jc w:val="center"/>
            </w:pPr>
            <w:r>
              <w:rPr>
                <w:rFonts w:asciiTheme="majorHAnsi" w:hAnsiTheme="majorHAnsi" w:cstheme="majorHAnsi"/>
                <w:sz w:val="20"/>
                <w:szCs w:val="20"/>
              </w:rPr>
              <w:t xml:space="preserve">37</w:t>
            </w:r>
          </w:p>
        </w:tc>
        <w:tc>
          <w:tcPr>
            <w:tcW w:w="1100" w:type="dxa"/>
            <w:vAlign w:val="center"/>
          </w:tcPr>
          <w:p>
            <w:pPr>
              <w:keepNext/>
              <w:spacing w:before="0" w:after="0"/>
              <w:jc w:val="center"/>
            </w:pPr>
            <w:r>
              <w:rPr>
                <w:rFonts w:asciiTheme="majorHAnsi" w:hAnsiTheme="majorHAnsi" w:cstheme="majorHAnsi"/>
                <w:sz w:val="20"/>
                <w:szCs w:val="20"/>
              </w:rPr>
              <w:t xml:space="preserve">2.5</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LotFrontage</w:t>
            </w:r>
          </w:p>
        </w:tc>
        <w:tc>
          <w:tcPr>
            <w:tcW w:w="1250" w:type="dxa"/>
            <w:vAlign w:val="center"/>
          </w:tcPr>
          <w:p>
            <w:pPr>
              <w:keepNext/>
              <w:spacing w:before="0" w:after="0"/>
              <w:jc w:val="center"/>
            </w:pPr>
            <w:r>
              <w:rPr>
                <w:rFonts w:asciiTheme="majorHAnsi" w:hAnsiTheme="majorHAnsi" w:cstheme="majorHAnsi"/>
                <w:sz w:val="20"/>
                <w:szCs w:val="20"/>
              </w:rPr>
              <w:t xml:space="preserve">259</w:t>
            </w:r>
          </w:p>
        </w:tc>
        <w:tc>
          <w:tcPr>
            <w:tcW w:w="1100" w:type="dxa"/>
            <w:vAlign w:val="center"/>
          </w:tcPr>
          <w:p>
            <w:pPr>
              <w:keepNext/>
              <w:spacing w:before="0" w:after="0"/>
              <w:jc w:val="center"/>
            </w:pPr>
            <w:r>
              <w:rPr>
                <w:rFonts w:asciiTheme="majorHAnsi" w:hAnsiTheme="majorHAnsi" w:cstheme="majorHAnsi"/>
                <w:sz w:val="20"/>
                <w:szCs w:val="20"/>
              </w:rPr>
              <w:t xml:space="preserve">17.7</w:t>
            </w:r>
          </w:p>
        </w:tc>
        <w:tc>
          <w:tcPr>
            <w:tcW w:w="1900" w:type="dxa"/>
            <w:vAlign w:val="center"/>
          </w:tcPr>
          <w:p>
            <w:pPr>
              <w:keepNext/>
              <w:spacing w:before="0" w:after="0"/>
              <w:jc w:val="left"/>
            </w:pPr>
            <w:r>
              <w:rPr>
                <w:rFonts w:asciiTheme="majorHAnsi" w:hAnsiTheme="majorHAnsi" w:cstheme="majorHAnsi"/>
                <w:sz w:val="20"/>
                <w:szCs w:val="20"/>
              </w:rPr>
              <w:t xml:space="preserve">BsmtFinType1</w:t>
            </w:r>
          </w:p>
        </w:tc>
        <w:tc>
          <w:tcPr>
            <w:tcW w:w="1250" w:type="dxa"/>
            <w:vAlign w:val="center"/>
          </w:tcPr>
          <w:p>
            <w:pPr>
              <w:keepNext/>
              <w:spacing w:before="0" w:after="0"/>
              <w:jc w:val="center"/>
            </w:pPr>
            <w:r>
              <w:rPr>
                <w:rFonts w:asciiTheme="majorHAnsi" w:hAnsiTheme="majorHAnsi" w:cstheme="majorHAnsi"/>
                <w:sz w:val="20"/>
                <w:szCs w:val="20"/>
              </w:rPr>
              <w:t xml:space="preserve">37</w:t>
            </w:r>
          </w:p>
        </w:tc>
        <w:tc>
          <w:tcPr>
            <w:tcW w:w="1100" w:type="dxa"/>
            <w:vAlign w:val="center"/>
          </w:tcPr>
          <w:p>
            <w:pPr>
              <w:keepNext/>
              <w:spacing w:before="0" w:after="0"/>
              <w:jc w:val="center"/>
            </w:pPr>
            <w:r>
              <w:rPr>
                <w:rFonts w:asciiTheme="majorHAnsi" w:hAnsiTheme="majorHAnsi" w:cstheme="majorHAnsi"/>
                <w:sz w:val="20"/>
                <w:szCs w:val="20"/>
              </w:rPr>
              <w:t xml:space="preserve">2.5</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GarageType</w:t>
            </w:r>
          </w:p>
        </w:tc>
        <w:tc>
          <w:tcPr>
            <w:tcW w:w="1250" w:type="dxa"/>
            <w:vAlign w:val="center"/>
          </w:tcPr>
          <w:p>
            <w:pPr>
              <w:keepNext/>
              <w:spacing w:before="0" w:after="0"/>
              <w:jc w:val="center"/>
            </w:pPr>
            <w:r>
              <w:rPr>
                <w:rFonts w:asciiTheme="majorHAnsi" w:hAnsiTheme="majorHAnsi" w:cstheme="majorHAnsi"/>
                <w:sz w:val="20"/>
                <w:szCs w:val="20"/>
              </w:rPr>
              <w:t xml:space="preserve">81</w:t>
            </w:r>
          </w:p>
        </w:tc>
        <w:tc>
          <w:tcPr>
            <w:tcW w:w="1100" w:type="dxa"/>
            <w:vAlign w:val="center"/>
          </w:tcPr>
          <w:p>
            <w:pPr>
              <w:keepNext/>
              <w:spacing w:before="0" w:after="0"/>
              <w:jc w:val="center"/>
            </w:pPr>
            <w:r>
              <w:rPr>
                <w:rFonts w:asciiTheme="majorHAnsi" w:hAnsiTheme="majorHAnsi" w:cstheme="majorHAnsi"/>
                <w:sz w:val="20"/>
                <w:szCs w:val="20"/>
              </w:rPr>
              <w:t xml:space="preserve">5.5</w:t>
            </w:r>
          </w:p>
        </w:tc>
        <w:tc>
          <w:tcPr>
            <w:tcW w:w="1900" w:type="dxa"/>
            <w:vAlign w:val="center"/>
          </w:tcPr>
          <w:p>
            <w:pPr>
              <w:keepNext/>
              <w:spacing w:before="0" w:after="0"/>
              <w:jc w:val="left"/>
            </w:pPr>
            <w:r>
              <w:rPr>
                <w:rFonts w:asciiTheme="majorHAnsi" w:hAnsiTheme="majorHAnsi" w:cstheme="majorHAnsi"/>
                <w:sz w:val="20"/>
                <w:szCs w:val="20"/>
              </w:rPr>
              <w:t xml:space="preserve">MasVnrArea</w:t>
            </w:r>
          </w:p>
        </w:tc>
        <w:tc>
          <w:tcPr>
            <w:tcW w:w="1250" w:type="dxa"/>
            <w:vAlign w:val="center"/>
          </w:tcPr>
          <w:p>
            <w:pPr>
              <w:keepNext/>
              <w:spacing w:before="0" w:after="0"/>
              <w:jc w:val="center"/>
            </w:pPr>
            <w:r>
              <w:rPr>
                <w:rFonts w:asciiTheme="majorHAnsi" w:hAnsiTheme="majorHAnsi" w:cstheme="majorHAnsi"/>
                <w:sz w:val="20"/>
                <w:szCs w:val="20"/>
              </w:rPr>
              <w:t xml:space="preserve">8</w:t>
            </w:r>
          </w:p>
        </w:tc>
        <w:tc>
          <w:tcPr>
            <w:tcW w:w="1100" w:type="dxa"/>
            <w:vAlign w:val="center"/>
          </w:tcPr>
          <w:p>
            <w:pPr>
              <w:keepNext/>
              <w:spacing w:before="0" w:after="0"/>
              <w:jc w:val="center"/>
            </w:pPr>
            <w:r>
              <w:rPr>
                <w:rFonts w:asciiTheme="majorHAnsi" w:hAnsiTheme="majorHAnsi" w:cstheme="majorHAnsi"/>
                <w:sz w:val="20"/>
                <w:szCs w:val="20"/>
              </w:rPr>
              <w:t xml:space="preserve">0.5</w:t>
            </w:r>
          </w:p>
        </w:tc>
      </w:tr>
      <w:tr>
        <w:trPr>
          <w:cantSplit/>
        </w:trPr>
        <w:tc>
          <w:tcPr>
            <w:tcW w:w="1900" w:type="dxa"/>
            <w:vAlign w:val="center"/>
          </w:tcPr>
          <w:p>
            <w:pPr>
              <w:keepNext/>
              <w:spacing w:before="0" w:after="0"/>
              <w:jc w:val="left"/>
            </w:pPr>
            <w:r>
              <w:rPr>
                <w:rFonts w:asciiTheme="majorHAnsi" w:hAnsiTheme="majorHAnsi" w:cstheme="majorHAnsi"/>
                <w:sz w:val="20"/>
                <w:szCs w:val="20"/>
              </w:rPr>
              <w:t xml:space="preserve">GarageYrBlt</w:t>
            </w:r>
          </w:p>
        </w:tc>
        <w:tc>
          <w:tcPr>
            <w:tcW w:w="1250" w:type="dxa"/>
            <w:vAlign w:val="center"/>
          </w:tcPr>
          <w:p>
            <w:pPr>
              <w:keepNext/>
              <w:spacing w:before="0" w:after="0"/>
              <w:jc w:val="center"/>
            </w:pPr>
            <w:r>
              <w:rPr>
                <w:rFonts w:asciiTheme="majorHAnsi" w:hAnsiTheme="majorHAnsi" w:cstheme="majorHAnsi"/>
                <w:sz w:val="20"/>
                <w:szCs w:val="20"/>
              </w:rPr>
              <w:t xml:space="preserve">81</w:t>
            </w:r>
          </w:p>
        </w:tc>
        <w:tc>
          <w:tcPr>
            <w:tcW w:w="1100" w:type="dxa"/>
            <w:vAlign w:val="center"/>
          </w:tcPr>
          <w:p>
            <w:pPr>
              <w:keepNext/>
              <w:spacing w:before="0" w:after="0"/>
              <w:jc w:val="center"/>
            </w:pPr>
            <w:r>
              <w:rPr>
                <w:rFonts w:asciiTheme="majorHAnsi" w:hAnsiTheme="majorHAnsi" w:cstheme="majorHAnsi"/>
                <w:sz w:val="20"/>
                <w:szCs w:val="20"/>
              </w:rPr>
              <w:t xml:space="preserve">5.5</w:t>
            </w:r>
          </w:p>
        </w:tc>
        <w:tc>
          <w:tcPr>
            <w:tcW w:w="1900" w:type="dxa"/>
            <w:vAlign w:val="center"/>
          </w:tcPr>
          <w:p>
            <w:pPr>
              <w:keepNext/>
              <w:spacing w:before="0" w:after="0"/>
              <w:jc w:val="left"/>
            </w:pPr>
            <w:r>
              <w:rPr>
                <w:rFonts w:asciiTheme="majorHAnsi" w:hAnsiTheme="majorHAnsi" w:cstheme="majorHAnsi"/>
                <w:sz w:val="20"/>
                <w:szCs w:val="20"/>
              </w:rPr>
              <w:t xml:space="preserve">Electrical</w:t>
            </w:r>
          </w:p>
        </w:tc>
        <w:tc>
          <w:tcPr>
            <w:tcW w:w="1250" w:type="dxa"/>
            <w:vAlign w:val="center"/>
          </w:tcPr>
          <w:p>
            <w:pPr>
              <w:keepNext/>
              <w:spacing w:before="0" w:after="0"/>
              <w:jc w:val="center"/>
            </w:pPr>
            <w:r>
              <w:rPr>
                <w:rFonts w:asciiTheme="majorHAnsi" w:hAnsiTheme="majorHAnsi" w:cstheme="majorHAnsi"/>
                <w:sz w:val="20"/>
                <w:szCs w:val="20"/>
              </w:rPr>
              <w:t xml:space="preserve">1</w:t>
            </w:r>
          </w:p>
        </w:tc>
        <w:tc>
          <w:tcPr>
            <w:tcW w:w="1100" w:type="dxa"/>
            <w:vAlign w:val="center"/>
          </w:tcPr>
          <w:p>
            <w:pPr>
              <w:keepNext/>
              <w:spacing w:before="0" w:after="0"/>
              <w:jc w:val="center"/>
            </w:pPr>
            <w:r>
              <w:rPr>
                <w:rFonts w:asciiTheme="majorHAnsi" w:hAnsiTheme="majorHAnsi" w:cstheme="majorHAnsi"/>
                <w:sz w:val="20"/>
                <w:szCs w:val="20"/>
              </w:rPr>
              <w:t xml:space="preserve">0.1</w:t>
            </w:r>
          </w:p>
        </w:tc>
      </w:tr>
      <w:tr>
        <w:trPr>
          <w:cantSplit/>
        </w:trPr>
        <w:tc>
          <w:tcPr>
            <w:tcW w:w="1900" w:type="dxa"/>
            <w:vAlign w:val="center"/>
          </w:tcPr>
          <w:p>
            <w:pPr>
              <w:spacing w:before="0" w:after="0"/>
              <w:jc w:val="left"/>
            </w:pPr>
            <w:r>
              <w:rPr>
                <w:rFonts w:asciiTheme="majorHAnsi" w:hAnsiTheme="majorHAnsi" w:cstheme="majorHAnsi"/>
                <w:sz w:val="20"/>
                <w:szCs w:val="20"/>
              </w:rPr>
              <w:t xml:space="preserve">GarageFinish</w:t>
            </w:r>
          </w:p>
        </w:tc>
        <w:tc>
          <w:tcPr>
            <w:tcW w:w="1250" w:type="dxa"/>
            <w:vAlign w:val="center"/>
          </w:tcPr>
          <w:p>
            <w:pPr>
              <w:spacing w:before="0" w:after="0"/>
              <w:jc w:val="center"/>
            </w:pPr>
            <w:r>
              <w:rPr>
                <w:rFonts w:asciiTheme="majorHAnsi" w:hAnsiTheme="majorHAnsi" w:cstheme="majorHAnsi"/>
                <w:sz w:val="20"/>
                <w:szCs w:val="20"/>
              </w:rPr>
              <w:t xml:space="preserve">81</w:t>
            </w:r>
          </w:p>
        </w:tc>
        <w:tc>
          <w:tcPr>
            <w:tcW w:w="1100" w:type="dxa"/>
            <w:vAlign w:val="center"/>
          </w:tcPr>
          <w:p>
            <w:pPr>
              <w:spacing w:before="0" w:after="0"/>
              <w:jc w:val="center"/>
            </w:pPr>
            <w:r>
              <w:rPr>
                <w:rFonts w:asciiTheme="majorHAnsi" w:hAnsiTheme="majorHAnsi" w:cstheme="majorHAnsi"/>
                <w:sz w:val="20"/>
                <w:szCs w:val="20"/>
              </w:rPr>
              <w:t xml:space="preserve">5.5</w:t>
            </w:r>
          </w:p>
        </w:tc>
        <w:tc>
          <w:tcPr>
            <w:tcW w:w="1900" w:type="dxa"/>
            <w:vAlign w:val="center"/>
          </w:tcPr>
          <w:p>
            <w:pPr>
              <w:spacing w:before="0" w:after="0"/>
              <w:jc w:val="left"/>
            </w:pPr>
          </w:p>
        </w:tc>
        <w:tc>
          <w:tcPr>
            <w:tcW w:w="1250" w:type="dxa"/>
            <w:vAlign w:val="center"/>
          </w:tcPr>
          <w:p>
            <w:pPr>
              <w:spacing w:before="0" w:after="0"/>
              <w:jc w:val="center"/>
            </w:pPr>
          </w:p>
        </w:tc>
        <w:tc>
          <w:tcPr>
            <w:tcW w:w="1100" w:type="dxa"/>
            <w:vAlign w:val="center"/>
          </w:tcPr>
          <w:p>
            <w:pPr>
              <w:spacing w:before="0" w:after="0"/>
              <w:jc w:val="center"/>
            </w:pPr>
          </w:p>
        </w:tc>
      </w:tr>
    </w:tbl>
    <w:p>
      <w:pPr>
        <w:spacing w:before="0" w:after="60"/>
      </w:pPr>
    </w:p>
    <w:p w14:paraId="5DABF515"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19 trong số 81 cột có giá trị thiếu. Các cột thiếu nhiều nhất là PoolQC (99.5%), MiscFeature (96.3%), Alley (93.8%), Fence (80.8%) và MasVnrType (59.7%). Theo file data_description.txt, nhiều trường hợp NaN mang ý nghĩa là ngôi nhà không có đặc điểm đó, ví dụ không có hồ bơi, không có hàng rào hoặc không có hạng mục phụ. Vì vậy đây không nhất thiết là lỗi nhập dữ liệu. Khi xử lý, nhóm cần dựa vào ý nghĩa của từng biến thay vì áp dụng một cách điền thiếu giống nhau cho tất cả.</w:t>
      </w:r>
    </w:p>
    <w:p>
      <w:pPr>
        <w:spacing w:before="0" w:after="120"/>
      </w:pPr>
      <w:r>
        <w:rPr>
          <w:rFonts w:asciiTheme="majorHAnsi" w:hAnsiTheme="majorHAnsi" w:cstheme="majorHAnsi"/>
          <w:sz w:val="26"/>
          <w:szCs w:val="26"/>
        </w:rPr>
        <w:t xml:space="preserve">Các cột liên quan đến garage (GarageType, GarageYrBlt, GarageFinish, GarageQual, GarageCond) cùng thiếu 81 dòng (5.5%), còn các cột liên quan đến tầng hầm (BsmtExposure, BsmtFinType1/2, BsmtQual, BsmtCond) thiếu 37-38 dòng (khoảng 2.5%). Các cột trong cùng một nhóm thường thiếu trên cùng một nhóm bản ghi, phù hợp với trường hợp nhà không có garage hoặc không có tầng hầm chứ không nhất thiết là lỗi thu thập dữ liệu. Đây là dạng missing có cấu trúc (structural missing), có thể điền None/No hoặc 0 tùy theo ý nghĩa của biến. Riêng Electrical chỉ thiếu 1 dòng (0.1%), có thể xem là một trường hợp thiếu dữ liệu đơn lẻ.</w:t>
      </w:r>
    </w:p>
    <w:p w14:paraId="28E60497"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Riêng LotFrontage bị thiếu khoảng 17.7%. Vì biến này liên quan đến mặt tiền lô đất và có liên hệ với vị trí, nhóm có thể cân nhắc điền bằng giá trị trung vị theo từng Neighborhood thay vì dùng một giá trị trung bình chung cho toàn bộ dữ liệu. Cách này giúp giá trị điền vào phù hợp hơn với từng khu vực.</w:t>
      </w:r>
    </w:p>
    <w:p>
      <w:pPr>
        <w:pStyle w:val="u2"/>
        <w:keepNext/>
        <w:spacing w:before="200" w:after="100"/>
      </w:pPr>
      <w:bookmarkStart w:id="316" w:name="_Toc900000316"/>
      <w:r>
        <w:rPr>
          <w:rFonts w:asciiTheme="majorHAnsi" w:hAnsiTheme="majorHAnsi" w:cstheme="majorHAnsi"/>
          <w:color w:val="2E74B5"/>
          <w:sz w:val="26"/>
          <w:szCs w:val="26"/>
        </w:rPr>
        <w:t xml:space="preserve">5.3. Phát hiện ngoại lệ bằng boxplot và IQR</w:t>
      </w:r>
      <w:bookmarkEnd w:id="316"/>
    </w:p>
    <w:p>
      <w:pPr>
        <w:spacing w:before="0" w:after="120"/>
      </w:pPr>
      <w:r>
        <w:rPr>
          <w:rFonts w:asciiTheme="majorHAnsi" w:hAnsiTheme="majorHAnsi" w:cstheme="majorHAnsi"/>
          <w:sz w:val="26"/>
          <w:szCs w:val="26"/>
        </w:rPr>
        <w:t xml:space="preserve">Nhóm dùng boxplot và phương pháp IQR (ngưỡng dưới Q1 - 1.5×IQR, ngưỡng trên Q3 + 1.5×IQR) cho sáu biến số quan trọng gồm LotArea, GrLivArea, TotalBsmtSF, 1stFlrSF, GarageArea và SalePrice (Hình 12, Bảng 11).</w:t>
      </w:r>
    </w:p>
    <w:p>
      <w:pPr>
        <w:keepNext/>
        <w:spacing w:before="120" w:after="80"/>
        <w:jc w:val="center"/>
      </w:pPr>
      <w:r>
        <w:drawing>
          <wp:inline xmlns:a="http://schemas.openxmlformats.org/drawingml/2006/main" xmlns:pic="http://schemas.openxmlformats.org/drawingml/2006/picture">
            <wp:extent cx="5760720" cy="2665639"/>
            <wp:docPr id="512" name="Picture 512" descr="Hình 12. Boxplot của sáu biến số quan trọng"/>
            <wp:cNvGraphicFramePr>
              <a:graphicFrameLocks noChangeAspect="1"/>
            </wp:cNvGraphicFramePr>
            <a:graphic>
              <a:graphicData uri="http://schemas.openxmlformats.org/drawingml/2006/picture">
                <pic:pic>
                  <pic:nvPicPr>
                    <pic:cNvPr id="0" name="Gia_tri_thie_c10_2.png"/>
                    <pic:cNvPicPr/>
                  </pic:nvPicPr>
                  <pic:blipFill>
                    <a:blip r:embed="rId26"/>
                    <a:stretch>
                      <a:fillRect/>
                    </a:stretch>
                  </pic:blipFill>
                  <pic:spPr>
                    <a:xfrm>
                      <a:off x="0" y="0"/>
                      <a:ext cx="5760720" cy="2665639"/>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12. Boxplot của sáu biến số quan trọng</w:t>
      </w:r>
    </w:p>
    <w:p>
      <w:pPr>
        <w:keepNext/>
        <w:spacing w:before="160" w:after="80"/>
        <w:jc w:val="center"/>
      </w:pPr>
      <w:r>
        <w:rPr>
          <w:rFonts w:asciiTheme="majorHAnsi" w:hAnsiTheme="majorHAnsi" w:cstheme="majorHAnsi"/>
          <w:i/>
          <w:iCs/>
          <w:sz w:val="22"/>
          <w:szCs w:val="22"/>
        </w:rPr>
        <w:t xml:space="preserve">Bảng 11. Số giá trị nằm ngoài ngưỡng IQR của sáu biến số</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1900"/>
        <w:gridCol w:w="2200"/>
        <w:gridCol w:w="1300"/>
        <w:gridCol w:w="1800"/>
        <w:gridCol w:w="2000"/>
      </w:tblGrid>
      <w:tr>
        <w:trPr>
          <w:cantSplit/>
          <w:tblHeader/>
        </w:trPr>
        <w:tc>
          <w:tcPr>
            <w:tcW w:w="1900" w:type="dxa"/>
            <w:shd w:val="clear" w:color="auto" w:fill="D9E2F3"/>
            <w:vAlign w:val="center"/>
          </w:tcPr>
          <w:p>
            <w:pPr>
              <w:keepNext/>
              <w:spacing w:before="0" w:after="0"/>
              <w:jc w:val="center"/>
            </w:pPr>
            <w:r>
              <w:rPr>
                <w:rFonts w:asciiTheme="majorHAnsi" w:hAnsiTheme="majorHAnsi" w:cstheme="majorHAnsi"/>
                <w:b/>
                <w:bCs/>
                <w:sz w:val="22"/>
                <w:szCs w:val="22"/>
              </w:rPr>
              <w:t xml:space="preserve">Biến</w:t>
            </w:r>
          </w:p>
        </w:tc>
        <w:tc>
          <w:tcPr>
            <w:tcW w:w="2200" w:type="dxa"/>
            <w:shd w:val="clear" w:color="auto" w:fill="D9E2F3"/>
            <w:vAlign w:val="center"/>
          </w:tcPr>
          <w:p>
            <w:pPr>
              <w:keepNext/>
              <w:spacing w:before="0" w:after="0"/>
              <w:jc w:val="center"/>
            </w:pPr>
            <w:r>
              <w:rPr>
                <w:rFonts w:asciiTheme="majorHAnsi" w:hAnsiTheme="majorHAnsi" w:cstheme="majorHAnsi"/>
                <w:b/>
                <w:bCs/>
                <w:sz w:val="22"/>
                <w:szCs w:val="22"/>
              </w:rPr>
              <w:t xml:space="preserve">Số giá trị ngoài ngưỡng</w:t>
            </w:r>
          </w:p>
        </w:tc>
        <w:tc>
          <w:tcPr>
            <w:tcW w:w="1300" w:type="dxa"/>
            <w:shd w:val="clear" w:color="auto" w:fill="D9E2F3"/>
            <w:vAlign w:val="center"/>
          </w:tcPr>
          <w:p>
            <w:pPr>
              <w:keepNext/>
              <w:spacing w:before="0" w:after="0"/>
              <w:jc w:val="center"/>
            </w:pPr>
            <w:r>
              <w:rPr>
                <w:rFonts w:asciiTheme="majorHAnsi" w:hAnsiTheme="majorHAnsi" w:cstheme="majorHAnsi"/>
                <w:b/>
                <w:bCs/>
                <w:sz w:val="22"/>
                <w:szCs w:val="22"/>
              </w:rPr>
              <w:t xml:space="preserve">Tỷ lệ (%)</w:t>
            </w:r>
          </w:p>
        </w:tc>
        <w:tc>
          <w:tcPr>
            <w:tcW w:w="1800" w:type="dxa"/>
            <w:shd w:val="clear" w:color="auto" w:fill="D9E2F3"/>
            <w:vAlign w:val="center"/>
          </w:tcPr>
          <w:p>
            <w:pPr>
              <w:keepNext/>
              <w:spacing w:before="0" w:after="0"/>
              <w:jc w:val="center"/>
            </w:pPr>
            <w:r>
              <w:rPr>
                <w:rFonts w:asciiTheme="majorHAnsi" w:hAnsiTheme="majorHAnsi" w:cstheme="majorHAnsi"/>
                <w:b/>
                <w:bCs/>
                <w:sz w:val="22"/>
                <w:szCs w:val="22"/>
              </w:rPr>
              <w:t xml:space="preserve">Ngưỡng dưới</w:t>
            </w:r>
          </w:p>
        </w:tc>
        <w:tc>
          <w:tcPr>
            <w:tcW w:w="2000" w:type="dxa"/>
            <w:shd w:val="clear" w:color="auto" w:fill="D9E2F3"/>
            <w:vAlign w:val="center"/>
          </w:tcPr>
          <w:p>
            <w:pPr>
              <w:keepNext/>
              <w:spacing w:before="0" w:after="0"/>
              <w:jc w:val="center"/>
            </w:pPr>
            <w:r>
              <w:rPr>
                <w:rFonts w:asciiTheme="majorHAnsi" w:hAnsiTheme="majorHAnsi" w:cstheme="majorHAnsi"/>
                <w:b/>
                <w:bCs/>
                <w:sz w:val="22"/>
                <w:szCs w:val="22"/>
              </w:rPr>
              <w:t xml:space="preserve">Ngưỡng trên</w:t>
            </w:r>
          </w:p>
        </w:tc>
      </w:tr>
      <w:tr>
        <w:trPr>
          <w:cantSplit/>
        </w:trPr>
        <w:tc>
          <w:tcPr>
            <w:tcW w:w="1900" w:type="dxa"/>
            <w:vAlign w:val="center"/>
          </w:tcPr>
          <w:p>
            <w:pPr>
              <w:keepNext/>
              <w:spacing w:before="0" w:after="0"/>
              <w:jc w:val="left"/>
            </w:pPr>
            <w:r>
              <w:rPr>
                <w:rFonts w:asciiTheme="majorHAnsi" w:hAnsiTheme="majorHAnsi" w:cstheme="majorHAnsi"/>
                <w:sz w:val="22"/>
                <w:szCs w:val="22"/>
              </w:rPr>
              <w:t xml:space="preserve">LotArea</w:t>
            </w:r>
          </w:p>
        </w:tc>
        <w:tc>
          <w:tcPr>
            <w:tcW w:w="2200" w:type="dxa"/>
            <w:vAlign w:val="center"/>
          </w:tcPr>
          <w:p>
            <w:pPr>
              <w:keepNext/>
              <w:spacing w:before="0" w:after="0"/>
              <w:jc w:val="center"/>
            </w:pPr>
            <w:r>
              <w:rPr>
                <w:rFonts w:asciiTheme="majorHAnsi" w:hAnsiTheme="majorHAnsi" w:cstheme="majorHAnsi"/>
                <w:sz w:val="22"/>
                <w:szCs w:val="22"/>
              </w:rPr>
              <w:t xml:space="preserve">69</w:t>
            </w:r>
          </w:p>
        </w:tc>
        <w:tc>
          <w:tcPr>
            <w:tcW w:w="1300" w:type="dxa"/>
            <w:vAlign w:val="center"/>
          </w:tcPr>
          <w:p>
            <w:pPr>
              <w:keepNext/>
              <w:spacing w:before="0" w:after="0"/>
              <w:jc w:val="center"/>
            </w:pPr>
            <w:r>
              <w:rPr>
                <w:rFonts w:asciiTheme="majorHAnsi" w:hAnsiTheme="majorHAnsi" w:cstheme="majorHAnsi"/>
                <w:sz w:val="22"/>
                <w:szCs w:val="22"/>
              </w:rPr>
              <w:t xml:space="preserve">4.73</w:t>
            </w:r>
          </w:p>
        </w:tc>
        <w:tc>
          <w:tcPr>
            <w:tcW w:w="1800" w:type="dxa"/>
            <w:vAlign w:val="center"/>
          </w:tcPr>
          <w:p>
            <w:pPr>
              <w:keepNext/>
              <w:spacing w:before="0" w:after="0"/>
              <w:jc w:val="right"/>
            </w:pPr>
            <w:r>
              <w:rPr>
                <w:rFonts w:asciiTheme="majorHAnsi" w:hAnsiTheme="majorHAnsi" w:cstheme="majorHAnsi"/>
                <w:sz w:val="22"/>
                <w:szCs w:val="22"/>
              </w:rPr>
              <w:t xml:space="preserve">1481.5</w:t>
            </w:r>
          </w:p>
        </w:tc>
        <w:tc>
          <w:tcPr>
            <w:tcW w:w="2000" w:type="dxa"/>
            <w:vAlign w:val="center"/>
          </w:tcPr>
          <w:p>
            <w:pPr>
              <w:keepNext/>
              <w:spacing w:before="0" w:after="0"/>
              <w:jc w:val="right"/>
            </w:pPr>
            <w:r>
              <w:rPr>
                <w:rFonts w:asciiTheme="majorHAnsi" w:hAnsiTheme="majorHAnsi" w:cstheme="majorHAnsi"/>
                <w:sz w:val="22"/>
                <w:szCs w:val="22"/>
              </w:rPr>
              <w:t xml:space="preserve">17673.5</w:t>
            </w:r>
          </w:p>
        </w:tc>
      </w:tr>
      <w:tr>
        <w:trPr>
          <w:cantSplit/>
        </w:trPr>
        <w:tc>
          <w:tcPr>
            <w:tcW w:w="1900" w:type="dxa"/>
            <w:vAlign w:val="center"/>
          </w:tcPr>
          <w:p>
            <w:pPr>
              <w:keepNext/>
              <w:spacing w:before="0" w:after="0"/>
              <w:jc w:val="left"/>
            </w:pPr>
            <w:r>
              <w:rPr>
                <w:rFonts w:asciiTheme="majorHAnsi" w:hAnsiTheme="majorHAnsi" w:cstheme="majorHAnsi"/>
                <w:sz w:val="22"/>
                <w:szCs w:val="22"/>
              </w:rPr>
              <w:t xml:space="preserve">GrLivArea</w:t>
            </w:r>
          </w:p>
        </w:tc>
        <w:tc>
          <w:tcPr>
            <w:tcW w:w="2200" w:type="dxa"/>
            <w:vAlign w:val="center"/>
          </w:tcPr>
          <w:p>
            <w:pPr>
              <w:keepNext/>
              <w:spacing w:before="0" w:after="0"/>
              <w:jc w:val="center"/>
            </w:pPr>
            <w:r>
              <w:rPr>
                <w:rFonts w:asciiTheme="majorHAnsi" w:hAnsiTheme="majorHAnsi" w:cstheme="majorHAnsi"/>
                <w:sz w:val="22"/>
                <w:szCs w:val="22"/>
              </w:rPr>
              <w:t xml:space="preserve">31</w:t>
            </w:r>
          </w:p>
        </w:tc>
        <w:tc>
          <w:tcPr>
            <w:tcW w:w="1300" w:type="dxa"/>
            <w:vAlign w:val="center"/>
          </w:tcPr>
          <w:p>
            <w:pPr>
              <w:keepNext/>
              <w:spacing w:before="0" w:after="0"/>
              <w:jc w:val="center"/>
            </w:pPr>
            <w:r>
              <w:rPr>
                <w:rFonts w:asciiTheme="majorHAnsi" w:hAnsiTheme="majorHAnsi" w:cstheme="majorHAnsi"/>
                <w:sz w:val="22"/>
                <w:szCs w:val="22"/>
              </w:rPr>
              <w:t xml:space="preserve">2.12</w:t>
            </w:r>
          </w:p>
        </w:tc>
        <w:tc>
          <w:tcPr>
            <w:tcW w:w="1800" w:type="dxa"/>
            <w:vAlign w:val="center"/>
          </w:tcPr>
          <w:p>
            <w:pPr>
              <w:keepNext/>
              <w:spacing w:before="0" w:after="0"/>
              <w:jc w:val="right"/>
            </w:pPr>
            <w:r>
              <w:rPr>
                <w:rFonts w:asciiTheme="majorHAnsi" w:hAnsiTheme="majorHAnsi" w:cstheme="majorHAnsi"/>
                <w:sz w:val="22"/>
                <w:szCs w:val="22"/>
              </w:rPr>
              <w:t xml:space="preserve">158.6</w:t>
            </w:r>
          </w:p>
        </w:tc>
        <w:tc>
          <w:tcPr>
            <w:tcW w:w="2000" w:type="dxa"/>
            <w:vAlign w:val="center"/>
          </w:tcPr>
          <w:p>
            <w:pPr>
              <w:keepNext/>
              <w:spacing w:before="0" w:after="0"/>
              <w:jc w:val="right"/>
            </w:pPr>
            <w:r>
              <w:rPr>
                <w:rFonts w:asciiTheme="majorHAnsi" w:hAnsiTheme="majorHAnsi" w:cstheme="majorHAnsi"/>
                <w:sz w:val="22"/>
                <w:szCs w:val="22"/>
              </w:rPr>
              <w:t xml:space="preserve">2747.6</w:t>
            </w:r>
          </w:p>
        </w:tc>
      </w:tr>
      <w:tr>
        <w:trPr>
          <w:cantSplit/>
        </w:trPr>
        <w:tc>
          <w:tcPr>
            <w:tcW w:w="1900" w:type="dxa"/>
            <w:vAlign w:val="center"/>
          </w:tcPr>
          <w:p>
            <w:pPr>
              <w:keepNext/>
              <w:spacing w:before="0" w:after="0"/>
              <w:jc w:val="left"/>
            </w:pPr>
            <w:r>
              <w:rPr>
                <w:rFonts w:asciiTheme="majorHAnsi" w:hAnsiTheme="majorHAnsi" w:cstheme="majorHAnsi"/>
                <w:sz w:val="22"/>
                <w:szCs w:val="22"/>
              </w:rPr>
              <w:t xml:space="preserve">TotalBsmtSF</w:t>
            </w:r>
          </w:p>
        </w:tc>
        <w:tc>
          <w:tcPr>
            <w:tcW w:w="2200" w:type="dxa"/>
            <w:vAlign w:val="center"/>
          </w:tcPr>
          <w:p>
            <w:pPr>
              <w:keepNext/>
              <w:spacing w:before="0" w:after="0"/>
              <w:jc w:val="center"/>
            </w:pPr>
            <w:r>
              <w:rPr>
                <w:rFonts w:asciiTheme="majorHAnsi" w:hAnsiTheme="majorHAnsi" w:cstheme="majorHAnsi"/>
                <w:sz w:val="22"/>
                <w:szCs w:val="22"/>
              </w:rPr>
              <w:t xml:space="preserve">61</w:t>
            </w:r>
          </w:p>
        </w:tc>
        <w:tc>
          <w:tcPr>
            <w:tcW w:w="1300" w:type="dxa"/>
            <w:vAlign w:val="center"/>
          </w:tcPr>
          <w:p>
            <w:pPr>
              <w:keepNext/>
              <w:spacing w:before="0" w:after="0"/>
              <w:jc w:val="center"/>
            </w:pPr>
            <w:r>
              <w:rPr>
                <w:rFonts w:asciiTheme="majorHAnsi" w:hAnsiTheme="majorHAnsi" w:cstheme="majorHAnsi"/>
                <w:sz w:val="22"/>
                <w:szCs w:val="22"/>
              </w:rPr>
              <w:t xml:space="preserve">4.18</w:t>
            </w:r>
          </w:p>
        </w:tc>
        <w:tc>
          <w:tcPr>
            <w:tcW w:w="1800" w:type="dxa"/>
            <w:vAlign w:val="center"/>
          </w:tcPr>
          <w:p>
            <w:pPr>
              <w:keepNext/>
              <w:spacing w:before="0" w:after="0"/>
              <w:jc w:val="right"/>
            </w:pPr>
            <w:r>
              <w:rPr>
                <w:rFonts w:asciiTheme="majorHAnsi" w:hAnsiTheme="majorHAnsi" w:cstheme="majorHAnsi"/>
                <w:sz w:val="22"/>
                <w:szCs w:val="22"/>
              </w:rPr>
              <w:t xml:space="preserve">42.0</w:t>
            </w:r>
          </w:p>
        </w:tc>
        <w:tc>
          <w:tcPr>
            <w:tcW w:w="2000" w:type="dxa"/>
            <w:vAlign w:val="center"/>
          </w:tcPr>
          <w:p>
            <w:pPr>
              <w:keepNext/>
              <w:spacing w:before="0" w:after="0"/>
              <w:jc w:val="right"/>
            </w:pPr>
            <w:r>
              <w:rPr>
                <w:rFonts w:asciiTheme="majorHAnsi" w:hAnsiTheme="majorHAnsi" w:cstheme="majorHAnsi"/>
                <w:sz w:val="22"/>
                <w:szCs w:val="22"/>
              </w:rPr>
              <w:t xml:space="preserve">2052.0</w:t>
            </w:r>
          </w:p>
        </w:tc>
      </w:tr>
      <w:tr>
        <w:trPr>
          <w:cantSplit/>
        </w:trPr>
        <w:tc>
          <w:tcPr>
            <w:tcW w:w="1900" w:type="dxa"/>
            <w:vAlign w:val="center"/>
          </w:tcPr>
          <w:p>
            <w:pPr>
              <w:keepNext/>
              <w:spacing w:before="0" w:after="0"/>
              <w:jc w:val="left"/>
            </w:pPr>
            <w:r>
              <w:rPr>
                <w:rFonts w:asciiTheme="majorHAnsi" w:hAnsiTheme="majorHAnsi" w:cstheme="majorHAnsi"/>
                <w:sz w:val="22"/>
                <w:szCs w:val="22"/>
              </w:rPr>
              <w:t xml:space="preserve">1stFlrSF</w:t>
            </w:r>
          </w:p>
        </w:tc>
        <w:tc>
          <w:tcPr>
            <w:tcW w:w="2200" w:type="dxa"/>
            <w:vAlign w:val="center"/>
          </w:tcPr>
          <w:p>
            <w:pPr>
              <w:keepNext/>
              <w:spacing w:before="0" w:after="0"/>
              <w:jc w:val="center"/>
            </w:pPr>
            <w:r>
              <w:rPr>
                <w:rFonts w:asciiTheme="majorHAnsi" w:hAnsiTheme="majorHAnsi" w:cstheme="majorHAnsi"/>
                <w:sz w:val="22"/>
                <w:szCs w:val="22"/>
              </w:rPr>
              <w:t xml:space="preserve">20</w:t>
            </w:r>
          </w:p>
        </w:tc>
        <w:tc>
          <w:tcPr>
            <w:tcW w:w="1300" w:type="dxa"/>
            <w:vAlign w:val="center"/>
          </w:tcPr>
          <w:p>
            <w:pPr>
              <w:keepNext/>
              <w:spacing w:before="0" w:after="0"/>
              <w:jc w:val="center"/>
            </w:pPr>
            <w:r>
              <w:rPr>
                <w:rFonts w:asciiTheme="majorHAnsi" w:hAnsiTheme="majorHAnsi" w:cstheme="majorHAnsi"/>
                <w:sz w:val="22"/>
                <w:szCs w:val="22"/>
              </w:rPr>
              <w:t xml:space="preserve">1.37</w:t>
            </w:r>
          </w:p>
        </w:tc>
        <w:tc>
          <w:tcPr>
            <w:tcW w:w="1800" w:type="dxa"/>
            <w:vAlign w:val="center"/>
          </w:tcPr>
          <w:p>
            <w:pPr>
              <w:keepNext/>
              <w:spacing w:before="0" w:after="0"/>
              <w:jc w:val="right"/>
            </w:pPr>
            <w:r>
              <w:rPr>
                <w:rFonts w:asciiTheme="majorHAnsi" w:hAnsiTheme="majorHAnsi" w:cstheme="majorHAnsi"/>
                <w:sz w:val="22"/>
                <w:szCs w:val="22"/>
              </w:rPr>
              <w:t xml:space="preserve">118.1</w:t>
            </w:r>
          </w:p>
        </w:tc>
        <w:tc>
          <w:tcPr>
            <w:tcW w:w="2000" w:type="dxa"/>
            <w:vAlign w:val="center"/>
          </w:tcPr>
          <w:p>
            <w:pPr>
              <w:keepNext/>
              <w:spacing w:before="0" w:after="0"/>
              <w:jc w:val="right"/>
            </w:pPr>
            <w:r>
              <w:rPr>
                <w:rFonts w:asciiTheme="majorHAnsi" w:hAnsiTheme="majorHAnsi" w:cstheme="majorHAnsi"/>
                <w:sz w:val="22"/>
                <w:szCs w:val="22"/>
              </w:rPr>
              <w:t xml:space="preserve">2155.1</w:t>
            </w:r>
          </w:p>
        </w:tc>
      </w:tr>
      <w:tr>
        <w:trPr>
          <w:cantSplit/>
        </w:trPr>
        <w:tc>
          <w:tcPr>
            <w:tcW w:w="1900" w:type="dxa"/>
            <w:vAlign w:val="center"/>
          </w:tcPr>
          <w:p>
            <w:pPr>
              <w:keepNext/>
              <w:spacing w:before="0" w:after="0"/>
              <w:jc w:val="left"/>
            </w:pPr>
            <w:r>
              <w:rPr>
                <w:rFonts w:asciiTheme="majorHAnsi" w:hAnsiTheme="majorHAnsi" w:cstheme="majorHAnsi"/>
                <w:sz w:val="22"/>
                <w:szCs w:val="22"/>
              </w:rPr>
              <w:t xml:space="preserve">GarageArea</w:t>
            </w:r>
          </w:p>
        </w:tc>
        <w:tc>
          <w:tcPr>
            <w:tcW w:w="2200" w:type="dxa"/>
            <w:vAlign w:val="center"/>
          </w:tcPr>
          <w:p>
            <w:pPr>
              <w:keepNext/>
              <w:spacing w:before="0" w:after="0"/>
              <w:jc w:val="center"/>
            </w:pPr>
            <w:r>
              <w:rPr>
                <w:rFonts w:asciiTheme="majorHAnsi" w:hAnsiTheme="majorHAnsi" w:cstheme="majorHAnsi"/>
                <w:sz w:val="22"/>
                <w:szCs w:val="22"/>
              </w:rPr>
              <w:t xml:space="preserve">21</w:t>
            </w:r>
          </w:p>
        </w:tc>
        <w:tc>
          <w:tcPr>
            <w:tcW w:w="1300" w:type="dxa"/>
            <w:vAlign w:val="center"/>
          </w:tcPr>
          <w:p>
            <w:pPr>
              <w:keepNext/>
              <w:spacing w:before="0" w:after="0"/>
              <w:jc w:val="center"/>
            </w:pPr>
            <w:r>
              <w:rPr>
                <w:rFonts w:asciiTheme="majorHAnsi" w:hAnsiTheme="majorHAnsi" w:cstheme="majorHAnsi"/>
                <w:sz w:val="22"/>
                <w:szCs w:val="22"/>
              </w:rPr>
              <w:t xml:space="preserve">1.44</w:t>
            </w:r>
          </w:p>
        </w:tc>
        <w:tc>
          <w:tcPr>
            <w:tcW w:w="1800" w:type="dxa"/>
            <w:vAlign w:val="center"/>
          </w:tcPr>
          <w:p>
            <w:pPr>
              <w:keepNext/>
              <w:spacing w:before="0" w:after="0"/>
              <w:jc w:val="right"/>
            </w:pPr>
            <w:r>
              <w:rPr>
                <w:rFonts w:asciiTheme="majorHAnsi" w:hAnsiTheme="majorHAnsi" w:cstheme="majorHAnsi"/>
                <w:sz w:val="22"/>
                <w:szCs w:val="22"/>
              </w:rPr>
              <w:t xml:space="preserve">-27.8</w:t>
            </w:r>
          </w:p>
        </w:tc>
        <w:tc>
          <w:tcPr>
            <w:tcW w:w="2000" w:type="dxa"/>
            <w:vAlign w:val="center"/>
          </w:tcPr>
          <w:p>
            <w:pPr>
              <w:keepNext/>
              <w:spacing w:before="0" w:after="0"/>
              <w:jc w:val="right"/>
            </w:pPr>
            <w:r>
              <w:rPr>
                <w:rFonts w:asciiTheme="majorHAnsi" w:hAnsiTheme="majorHAnsi" w:cstheme="majorHAnsi"/>
                <w:sz w:val="22"/>
                <w:szCs w:val="22"/>
              </w:rPr>
              <w:t xml:space="preserve">938.2</w:t>
            </w:r>
          </w:p>
        </w:tc>
      </w:tr>
      <w:tr>
        <w:trPr>
          <w:cantSplit/>
        </w:trPr>
        <w:tc>
          <w:tcPr>
            <w:tcW w:w="1900" w:type="dxa"/>
            <w:vAlign w:val="center"/>
          </w:tcPr>
          <w:p>
            <w:pPr>
              <w:spacing w:before="0" w:after="0"/>
              <w:jc w:val="left"/>
            </w:pPr>
            <w:r>
              <w:rPr>
                <w:rFonts w:asciiTheme="majorHAnsi" w:hAnsiTheme="majorHAnsi" w:cstheme="majorHAnsi"/>
                <w:sz w:val="22"/>
                <w:szCs w:val="22"/>
              </w:rPr>
              <w:t xml:space="preserve">SalePrice</w:t>
            </w:r>
          </w:p>
        </w:tc>
        <w:tc>
          <w:tcPr>
            <w:tcW w:w="2200" w:type="dxa"/>
            <w:vAlign w:val="center"/>
          </w:tcPr>
          <w:p>
            <w:pPr>
              <w:spacing w:before="0" w:after="0"/>
              <w:jc w:val="center"/>
            </w:pPr>
            <w:r>
              <w:rPr>
                <w:rFonts w:asciiTheme="majorHAnsi" w:hAnsiTheme="majorHAnsi" w:cstheme="majorHAnsi"/>
                <w:sz w:val="22"/>
                <w:szCs w:val="22"/>
              </w:rPr>
              <w:t xml:space="preserve">61</w:t>
            </w:r>
          </w:p>
        </w:tc>
        <w:tc>
          <w:tcPr>
            <w:tcW w:w="1300" w:type="dxa"/>
            <w:vAlign w:val="center"/>
          </w:tcPr>
          <w:p>
            <w:pPr>
              <w:spacing w:before="0" w:after="0"/>
              <w:jc w:val="center"/>
            </w:pPr>
            <w:r>
              <w:rPr>
                <w:rFonts w:asciiTheme="majorHAnsi" w:hAnsiTheme="majorHAnsi" w:cstheme="majorHAnsi"/>
                <w:sz w:val="22"/>
                <w:szCs w:val="22"/>
              </w:rPr>
              <w:t xml:space="preserve">4.18</w:t>
            </w:r>
          </w:p>
        </w:tc>
        <w:tc>
          <w:tcPr>
            <w:tcW w:w="1800" w:type="dxa"/>
            <w:vAlign w:val="center"/>
          </w:tcPr>
          <w:p>
            <w:pPr>
              <w:spacing w:before="0" w:after="0"/>
              <w:jc w:val="right"/>
            </w:pPr>
            <w:r>
              <w:rPr>
                <w:rFonts w:asciiTheme="majorHAnsi" w:hAnsiTheme="majorHAnsi" w:cstheme="majorHAnsi"/>
                <w:sz w:val="22"/>
                <w:szCs w:val="22"/>
              </w:rPr>
              <w:t xml:space="preserve">3937.5</w:t>
            </w:r>
          </w:p>
        </w:tc>
        <w:tc>
          <w:tcPr>
            <w:tcW w:w="2000" w:type="dxa"/>
            <w:vAlign w:val="center"/>
          </w:tcPr>
          <w:p>
            <w:pPr>
              <w:spacing w:before="0" w:after="0"/>
              <w:jc w:val="right"/>
            </w:pPr>
            <w:r>
              <w:rPr>
                <w:rFonts w:asciiTheme="majorHAnsi" w:hAnsiTheme="majorHAnsi" w:cstheme="majorHAnsi"/>
                <w:sz w:val="22"/>
                <w:szCs w:val="22"/>
              </w:rPr>
              <w:t xml:space="preserve">340037.5</w:t>
            </w:r>
          </w:p>
        </w:tc>
      </w:tr>
    </w:tbl>
    <w:p>
      <w:pPr>
        <w:spacing w:before="0" w:after="60"/>
      </w:pPr>
    </w:p>
    <w:p w14:paraId="1B4AE628"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Theo Bảng 11, LotArea có tỷ lệ giá trị nằm ngoài ngưỡng IQR cao nhất (4.73%), tiếp theo là SalePrice và TotalBsmtSF (cùng 4.18%); các biến còn lại chỉ từ 1.37% đến 2.12%. Tuy nhiên, giá trị nằm ngoài ngưỡng IQR chưa đồng nghĩa với dữ liệu sai. Với dữ liệu nhà ở, những căn có diện tích hoặc giá rất lớn vẫn có thể là giao dịch thực tế. Vì vậy nhóm xem IQR là bước phát hiện để kiểm tra thêm, không tự động xóa tất cả các điểm nằm ngoài khoảng.</w:t>
      </w:r>
    </w:p>
    <w:p w14:paraId="236C4315"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t>Kết quả này cho thấy không nên chỉ dùng một quy tắc để xóa ngoại lệ. Với dữ liệu bất động sản, một giá trị rất lớn có thể là căn nhà thực sự lớn. Vì vậy nhóm ưu tiên kết hợp IQR, boxplot, scatterplot và kiểm tra lại thông tin của các bản ghi nổi bật trước khi quyết định xử lý.</w:t>
      </w:r>
    </w:p>
    <w:p>
      <w:pPr>
        <w:pStyle w:val="u2"/>
        <w:keepNext/>
        <w:spacing w:before="200" w:after="100"/>
      </w:pPr>
      <w:bookmarkStart w:id="317" w:name="_Toc900000317"/>
      <w:r>
        <w:rPr>
          <w:rFonts w:asciiTheme="majorHAnsi" w:hAnsiTheme="majorHAnsi" w:cstheme="majorHAnsi"/>
          <w:color w:val="2E74B5"/>
          <w:sz w:val="26"/>
          <w:szCs w:val="26"/>
        </w:rPr>
        <w:t xml:space="preserve">5.4. Mẫu bất thường: GrLivArea lớn nhưng SalePrice thấp</w:t>
      </w:r>
      <w:bookmarkEnd w:id="317"/>
    </w:p>
    <w:p>
      <w:pPr>
        <w:spacing w:before="0" w:after="120"/>
      </w:pPr>
      <w:r>
        <w:rPr>
          <w:rFonts w:asciiTheme="majorHAnsi" w:hAnsiTheme="majorHAnsi" w:cstheme="majorHAnsi"/>
          <w:sz w:val="26"/>
          <w:szCs w:val="26"/>
        </w:rPr>
        <w:t xml:space="preserve">Để kiểm tra mẫu bất thường mà paper lưu ý, nhóm lọc các bản ghi có GrLivArea &gt; 4000 và SalePrice &lt; 300000. Kết quả là 2 bản ghi (Bảng 12), được đánh dấu màu đỏ trên Hình 13.</w:t>
      </w:r>
    </w:p>
    <w:p>
      <w:pPr>
        <w:keepNext/>
        <w:spacing w:before="160" w:after="80"/>
        <w:jc w:val="center"/>
      </w:pPr>
      <w:r>
        <w:rPr>
          <w:rFonts w:asciiTheme="majorHAnsi" w:hAnsiTheme="majorHAnsi" w:cstheme="majorHAnsi"/>
          <w:i/>
          <w:iCs/>
          <w:sz w:val="22"/>
          <w:szCs w:val="22"/>
        </w:rPr>
        <w:t xml:space="preserve">Bảng 12. Hai bản ghi có GrLivArea &gt; 4000 và SalePrice thấp bất thường</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80" w:type="dxa"/>
          <w:bottom w:w="50" w:type="dxa"/>
          <w:right w:w="80" w:type="dxa"/>
        </w:tblCellMar>
      </w:tblPr>
      <w:tblGrid>
        <w:gridCol w:w="1300"/>
        <w:gridCol w:w="1800"/>
        <w:gridCol w:w="1900"/>
        <w:gridCol w:w="1900"/>
        <w:gridCol w:w="2300"/>
      </w:tblGrid>
      <w:tr>
        <w:trPr>
          <w:cantSplit/>
          <w:tblHeader/>
        </w:trPr>
        <w:tc>
          <w:tcPr>
            <w:tcW w:w="1300" w:type="dxa"/>
            <w:shd w:val="clear" w:color="auto" w:fill="D9E2F3"/>
            <w:vAlign w:val="center"/>
          </w:tcPr>
          <w:p>
            <w:pPr>
              <w:keepNext/>
              <w:spacing w:before="0" w:after="0"/>
              <w:jc w:val="center"/>
            </w:pPr>
            <w:r>
              <w:rPr>
                <w:rFonts w:asciiTheme="majorHAnsi" w:hAnsiTheme="majorHAnsi" w:cstheme="majorHAnsi"/>
                <w:b/>
                <w:bCs/>
                <w:sz w:val="22"/>
                <w:szCs w:val="22"/>
              </w:rPr>
              <w:t xml:space="preserve">Id</w:t>
            </w:r>
          </w:p>
        </w:tc>
        <w:tc>
          <w:tcPr>
            <w:tcW w:w="1800" w:type="dxa"/>
            <w:shd w:val="clear" w:color="auto" w:fill="D9E2F3"/>
            <w:vAlign w:val="center"/>
          </w:tcPr>
          <w:p>
            <w:pPr>
              <w:keepNext/>
              <w:spacing w:before="0" w:after="0"/>
              <w:jc w:val="center"/>
            </w:pPr>
            <w:r>
              <w:rPr>
                <w:rFonts w:asciiTheme="majorHAnsi" w:hAnsiTheme="majorHAnsi" w:cstheme="majorHAnsi"/>
                <w:b/>
                <w:bCs/>
                <w:sz w:val="22"/>
                <w:szCs w:val="22"/>
              </w:rPr>
              <w:t xml:space="preserve">GrLivArea</w:t>
            </w:r>
          </w:p>
        </w:tc>
        <w:tc>
          <w:tcPr>
            <w:tcW w:w="1900" w:type="dxa"/>
            <w:shd w:val="clear" w:color="auto" w:fill="D9E2F3"/>
            <w:vAlign w:val="center"/>
          </w:tcPr>
          <w:p>
            <w:pPr>
              <w:keepNext/>
              <w:spacing w:before="0" w:after="0"/>
              <w:jc w:val="center"/>
            </w:pPr>
            <w:r>
              <w:rPr>
                <w:rFonts w:asciiTheme="majorHAnsi" w:hAnsiTheme="majorHAnsi" w:cstheme="majorHAnsi"/>
                <w:b/>
                <w:bCs/>
                <w:sz w:val="22"/>
                <w:szCs w:val="22"/>
              </w:rPr>
              <w:t xml:space="preserve">TotalBsmtSF</w:t>
            </w:r>
          </w:p>
        </w:tc>
        <w:tc>
          <w:tcPr>
            <w:tcW w:w="1900" w:type="dxa"/>
            <w:shd w:val="clear" w:color="auto" w:fill="D9E2F3"/>
            <w:vAlign w:val="center"/>
          </w:tcPr>
          <w:p>
            <w:pPr>
              <w:keepNext/>
              <w:spacing w:before="0" w:after="0"/>
              <w:jc w:val="center"/>
            </w:pPr>
            <w:r>
              <w:rPr>
                <w:rFonts w:asciiTheme="majorHAnsi" w:hAnsiTheme="majorHAnsi" w:cstheme="majorHAnsi"/>
                <w:b/>
                <w:bCs/>
                <w:sz w:val="22"/>
                <w:szCs w:val="22"/>
              </w:rPr>
              <w:t xml:space="preserve">OverallQual</w:t>
            </w:r>
          </w:p>
        </w:tc>
        <w:tc>
          <w:tcPr>
            <w:tcW w:w="2300" w:type="dxa"/>
            <w:shd w:val="clear" w:color="auto" w:fill="D9E2F3"/>
            <w:vAlign w:val="center"/>
          </w:tcPr>
          <w:p>
            <w:pPr>
              <w:keepNext/>
              <w:spacing w:before="0" w:after="0"/>
              <w:jc w:val="center"/>
            </w:pPr>
            <w:r>
              <w:rPr>
                <w:rFonts w:asciiTheme="majorHAnsi" w:hAnsiTheme="majorHAnsi" w:cstheme="majorHAnsi"/>
                <w:b/>
                <w:bCs/>
                <w:sz w:val="22"/>
                <w:szCs w:val="22"/>
              </w:rPr>
              <w:t xml:space="preserve">SalePrice (USD)</w:t>
            </w:r>
          </w:p>
        </w:tc>
      </w:tr>
      <w:tr>
        <w:trPr>
          <w:cantSplit/>
        </w:trPr>
        <w:tc>
          <w:tcPr>
            <w:tcW w:w="1300" w:type="dxa"/>
            <w:vAlign w:val="center"/>
          </w:tcPr>
          <w:p>
            <w:pPr>
              <w:keepNext/>
              <w:spacing w:before="0" w:after="0"/>
              <w:jc w:val="center"/>
            </w:pPr>
            <w:r>
              <w:rPr>
                <w:rFonts w:asciiTheme="majorHAnsi" w:hAnsiTheme="majorHAnsi" w:cstheme="majorHAnsi"/>
                <w:sz w:val="22"/>
                <w:szCs w:val="22"/>
              </w:rPr>
              <w:t xml:space="preserve">524</w:t>
            </w:r>
          </w:p>
        </w:tc>
        <w:tc>
          <w:tcPr>
            <w:tcW w:w="1800" w:type="dxa"/>
            <w:vAlign w:val="center"/>
          </w:tcPr>
          <w:p>
            <w:pPr>
              <w:keepNext/>
              <w:spacing w:before="0" w:after="0"/>
              <w:jc w:val="center"/>
            </w:pPr>
            <w:r>
              <w:rPr>
                <w:rFonts w:asciiTheme="majorHAnsi" w:hAnsiTheme="majorHAnsi" w:cstheme="majorHAnsi"/>
                <w:sz w:val="22"/>
                <w:szCs w:val="22"/>
              </w:rPr>
              <w:t xml:space="preserve">4676</w:t>
            </w:r>
          </w:p>
        </w:tc>
        <w:tc>
          <w:tcPr>
            <w:tcW w:w="1900" w:type="dxa"/>
            <w:vAlign w:val="center"/>
          </w:tcPr>
          <w:p>
            <w:pPr>
              <w:keepNext/>
              <w:spacing w:before="0" w:after="0"/>
              <w:jc w:val="center"/>
            </w:pPr>
            <w:r>
              <w:rPr>
                <w:rFonts w:asciiTheme="majorHAnsi" w:hAnsiTheme="majorHAnsi" w:cstheme="majorHAnsi"/>
                <w:sz w:val="22"/>
                <w:szCs w:val="22"/>
              </w:rPr>
              <w:t xml:space="preserve">3138</w:t>
            </w:r>
          </w:p>
        </w:tc>
        <w:tc>
          <w:tcPr>
            <w:tcW w:w="1900" w:type="dxa"/>
            <w:vAlign w:val="center"/>
          </w:tcPr>
          <w:p>
            <w:pPr>
              <w:keepNext/>
              <w:spacing w:before="0" w:after="0"/>
              <w:jc w:val="center"/>
            </w:pPr>
            <w:r>
              <w:rPr>
                <w:rFonts w:asciiTheme="majorHAnsi" w:hAnsiTheme="majorHAnsi" w:cstheme="majorHAnsi"/>
                <w:sz w:val="22"/>
                <w:szCs w:val="22"/>
              </w:rPr>
              <w:t xml:space="preserve">10</w:t>
            </w:r>
          </w:p>
        </w:tc>
        <w:tc>
          <w:tcPr>
            <w:tcW w:w="2300" w:type="dxa"/>
            <w:vAlign w:val="center"/>
          </w:tcPr>
          <w:p>
            <w:pPr>
              <w:keepNext/>
              <w:spacing w:before="0" w:after="0"/>
              <w:jc w:val="center"/>
            </w:pPr>
            <w:r>
              <w:rPr>
                <w:rFonts w:asciiTheme="majorHAnsi" w:hAnsiTheme="majorHAnsi" w:cstheme="majorHAnsi"/>
                <w:sz w:val="22"/>
                <w:szCs w:val="22"/>
              </w:rPr>
              <w:t xml:space="preserve">184.750</w:t>
            </w:r>
          </w:p>
        </w:tc>
      </w:tr>
      <w:tr>
        <w:trPr>
          <w:cantSplit/>
        </w:trPr>
        <w:tc>
          <w:tcPr>
            <w:tcW w:w="1300" w:type="dxa"/>
            <w:vAlign w:val="center"/>
          </w:tcPr>
          <w:p>
            <w:pPr>
              <w:spacing w:before="0" w:after="0"/>
              <w:jc w:val="center"/>
            </w:pPr>
            <w:r>
              <w:rPr>
                <w:rFonts w:asciiTheme="majorHAnsi" w:hAnsiTheme="majorHAnsi" w:cstheme="majorHAnsi"/>
                <w:sz w:val="22"/>
                <w:szCs w:val="22"/>
              </w:rPr>
              <w:t xml:space="preserve">1299</w:t>
            </w:r>
          </w:p>
        </w:tc>
        <w:tc>
          <w:tcPr>
            <w:tcW w:w="1800" w:type="dxa"/>
            <w:vAlign w:val="center"/>
          </w:tcPr>
          <w:p>
            <w:pPr>
              <w:spacing w:before="0" w:after="0"/>
              <w:jc w:val="center"/>
            </w:pPr>
            <w:r>
              <w:rPr>
                <w:rFonts w:asciiTheme="majorHAnsi" w:hAnsiTheme="majorHAnsi" w:cstheme="majorHAnsi"/>
                <w:sz w:val="22"/>
                <w:szCs w:val="22"/>
              </w:rPr>
              <w:t xml:space="preserve">5642</w:t>
            </w:r>
          </w:p>
        </w:tc>
        <w:tc>
          <w:tcPr>
            <w:tcW w:w="1900" w:type="dxa"/>
            <w:vAlign w:val="center"/>
          </w:tcPr>
          <w:p>
            <w:pPr>
              <w:spacing w:before="0" w:after="0"/>
              <w:jc w:val="center"/>
            </w:pPr>
            <w:r>
              <w:rPr>
                <w:rFonts w:asciiTheme="majorHAnsi" w:hAnsiTheme="majorHAnsi" w:cstheme="majorHAnsi"/>
                <w:sz w:val="22"/>
                <w:szCs w:val="22"/>
              </w:rPr>
              <w:t xml:space="preserve">6110</w:t>
            </w:r>
          </w:p>
        </w:tc>
        <w:tc>
          <w:tcPr>
            <w:tcW w:w="1900" w:type="dxa"/>
            <w:vAlign w:val="center"/>
          </w:tcPr>
          <w:p>
            <w:pPr>
              <w:spacing w:before="0" w:after="0"/>
              <w:jc w:val="center"/>
            </w:pPr>
            <w:r>
              <w:rPr>
                <w:rFonts w:asciiTheme="majorHAnsi" w:hAnsiTheme="majorHAnsi" w:cstheme="majorHAnsi"/>
                <w:sz w:val="22"/>
                <w:szCs w:val="22"/>
              </w:rPr>
              <w:t xml:space="preserve">10</w:t>
            </w:r>
          </w:p>
        </w:tc>
        <w:tc>
          <w:tcPr>
            <w:tcW w:w="2300" w:type="dxa"/>
            <w:vAlign w:val="center"/>
          </w:tcPr>
          <w:p>
            <w:pPr>
              <w:spacing w:before="0" w:after="0"/>
              <w:jc w:val="center"/>
            </w:pPr>
            <w:r>
              <w:rPr>
                <w:rFonts w:asciiTheme="majorHAnsi" w:hAnsiTheme="majorHAnsi" w:cstheme="majorHAnsi"/>
                <w:sz w:val="22"/>
                <w:szCs w:val="22"/>
              </w:rPr>
              <w:t xml:space="preserve">160.000</w:t>
            </w:r>
          </w:p>
        </w:tc>
      </w:tr>
    </w:tbl>
    <w:p>
      <w:pPr>
        <w:spacing w:before="0" w:after="60"/>
      </w:pPr>
    </w:p>
    <w:p>
      <w:pPr>
        <w:keepNext/>
        <w:spacing w:before="120" w:after="80"/>
        <w:jc w:val="center"/>
      </w:pPr>
      <w:r>
        <w:drawing>
          <wp:inline xmlns:a="http://schemas.openxmlformats.org/drawingml/2006/main" xmlns:pic="http://schemas.openxmlformats.org/drawingml/2006/picture">
            <wp:extent cx="4572000" cy="2980361"/>
            <wp:docPr id="513" name="Picture 513" descr="Hình 13. GrLivArea và SalePrice, đánh dấu 2 mẫu bất thường (đường nét đứt: GrLivArea = 4000)"/>
            <wp:cNvGraphicFramePr>
              <a:graphicFrameLocks noChangeAspect="1"/>
            </wp:cNvGraphicFramePr>
            <a:graphic>
              <a:graphicData uri="http://schemas.openxmlformats.org/drawingml/2006/picture">
                <pic:pic>
                  <pic:nvPicPr>
                    <pic:cNvPr id="0" name="Gia_tri_thie_c15_3.png"/>
                    <pic:cNvPicPr/>
                  </pic:nvPicPr>
                  <pic:blipFill>
                    <a:blip r:embed="rId27"/>
                    <a:stretch>
                      <a:fillRect/>
                    </a:stretch>
                  </pic:blipFill>
                  <pic:spPr>
                    <a:xfrm>
                      <a:off x="0" y="0"/>
                      <a:ext cx="4572000" cy="2980361"/>
                    </a:xfrm>
                    <a:prstGeom prst="rect"/>
                  </pic:spPr>
                </pic:pic>
              </a:graphicData>
            </a:graphic>
          </wp:inline>
        </w:drawing>
      </w:r>
    </w:p>
    <w:p>
      <w:pPr>
        <w:spacing w:before="0" w:after="240"/>
        <w:jc w:val="center"/>
      </w:pPr>
      <w:r>
        <w:rPr>
          <w:rFonts w:asciiTheme="majorHAnsi" w:hAnsiTheme="majorHAnsi" w:cstheme="majorHAnsi"/>
          <w:i/>
          <w:iCs/>
          <w:sz w:val="22"/>
          <w:szCs w:val="22"/>
        </w:rPr>
        <w:t xml:space="preserve">Hình 13. GrLivArea và SalePrice, đánh dấu 2 mẫu bất thường (đường nét đứt: GrLivArea = 4000)</w:t>
      </w:r>
    </w:p>
    <w:p>
      <w:pPr>
        <w:spacing w:before="0" w:after="120"/>
      </w:pPr>
      <w:r>
        <w:rPr>
          <w:rFonts w:asciiTheme="majorHAnsi" w:hAnsiTheme="majorHAnsi" w:cstheme="majorHAnsi"/>
          <w:sz w:val="26"/>
          <w:szCs w:val="26"/>
        </w:rPr>
        <w:t xml:space="preserve">Paper của De Cock sử dụng bộ dữ liệu Ames đầy đủ với 2930 quan sát. Tác giả lưu ý có 5 quan sát có diện tích sinh hoạt trên 4000 sqft, trong đó 3 quan sát được mô tả là true outliers và 2 quan sát là các giao dịch bất thường, đồng thời khuyến nghị loại các nhà có GrLivArea &gt; 4000 trước khi giao bộ dữ liệu cho sinh viên.</w:t>
      </w:r>
    </w:p>
    <w:p w14:paraId="0B563919" w14:textId="77777777" w:rsidR="00FC5BC3" w:rsidRPr="000F0F83" w:rsidRDefault="00FC5BC3" w:rsidP="00FC5BC3">
      <w:pPr>
        <w:spacing w:after="120"/>
        <w:rPr>
          <w:rFonts w:asciiTheme="majorHAnsi" w:hAnsiTheme="majorHAnsi" w:cstheme="majorHAnsi"/>
          <w:sz w:val="26"/>
          <w:szCs w:val="26"/>
        </w:rPr>
      </w:pPr>
      <w:r w:rsidRPr="000F0F83">
        <w:rPr>
          <w:rFonts w:asciiTheme="majorHAnsi" w:hAnsiTheme="majorHAnsi" w:cstheme="majorHAnsi"/>
          <w:sz w:val="26"/>
          <w:szCs w:val="26"/>
        </w:rPr>
        <w:t>Trong file train.csv của Kaggle, nhóm tìm thấy 2 bản ghi có GrLivArea &gt; 4000 sqft và SalePrice thấp bất thường so với xu hướng chung, gồm Id 524 và Id 1299. Đây là hai quan sát nổi bật nên được kiểm tra riêng trước khi xây dựng mô hình. Khi đối chiếu với paper của De Cock, cần lưu ý rằng paper nói đến 5 quan sát có diện tích sinh hoạt trên 4000 sqft trong bộ dữ liệu Ames đầy đủ. Vì đồ án đang sử dụng train.csv của Kaggle nên nhóm chỉ ghi nhận 2 quan sát nổi bật trong tập dữ liệu đang phân tích, không đánh đồng hai con số này với nhau.</w:t>
      </w:r>
    </w:p>
    <w:p w14:paraId="05D93DF7" w14:textId="77777777" w:rsidR="00FC5BC3" w:rsidRPr="000F0F83" w:rsidRDefault="00FC5BC3" w:rsidP="00FC5BC3">
      <w:pPr>
        <w:spacing w:after="100"/>
        <w:ind w:firstLine="432"/>
        <w:rPr>
          <w:rFonts w:asciiTheme="majorHAnsi" w:hAnsiTheme="majorHAnsi" w:cstheme="majorHAnsi"/>
          <w:sz w:val="26"/>
          <w:szCs w:val="26"/>
        </w:rPr>
      </w:pPr>
      <w:r w:rsidRPr="000F0F83">
        <w:rPr>
          <w:rFonts w:asciiTheme="majorHAnsi" w:hAnsiTheme="majorHAnsi" w:cstheme="majorHAnsi"/>
          <w:sz w:val="26"/>
          <w:szCs w:val="26"/>
        </w:rPr>
        <w:lastRenderedPageBreak/>
        <w:t>Việc đối chiếu với paper cũng giúp nhóm tránh nhầm lẫn giữa dữ liệu gốc và phiên bản Kaggle. Hai bản ghi Id 524 và Id 1299 là kết quả được tìm thấy trong tập train mà nhóm đang dùng, còn con số 5 trong paper là thông tin của bộ Ames đầy đủ.</w:t>
      </w:r>
    </w:p>
    <w:p>
      <w:pPr>
        <w:spacing w:before="0" w:after="120"/>
      </w:pPr>
      <w:r>
        <w:rPr>
          <w:rFonts w:asciiTheme="majorHAnsi" w:hAnsiTheme="majorHAnsi" w:cstheme="majorHAnsi"/>
          <w:sz w:val="26"/>
          <w:szCs w:val="26"/>
        </w:rPr>
        <w:t xml:space="preserve">Khi nhận xét nguyên nhân của một giao dịch bất thường, nhóm chỉ dựa vào thông tin có trong dữ liệu hoặc trong paper và tránh khẳng định thêm những nguyên nhân chưa được kiểm chứng.</w:t>
      </w:r>
    </w:p>
    <w:p w14:paraId="7A2AE3F3" w14:textId="6F7CB8A5" w:rsidR="00FC5BC3" w:rsidRPr="00905257" w:rsidRDefault="00905257" w:rsidP="00FC5BC3">
      <w:pPr>
        <w:pStyle w:val="u1"/>
        <w:keepNext/>
        <w:spacing w:before="300" w:after="150"/>
        <w:rPr>
          <w:rFonts w:asciiTheme="majorHAnsi" w:hAnsiTheme="majorHAnsi" w:cstheme="majorHAnsi"/>
          <w:b/>
          <w:bCs/>
          <w:color w:val="1F3864"/>
        </w:rPr>
      </w:pPr>
      <w:bookmarkStart w:id="5" w:name="_Toc241153239"/>
      <w:r>
        <w:rPr>
          <w:rFonts w:asciiTheme="majorHAnsi" w:hAnsiTheme="majorHAnsi" w:cstheme="majorHAnsi"/>
          <w:b/>
          <w:bCs/>
          <w:color w:val="1F3864"/>
          <w:lang w:val="en-US"/>
        </w:rPr>
        <w:t>6</w:t>
      </w:r>
      <w:r w:rsidR="00FC5BC3" w:rsidRPr="00905257">
        <w:rPr>
          <w:rFonts w:asciiTheme="majorHAnsi" w:hAnsiTheme="majorHAnsi" w:cstheme="majorHAnsi"/>
          <w:b/>
          <w:bCs/>
          <w:color w:val="1F3864"/>
        </w:rPr>
        <w:t>. Kết luận</w:t>
      </w:r>
      <w:bookmarkEnd w:id="5"/>
    </w:p>
    <w:p w14:paraId="5A77DC75"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Bài toán của đồ án là dự đoán giá nhà bằng phương pháp hồi quy trên bộ dữ liệu Ames Housing. Tập train đang được sử dụng có 1460 quan sát và 81 cột, trong đó 38 cột được Python đọc ở dạng số và 43 cột ở dạng phân loại. Đây là cơ sở dữ liệu có nhiều nhóm đặc điểm khác nhau nên bước EDA giúp nhóm hiểu dữ liệu trước khi chuyển sang xây dựng mô hình.</w:t>
      </w:r>
    </w:p>
    <w:p w14:paraId="43516605"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SalePrice và nhiều biến diện tích có phân phối lệch phải. Qua histogram, phép log-transform giúp phân phối của SalePrice cân đối hơn, vì vậy có thể cân nhắc dùng log-transform ở bước mô hình hóa. Tuy nhiên việc biến đổi chính thức cần được kiểm tra tiếp trong quá trình xây dựng mô hình.</w:t>
      </w:r>
    </w:p>
    <w:p w14:paraId="24C3AEC7"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OverallQual, GrLivArea, GarageCars/GarageArea và TotalBsmtSF là những biến có tương quan khá mạnh với SalePrice trong phần phân tích đơn giản bằng hệ số tương quan. Neighborhood cũng cho thấy sự khác nhau khá rõ về giá giữa các khu vực. Đây là những biến đáng chú ý để tiếp tục xem xét ở bước xây dựng mô hình, nhưng không thể chỉ dựa vào EDA để kết luận biến nào chắc chắn quan trọng nhất trong mô hình.</w:t>
      </w:r>
    </w:p>
    <w:p w14:paraId="0214BD6C"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19 cột có giá trị thiếu, trong đó nhiều cột thiếu do đặc điểm không tồn tại ở căn nhà. Vì vậy khi xử lý dữ liệu cần kiểm tra ý nghĩa của từng biến và lựa chọn cách điền hoặc mã hóa phù hợp, thay vì xóa toàn bộ cột hoặc điền trung bình một cách máy móc.</w:t>
      </w:r>
    </w:p>
    <w:p w14:paraId="70B38364"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Trong file train của Kaggle có 2 bản ghi nổi bật với GrLivArea &gt; 4000 sqft là Id 524 và Id 1299. Hai bản ghi này cần được xem xét riêng trước khi xây dựng mô hình. Kết quả này khác với 5 quan sát có GrLivArea &gt; 4000 sqft được nêu trong paper De Cock vì paper sử dụng bộ dữ liệu Ames đầy đủ, còn đồ án đang phân tích tập train của Kaggle.</w:t>
      </w:r>
    </w:p>
    <w:p w14:paraId="70B38364"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 xml:space="preserve">Phần lớn nhà trong dữ liệu có chất lượng tổng thể OverallQual ở mức trung bình đến khá, tập trung khoảng 5-7 trên thang 10. Ba khu vực NAmes, CollgCr, OldTown chiếm tỷ trọng giao dịch lớn và phần lớn giao dịch có SaleCondition là Normal.</w:t>
      </w:r>
    </w:p>
    <w:p w14:paraId="70B38364"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 xml:space="preserve">Cả kích thước và chất lượng đều có quan hệ với giá bán; nhà có kích thước lớn nhưng chất lượng thấp chưa chắc có giá cao hơn nhà nhỏ hơn nhưng chất lượng tốt. Một số biến diện tích tương quan mạnh với nhau (GarageCars - GarageArea 0.88, GrLivArea - TotRmsAbvGrd 0.83, TotalBsmtSF - 1stFlrSF 0.82) nên cần lưu ý khả năng trùng thông tin khi xây dựng mô hình.</w:t>
      </w:r>
    </w:p>
    <w:p w14:paraId="70B38364" w14:textId="77777777" w:rsidR="00FC5BC3" w:rsidRPr="000F0F83" w:rsidRDefault="00FC5BC3" w:rsidP="00FC5BC3">
      <w:pPr>
        <w:pStyle w:val="oancuaDanhsach"/>
        <w:numPr>
          <w:ilvl w:val="0"/>
          <w:numId w:val="2"/>
        </w:numPr>
        <w:spacing w:after="80"/>
        <w:rPr>
          <w:rFonts w:asciiTheme="majorHAnsi" w:hAnsiTheme="majorHAnsi" w:cstheme="majorHAnsi"/>
          <w:sz w:val="26"/>
          <w:szCs w:val="26"/>
        </w:rPr>
      </w:pPr>
      <w:r w:rsidRPr="000F0F83">
        <w:rPr>
          <w:rFonts w:asciiTheme="majorHAnsi" w:hAnsiTheme="majorHAnsi" w:cstheme="majorHAnsi"/>
          <w:sz w:val="26"/>
          <w:szCs w:val="26"/>
        </w:rPr>
        <w:t xml:space="preserve">YearBuilt cho thấy giá bán tăng nhẹ theo năm xây nhưng mức phân tán vẫn lớn. Phương pháp IQR chỉ là bước phát hiện ngoại lệ, không nên xóa tự động các điểm nằm ngoài ngưỡng mà cần kiểm tra thêm từng trường hợp.</w:t>
      </w:r>
    </w:p>
    <w:p w14:paraId="0200DEF6" w14:textId="77777777" w:rsidR="000F0F83" w:rsidRPr="000F0F83" w:rsidRDefault="000F0F83" w:rsidP="000F0F83">
      <w:pPr>
        <w:pStyle w:val="oancuaDanhsach"/>
        <w:spacing w:after="80"/>
        <w:ind w:left="720"/>
        <w:rPr>
          <w:rFonts w:asciiTheme="majorHAnsi" w:hAnsiTheme="majorHAnsi" w:cstheme="majorHAnsi"/>
          <w:sz w:val="26"/>
          <w:szCs w:val="26"/>
        </w:rPr>
      </w:pPr>
    </w:p>
    <w:p w14:paraId="31C48526" w14:textId="77777777" w:rsidR="00FC5BC3" w:rsidRPr="000F0F83" w:rsidRDefault="00FC5BC3" w:rsidP="00FC5BC3">
      <w:pPr>
        <w:spacing w:after="120"/>
        <w:jc w:val="center"/>
        <w:rPr>
          <w:rFonts w:asciiTheme="majorHAnsi" w:hAnsiTheme="majorHAnsi" w:cstheme="majorHAnsi"/>
          <w:sz w:val="32"/>
          <w:szCs w:val="32"/>
        </w:rPr>
      </w:pPr>
      <w:r w:rsidRPr="000F0F83">
        <w:rPr>
          <w:rFonts w:asciiTheme="majorHAnsi" w:hAnsiTheme="majorHAnsi" w:cstheme="majorHAnsi"/>
          <w:b/>
          <w:sz w:val="32"/>
          <w:szCs w:val="32"/>
        </w:rPr>
        <w:t>TÀI LIỆU THAM KHẢO</w:t>
      </w:r>
    </w:p>
    <w:p w14:paraId="5B34C9E9" w14:textId="77777777" w:rsidR="00FC5BC3" w:rsidRPr="000F0F83" w:rsidRDefault="00FC5BC3" w:rsidP="00FC5BC3">
      <w:pPr>
        <w:spacing w:after="80"/>
        <w:ind w:firstLine="360"/>
        <w:rPr>
          <w:rFonts w:asciiTheme="majorHAnsi" w:hAnsiTheme="majorHAnsi" w:cstheme="majorHAnsi"/>
          <w:sz w:val="26"/>
          <w:szCs w:val="26"/>
        </w:rPr>
      </w:pPr>
      <w:r w:rsidRPr="000F0F83">
        <w:rPr>
          <w:rFonts w:asciiTheme="majorHAnsi" w:hAnsiTheme="majorHAnsi" w:cstheme="majorHAnsi"/>
          <w:sz w:val="26"/>
          <w:szCs w:val="26"/>
        </w:rPr>
        <w:t>1. De Cock, D. (2011). Ames, Iowa: Alternative to the Boston Housing Data as an End of Semester Regression Project. Journal of Statistics Education, 19(3). https://jse.amstat.org/v19n3/decock.pdf</w:t>
      </w:r>
    </w:p>
    <w:p w14:paraId="1332D7F3" w14:textId="77777777" w:rsidR="00FC5BC3" w:rsidRPr="000F0F83" w:rsidRDefault="00FC5BC3" w:rsidP="00FC5BC3">
      <w:pPr>
        <w:spacing w:after="80"/>
        <w:ind w:firstLine="360"/>
        <w:rPr>
          <w:rFonts w:asciiTheme="majorHAnsi" w:hAnsiTheme="majorHAnsi" w:cstheme="majorHAnsi"/>
          <w:sz w:val="26"/>
          <w:szCs w:val="26"/>
        </w:rPr>
      </w:pPr>
      <w:r w:rsidRPr="000F0F83">
        <w:rPr>
          <w:rFonts w:asciiTheme="majorHAnsi" w:hAnsiTheme="majorHAnsi" w:cstheme="majorHAnsi"/>
          <w:sz w:val="26"/>
          <w:szCs w:val="26"/>
        </w:rPr>
        <w:t>2. Kaggle. House Prices - Advanced Regression Techniques. Bộ dữ liệu train.csv và test.csv được sử dụng cho phần phân tích khám phá dữ liệu. https://www.kaggle.com/competitions/house-prices-advanced-regression-techniques</w:t>
      </w:r>
    </w:p>
    <w:p w14:paraId="1332D7F3" w14:textId="77777777" w:rsidR="00FC5BC3" w:rsidRPr="000F0F83" w:rsidRDefault="00FC5BC3" w:rsidP="00FC5BC3">
      <w:pPr>
        <w:spacing w:after="80"/>
        <w:ind w:firstLine="360"/>
        <w:rPr>
          <w:rFonts w:asciiTheme="majorHAnsi" w:hAnsiTheme="majorHAnsi" w:cstheme="majorHAnsi"/>
          <w:sz w:val="26"/>
          <w:szCs w:val="26"/>
        </w:rPr>
      </w:pPr>
      <w:r w:rsidRPr="000F0F83">
        <w:rPr>
          <w:rFonts w:asciiTheme="majorHAnsi" w:hAnsiTheme="majorHAnsi" w:cstheme="majorHAnsi"/>
          <w:sz w:val="26"/>
          <w:szCs w:val="26"/>
        </w:rPr>
        <w:t>3. Tệp data_description.txt đi kèm bộ dữ liệu Kaggle, mô tả ý nghĩa và mã của từng biến.</w:t>
      </w:r>
    </w:p>
    <w:p w14:paraId="56E276B8" w14:textId="0AE4C979" w:rsidR="004F6E94" w:rsidRPr="00905257" w:rsidRDefault="004F6E94" w:rsidP="00FC5BC3">
      <w:pPr>
        <w:pStyle w:val="u1"/>
        <w:spacing w:before="320" w:after="160"/>
        <w:rPr>
          <w:rFonts w:asciiTheme="majorHAnsi" w:hAnsiTheme="majorHAnsi" w:cstheme="majorHAnsi"/>
        </w:rPr>
      </w:pPr>
    </w:p>
    <w:sectPr w:rsidR="004F6E94" w:rsidRPr="00905257">
      <w:headerReference w:type="default" r:id="rId17"/>
      <w:footerReference w:type="default" r:id="rId1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B40F" w14:textId="77777777" w:rsidR="00F56A05" w:rsidRDefault="00F56A05">
      <w:r>
        <w:separator/>
      </w:r>
    </w:p>
  </w:endnote>
  <w:endnote w:type="continuationSeparator" w:id="0">
    <w:p w14:paraId="428EC271" w14:textId="77777777" w:rsidR="00F56A05" w:rsidRDefault="00F56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652C" w14:textId="77777777" w:rsidR="004F6E94" w:rsidRDefault="004F6E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0890" w14:textId="1981BCFE" w:rsidR="004F6E94" w:rsidRDefault="00F83C7E">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FC5BC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40D9" w14:textId="77777777" w:rsidR="00F56A05" w:rsidRDefault="00F56A05">
      <w:r>
        <w:separator/>
      </w:r>
    </w:p>
  </w:footnote>
  <w:footnote w:type="continuationSeparator" w:id="0">
    <w:p w14:paraId="4D1A11C2" w14:textId="77777777" w:rsidR="00F56A05" w:rsidRDefault="00F56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77777777" w:rsidR="004F6E94" w:rsidRDefault="004F6E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52EA" w14:textId="77777777" w:rsidR="00F83C7E" w:rsidRDefault="00F83C7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31C"/>
    <w:multiLevelType w:val="hybridMultilevel"/>
    <w:tmpl w:val="FFFFFFFF"/>
    <w:lvl w:ilvl="0" w:tplc="0D2C90CA">
      <w:start w:val="1"/>
      <w:numFmt w:val="bullet"/>
      <w:lvlText w:val="●"/>
      <w:lvlJc w:val="left"/>
      <w:pPr>
        <w:ind w:left="720" w:hanging="360"/>
      </w:pPr>
    </w:lvl>
    <w:lvl w:ilvl="1" w:tplc="13807D30">
      <w:start w:val="1"/>
      <w:numFmt w:val="bullet"/>
      <w:lvlText w:val="○"/>
      <w:lvlJc w:val="left"/>
      <w:pPr>
        <w:ind w:left="1440" w:hanging="360"/>
      </w:pPr>
    </w:lvl>
    <w:lvl w:ilvl="2" w:tplc="3CF03EE0">
      <w:start w:val="1"/>
      <w:numFmt w:val="bullet"/>
      <w:lvlText w:val="■"/>
      <w:lvlJc w:val="left"/>
      <w:pPr>
        <w:ind w:left="2160" w:hanging="360"/>
      </w:pPr>
    </w:lvl>
    <w:lvl w:ilvl="3" w:tplc="7C76169C">
      <w:start w:val="1"/>
      <w:numFmt w:val="bullet"/>
      <w:lvlText w:val="●"/>
      <w:lvlJc w:val="left"/>
      <w:pPr>
        <w:ind w:left="2880" w:hanging="360"/>
      </w:pPr>
    </w:lvl>
    <w:lvl w:ilvl="4" w:tplc="9EC42E84">
      <w:start w:val="1"/>
      <w:numFmt w:val="bullet"/>
      <w:lvlText w:val="○"/>
      <w:lvlJc w:val="left"/>
      <w:pPr>
        <w:ind w:left="3600" w:hanging="360"/>
      </w:pPr>
    </w:lvl>
    <w:lvl w:ilvl="5" w:tplc="0D42FFB6">
      <w:start w:val="1"/>
      <w:numFmt w:val="bullet"/>
      <w:lvlText w:val="■"/>
      <w:lvlJc w:val="left"/>
      <w:pPr>
        <w:ind w:left="4320" w:hanging="360"/>
      </w:pPr>
    </w:lvl>
    <w:lvl w:ilvl="6" w:tplc="7AD6C53A">
      <w:start w:val="1"/>
      <w:numFmt w:val="bullet"/>
      <w:lvlText w:val="●"/>
      <w:lvlJc w:val="left"/>
      <w:pPr>
        <w:ind w:left="5040" w:hanging="360"/>
      </w:pPr>
    </w:lvl>
    <w:lvl w:ilvl="7" w:tplc="F5FC73E6">
      <w:start w:val="1"/>
      <w:numFmt w:val="bullet"/>
      <w:lvlText w:val="●"/>
      <w:lvlJc w:val="left"/>
      <w:pPr>
        <w:ind w:left="5760" w:hanging="360"/>
      </w:pPr>
    </w:lvl>
    <w:lvl w:ilvl="8" w:tplc="DAD0D63A">
      <w:start w:val="1"/>
      <w:numFmt w:val="bullet"/>
      <w:lvlText w:val="●"/>
      <w:lvlJc w:val="left"/>
      <w:pPr>
        <w:ind w:left="6480" w:hanging="360"/>
      </w:pPr>
    </w:lvl>
  </w:abstractNum>
  <w:abstractNum w:abstractNumId="1" w15:restartNumberingAfterBreak="0">
    <w:nsid w:val="253F2BD8"/>
    <w:multiLevelType w:val="hybridMultilevel"/>
    <w:tmpl w:val="1DBC1A74"/>
    <w:lvl w:ilvl="0" w:tplc="4D5A0694">
      <w:start w:val="1"/>
      <w:numFmt w:val="bullet"/>
      <w:lvlText w:val="●"/>
      <w:lvlJc w:val="left"/>
      <w:pPr>
        <w:ind w:left="720" w:hanging="360"/>
      </w:pPr>
    </w:lvl>
    <w:lvl w:ilvl="1" w:tplc="C36A3728">
      <w:start w:val="1"/>
      <w:numFmt w:val="bullet"/>
      <w:lvlText w:val="○"/>
      <w:lvlJc w:val="left"/>
      <w:pPr>
        <w:ind w:left="1440" w:hanging="360"/>
      </w:pPr>
    </w:lvl>
    <w:lvl w:ilvl="2" w:tplc="72128F7A">
      <w:start w:val="1"/>
      <w:numFmt w:val="bullet"/>
      <w:lvlText w:val="■"/>
      <w:lvlJc w:val="left"/>
      <w:pPr>
        <w:ind w:left="2160" w:hanging="360"/>
      </w:pPr>
    </w:lvl>
    <w:lvl w:ilvl="3" w:tplc="B4F0D5D4">
      <w:start w:val="1"/>
      <w:numFmt w:val="bullet"/>
      <w:lvlText w:val="●"/>
      <w:lvlJc w:val="left"/>
      <w:pPr>
        <w:ind w:left="2880" w:hanging="360"/>
      </w:pPr>
    </w:lvl>
    <w:lvl w:ilvl="4" w:tplc="BD806512">
      <w:start w:val="1"/>
      <w:numFmt w:val="bullet"/>
      <w:lvlText w:val="○"/>
      <w:lvlJc w:val="left"/>
      <w:pPr>
        <w:ind w:left="3600" w:hanging="360"/>
      </w:pPr>
    </w:lvl>
    <w:lvl w:ilvl="5" w:tplc="EF169DC0">
      <w:start w:val="1"/>
      <w:numFmt w:val="bullet"/>
      <w:lvlText w:val="■"/>
      <w:lvlJc w:val="left"/>
      <w:pPr>
        <w:ind w:left="4320" w:hanging="360"/>
      </w:pPr>
    </w:lvl>
    <w:lvl w:ilvl="6" w:tplc="49547D0E">
      <w:start w:val="1"/>
      <w:numFmt w:val="bullet"/>
      <w:lvlText w:val="●"/>
      <w:lvlJc w:val="left"/>
      <w:pPr>
        <w:ind w:left="5040" w:hanging="360"/>
      </w:pPr>
    </w:lvl>
    <w:lvl w:ilvl="7" w:tplc="07B886F0">
      <w:start w:val="1"/>
      <w:numFmt w:val="bullet"/>
      <w:lvlText w:val="●"/>
      <w:lvlJc w:val="left"/>
      <w:pPr>
        <w:ind w:left="5760" w:hanging="360"/>
      </w:pPr>
    </w:lvl>
    <w:lvl w:ilvl="8" w:tplc="41944340">
      <w:start w:val="1"/>
      <w:numFmt w:val="bullet"/>
      <w:lvlText w:val="●"/>
      <w:lvlJc w:val="left"/>
      <w:pPr>
        <w:ind w:left="6480" w:hanging="360"/>
      </w:pPr>
    </w:lvl>
  </w:abstractNum>
  <w:num w:numId="1" w16cid:durableId="1257127770">
    <w:abstractNumId w:val="0"/>
    <w:lvlOverride w:ilvl="0">
      <w:startOverride w:val="1"/>
    </w:lvlOverride>
  </w:num>
  <w:num w:numId="2" w16cid:durableId="228079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94"/>
    <w:rsid w:val="000F0F83"/>
    <w:rsid w:val="001F057C"/>
    <w:rsid w:val="002678B2"/>
    <w:rsid w:val="003C1088"/>
    <w:rsid w:val="004F6E94"/>
    <w:rsid w:val="00905257"/>
    <w:rsid w:val="00BE36AE"/>
    <w:rsid w:val="00C41CF4"/>
    <w:rsid w:val="00D0570C"/>
    <w:rsid w:val="00F56A05"/>
    <w:rsid w:val="00F83C7E"/>
    <w:rsid w:val="00FC5BC3"/>
    <w:rsid w:val="0788D14C"/>
    <w:rsid w:val="0CC2718B"/>
    <w:rsid w:val="0EA36260"/>
    <w:rsid w:val="12FF90E4"/>
    <w:rsid w:val="158A2C66"/>
    <w:rsid w:val="160476BD"/>
    <w:rsid w:val="169D80C1"/>
    <w:rsid w:val="19590C9F"/>
    <w:rsid w:val="1D4E6147"/>
    <w:rsid w:val="1FA50571"/>
    <w:rsid w:val="2A60BA78"/>
    <w:rsid w:val="2B3FFF69"/>
    <w:rsid w:val="2B5F9FD2"/>
    <w:rsid w:val="3019BD06"/>
    <w:rsid w:val="30DF1E59"/>
    <w:rsid w:val="32ED70D9"/>
    <w:rsid w:val="3407A16F"/>
    <w:rsid w:val="39956BF5"/>
    <w:rsid w:val="3F52459F"/>
    <w:rsid w:val="42010CAF"/>
    <w:rsid w:val="47BE57FA"/>
    <w:rsid w:val="5E870218"/>
    <w:rsid w:val="6900ABF8"/>
    <w:rsid w:val="71F4207D"/>
    <w:rsid w:val="782EBCE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9DC7"/>
  <w15:docId w15:val="{8EDDC5B9-14B1-46EF-A2DA-403F0D04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uMucluc">
    <w:name w:val="TOC Heading"/>
    <w:basedOn w:val="u1"/>
    <w:next w:val="Binhthng"/>
    <w:uiPriority w:val="39"/>
    <w:unhideWhenUsed/>
    <w:qFormat/>
    <w:rsid w:val="000F0F83"/>
    <w:pPr>
      <w:keepNext/>
      <w:keepLines/>
      <w:spacing w:before="240" w:line="259" w:lineRule="auto"/>
      <w:outlineLvl w:val="9"/>
    </w:pPr>
    <w:rPr>
      <w:rFonts w:asciiTheme="majorHAnsi" w:eastAsiaTheme="majorEastAsia" w:hAnsiTheme="majorHAnsi" w:cstheme="majorBidi"/>
      <w:color w:val="2F5496" w:themeColor="accent1" w:themeShade="BF"/>
      <w:lang w:eastAsia="vi-VN"/>
    </w:rPr>
  </w:style>
  <w:style w:type="paragraph" w:styleId="Mucluc1">
    <w:name w:val="toc 1"/>
    <w:basedOn w:val="Binhthng"/>
    <w:next w:val="Binhthng"/>
    <w:autoRedefine/>
    <w:uiPriority w:val="39"/>
    <w:unhideWhenUsed/>
    <w:rsid w:val="000F0F83"/>
    <w:pPr>
      <w:spacing w:before="100" w:after="60"/>
    </w:pPr>
    <w:rPr>
      <w:b/>
      <w:bCs/>
    </w:rPr>
  </w:style>
  <w:style w:type="paragraph" w:styleId="Mucluc2">
    <w:name w:val="toc 2"/>
    <w:basedOn w:val="Binhthng"/>
    <w:next w:val="Binhthng"/>
    <w:autoRedefine/>
    <w:uiPriority w:val="39"/>
    <w:unhideWhenUsed/>
    <w:pPr>
      <w:spacing w:after="40"/>
      <w:ind w:left="3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15E6-C378-487F-B213-7A292F44D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2253</Words>
  <Characters>12846</Characters>
  <Application>Microsoft Office Word</Application>
  <DocSecurity>0</DocSecurity>
  <Lines>107</Lines>
  <Paragraphs>30</Paragraphs>
  <ScaleCrop>false</ScaleCrop>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giá nhà bằng các kỹ thuật hồi quy nâng cao</dc:title>
  <dc:creator>Un-named</dc:creator>
  <cp:lastModifiedBy>Pedp4  WPBX5105GRF052214606</cp:lastModifiedBy>
  <cp:revision>9</cp:revision>
  <dcterms:created xsi:type="dcterms:W3CDTF">2026-09-20T05:36:00Z</dcterms:created>
  <dcterms:modified xsi:type="dcterms:W3CDTF">2026-09-24T07:45:00Z</dcterms:modified>
</cp:coreProperties>
</file>