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Morning Analyst Briefing — 21 May 2026</w:t>
      </w:r>
    </w:p>
    <w:p>
      <w:pPr>
        <w:jc w:val="center"/>
      </w:pPr>
      <w:r>
        <w:rPr>
          <w:sz w:val="24"/>
        </w:rPr>
        <w:t>Portfolio Intelligence Terminal</w:t>
      </w:r>
    </w:p>
    <w:p>
      <w:pPr>
        <w:jc w:val="center"/>
      </w:pPr>
      <w:r>
        <w:rPr>
          <w:sz w:val="20"/>
        </w:rPr>
        <w:t>21 May 2026</w:t>
      </w:r>
    </w:p>
    <w:p/>
    <w:p/>
    <w:p>
      <w:pPr>
        <w:pStyle w:val="Heading1"/>
      </w:pPr>
      <w:r>
        <w:t>Morning Analyst Briefing — 21 May 2026</w:t>
      </w:r>
    </w:p>
    <w:p>
      <w:pPr>
        <w:pStyle w:val="Heading2"/>
      </w:pPr>
      <w:r>
        <w:t>1. Executive Summary</w:t>
      </w:r>
    </w:p>
    <w:p>
      <w:pPr>
        <w:spacing w:after="120"/>
      </w:pPr>
      <w:r>
        <w:rPr>
          <w:sz w:val="20"/>
        </w:rPr>
        <w:t>* No major thesis-changing developments for AAPL or MELI in the last 24 hours.</w:t>
      </w:r>
    </w:p>
    <w:p>
      <w:pPr>
        <w:spacing w:after="120"/>
      </w:pPr>
      <w:r>
        <w:rPr>
          <w:sz w:val="20"/>
        </w:rPr>
        <w:t>* Market indices (S&amp;P 500, Nasdaq 100, Dow Jones) show positive movement, potentially indicating a favorable market backdrop.</w:t>
      </w:r>
    </w:p>
    <w:p>
      <w:pPr>
        <w:spacing w:after="120"/>
      </w:pPr>
      <w:r>
        <w:rPr>
          <w:sz w:val="20"/>
        </w:rPr>
        <w:t>* No relevant news articles found for either AAPL or MELI, suggesting a quiet period for these portfolio positions.</w:t>
      </w:r>
    </w:p>
    <w:p>
      <w:pPr>
        <w:pStyle w:val="Heading2"/>
      </w:pPr>
      <w:r>
        <w:t>2. Market Context</w:t>
      </w:r>
    </w:p>
    <w:p>
      <w:pPr>
        <w:spacing w:after="120"/>
      </w:pPr>
      <w:r>
        <w:rPr>
          <w:sz w:val="20"/>
        </w:rPr>
        <w:t>The broad market backdrop indicates a positive trend with the S&amp;P 500, Nasdaq 100, and Dow Jones showing increases. The US 10Y Treasury Yield and US 2Y Treasury Yield have decreased slightly. Given the portfolio's focus on AAPL and MELI, these market movements are noted but do not directly impact the core thesis drivers for these companies at this time. Live market data is connected via yfinance, providing a current market guide.</w:t>
      </w:r>
    </w:p>
    <w:p>
      <w:pPr>
        <w:pStyle w:val="Heading2"/>
      </w:pPr>
      <w:r>
        <w:t>3. Portfolio-Relevant Developments</w:t>
      </w:r>
    </w:p>
    <w:p>
      <w:pPr>
        <w:spacing w:after="120"/>
      </w:pPr>
      <w:r>
        <w:rPr>
          <w:sz w:val="20"/>
        </w:rPr>
        <w:t>No meaningful news developments for AAPL or MELI were found in the last 24 hours.</w:t>
      </w:r>
    </w:p>
    <w:p>
      <w:pPr>
        <w:pStyle w:val="Heading2"/>
      </w:pPr>
      <w:r>
        <w:t>4. Position-by-Position Thesis Impact Table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top"/>
          </w:tcPr>
          <w:p>
            <w:pPr>
              <w:spacing w:after="40"/>
            </w:pPr>
            <w:r>
              <w:rPr>
                <w:b/>
                <w:sz w:val="17"/>
              </w:rPr>
              <w:t>Ticker</w:t>
            </w:r>
          </w:p>
        </w:tc>
        <w:tc>
          <w:tcPr>
            <w:tcW w:type="dxa" w:w="1704"/>
            <w:vAlign w:val="top"/>
          </w:tcPr>
          <w:p>
            <w:pPr>
              <w:spacing w:after="40"/>
            </w:pPr>
            <w:r>
              <w:rPr>
                <w:b/>
                <w:sz w:val="17"/>
              </w:rPr>
              <w:t>Overnight Status</w:t>
            </w:r>
          </w:p>
        </w:tc>
        <w:tc>
          <w:tcPr>
            <w:tcW w:type="dxa" w:w="1704"/>
            <w:vAlign w:val="top"/>
          </w:tcPr>
          <w:p>
            <w:pPr>
              <w:spacing w:after="40"/>
            </w:pPr>
            <w:r>
              <w:rPr>
                <w:b/>
                <w:sz w:val="17"/>
              </w:rPr>
              <w:t>Thesis Impact</w:t>
            </w:r>
          </w:p>
        </w:tc>
        <w:tc>
          <w:tcPr>
            <w:tcW w:type="dxa" w:w="1704"/>
            <w:vAlign w:val="top"/>
          </w:tcPr>
          <w:p>
            <w:pPr>
              <w:spacing w:after="40"/>
            </w:pPr>
            <w:r>
              <w:rPr>
                <w:b/>
                <w:sz w:val="17"/>
              </w:rPr>
              <w:t>Urgency</w:t>
            </w:r>
          </w:p>
        </w:tc>
        <w:tc>
          <w:tcPr>
            <w:tcW w:type="dxa" w:w="1704"/>
            <w:vAlign w:val="top"/>
          </w:tcPr>
          <w:p>
            <w:pPr>
              <w:spacing w:after="40"/>
            </w:pPr>
            <w:r>
              <w:rPr>
                <w:b/>
                <w:sz w:val="17"/>
              </w:rPr>
              <w:t>Action Required</w:t>
            </w:r>
          </w:p>
        </w:tc>
        <w:tc>
          <w:tcPr>
            <w:tcW w:type="dxa" w:w="1704"/>
            <w:vAlign w:val="top"/>
          </w:tcPr>
          <w:p>
            <w:pPr>
              <w:spacing w:after="40"/>
            </w:pPr>
            <w:r>
              <w:rPr>
                <w:b/>
                <w:sz w:val="17"/>
              </w:rPr>
              <w:t>Follow-Up</w:t>
            </w:r>
          </w:p>
        </w:tc>
      </w:tr>
      <w:tr>
        <w:tc>
          <w:tcPr>
            <w:tcW w:type="dxa" w:w="1704"/>
            <w:vAlign w:val="top"/>
          </w:tcPr>
          <w:p>
            <w:pPr>
              <w:spacing w:after="40"/>
            </w:pPr>
            <w:r>
              <w:rPr>
                <w:sz w:val="17"/>
              </w:rPr>
              <w:t>AAPL</w:t>
            </w:r>
          </w:p>
        </w:tc>
        <w:tc>
          <w:tcPr>
            <w:tcW w:type="dxa" w:w="1704"/>
            <w:vAlign w:val="top"/>
          </w:tcPr>
          <w:p>
            <w:pPr>
              <w:spacing w:after="40"/>
            </w:pPr>
            <w:r>
              <w:rPr>
                <w:sz w:val="17"/>
              </w:rPr>
              <w:t>Unchanged</w:t>
            </w:r>
          </w:p>
        </w:tc>
        <w:tc>
          <w:tcPr>
            <w:tcW w:type="dxa" w:w="1704"/>
            <w:vAlign w:val="top"/>
          </w:tcPr>
          <w:p>
            <w:pPr>
              <w:spacing w:after="40"/>
            </w:pPr>
            <w:r>
              <w:rPr>
                <w:sz w:val="17"/>
              </w:rPr>
              <w:t>Neutral</w:t>
            </w:r>
          </w:p>
        </w:tc>
        <w:tc>
          <w:tcPr>
            <w:tcW w:type="dxa" w:w="1704"/>
            <w:vAlign w:val="top"/>
          </w:tcPr>
          <w:p>
            <w:pPr>
              <w:spacing w:after="40"/>
            </w:pPr>
            <w:r>
              <w:rPr>
                <w:sz w:val="17"/>
              </w:rPr>
              <w:t>Low</w:t>
            </w:r>
          </w:p>
        </w:tc>
        <w:tc>
          <w:tcPr>
            <w:tcW w:type="dxa" w:w="1704"/>
            <w:vAlign w:val="top"/>
          </w:tcPr>
          <w:p>
            <w:pPr>
              <w:spacing w:after="40"/>
            </w:pPr>
            <w:r>
              <w:rPr>
                <w:sz w:val="17"/>
              </w:rPr>
              <w:t>No</w:t>
            </w:r>
          </w:p>
        </w:tc>
        <w:tc>
          <w:tcPr>
            <w:tcW w:type="dxa" w:w="1704"/>
            <w:vAlign w:val="top"/>
          </w:tcPr>
          <w:p>
            <w:pPr>
              <w:spacing w:after="40"/>
            </w:pPr>
            <w:r>
              <w:rPr>
                <w:sz w:val="17"/>
              </w:rPr>
              <w:t>Monitor services revenue growth and ecosystem monetisation</w:t>
            </w:r>
          </w:p>
        </w:tc>
      </w:tr>
      <w:tr>
        <w:tc>
          <w:tcPr>
            <w:tcW w:type="dxa" w:w="1704"/>
            <w:vAlign w:val="top"/>
          </w:tcPr>
          <w:p>
            <w:pPr>
              <w:spacing w:after="40"/>
            </w:pPr>
            <w:r>
              <w:rPr>
                <w:sz w:val="17"/>
              </w:rPr>
              <w:t>MELI</w:t>
            </w:r>
          </w:p>
        </w:tc>
        <w:tc>
          <w:tcPr>
            <w:tcW w:type="dxa" w:w="1704"/>
            <w:vAlign w:val="top"/>
          </w:tcPr>
          <w:p>
            <w:pPr>
              <w:spacing w:after="40"/>
            </w:pPr>
            <w:r>
              <w:rPr>
                <w:sz w:val="17"/>
              </w:rPr>
              <w:t>Unchanged</w:t>
            </w:r>
          </w:p>
        </w:tc>
        <w:tc>
          <w:tcPr>
            <w:tcW w:type="dxa" w:w="1704"/>
            <w:vAlign w:val="top"/>
          </w:tcPr>
          <w:p>
            <w:pPr>
              <w:spacing w:after="40"/>
            </w:pPr>
            <w:r>
              <w:rPr>
                <w:sz w:val="17"/>
              </w:rPr>
              <w:t>Neutral</w:t>
            </w:r>
          </w:p>
        </w:tc>
        <w:tc>
          <w:tcPr>
            <w:tcW w:type="dxa" w:w="1704"/>
            <w:vAlign w:val="top"/>
          </w:tcPr>
          <w:p>
            <w:pPr>
              <w:spacing w:after="40"/>
            </w:pPr>
            <w:r>
              <w:rPr>
                <w:sz w:val="17"/>
              </w:rPr>
              <w:t>Low</w:t>
            </w:r>
          </w:p>
        </w:tc>
        <w:tc>
          <w:tcPr>
            <w:tcW w:type="dxa" w:w="1704"/>
            <w:vAlign w:val="top"/>
          </w:tcPr>
          <w:p>
            <w:pPr>
              <w:spacing w:after="40"/>
            </w:pPr>
            <w:r>
              <w:rPr>
                <w:sz w:val="17"/>
              </w:rPr>
              <w:t>No</w:t>
            </w:r>
          </w:p>
        </w:tc>
        <w:tc>
          <w:tcPr>
            <w:tcW w:type="dxa" w:w="1704"/>
            <w:vAlign w:val="top"/>
          </w:tcPr>
          <w:p>
            <w:pPr>
              <w:spacing w:after="40"/>
            </w:pPr>
            <w:r>
              <w:rPr>
                <w:sz w:val="17"/>
              </w:rPr>
              <w:t>Monitor GMV growth and Mercado Pago payment volume</w:t>
            </w:r>
          </w:p>
        </w:tc>
      </w:tr>
    </w:tbl>
    <w:p/>
    <w:p>
      <w:pPr>
        <w:pStyle w:val="Heading2"/>
      </w:pPr>
      <w:r>
        <w:t>5. Risk Flags</w:t>
      </w:r>
    </w:p>
    <w:p>
      <w:pPr>
        <w:spacing w:after="120"/>
      </w:pPr>
      <w:r>
        <w:rPr>
          <w:sz w:val="20"/>
        </w:rPr>
        <w:t>No urgent thesis-level risk flags identified from the supplied information.</w:t>
      </w:r>
    </w:p>
    <w:p>
      <w:pPr>
        <w:pStyle w:val="Heading2"/>
      </w:pPr>
      <w:r>
        <w:t>6. Source Links</w:t>
      </w:r>
    </w:p>
    <w:p>
      <w:pPr>
        <w:spacing w:after="120"/>
      </w:pPr>
      <w:r>
        <w:rPr>
          <w:sz w:val="20"/>
        </w:rPr>
        <w:t>No relevant source links to report, as no significant news articles were found for AAPL or MELI.</w:t>
      </w:r>
    </w:p>
    <w:p>
      <w:pPr>
        <w:pStyle w:val="Heading2"/>
      </w:pPr>
      <w:r>
        <w:t>7. Today’s Analyst To-Do List</w:t>
      </w:r>
    </w:p>
    <w:p>
      <w:pPr>
        <w:pStyle w:val="ListBullet"/>
      </w:pPr>
      <w:r>
        <w:rPr>
          <w:sz w:val="20"/>
        </w:rPr>
        <w:t>Monitor market trends for potential impacts on AAPL and MELI.</w:t>
      </w:r>
    </w:p>
    <w:p>
      <w:pPr>
        <w:pStyle w:val="ListBullet"/>
      </w:pPr>
      <w:r>
        <w:rPr>
          <w:sz w:val="20"/>
        </w:rPr>
        <w:t>Review upcoming earnings reports for AAPL and MELI to anticipate potential thesis drivers.</w:t>
      </w:r>
    </w:p>
    <w:p>
      <w:pPr>
        <w:pStyle w:val="ListBullet"/>
      </w:pPr>
      <w:r>
        <w:rPr>
          <w:sz w:val="20"/>
        </w:rPr>
        <w:t>Check for any updates on regulatory environments that could affect MELI's fintech operations or AAPL's ecosystem monetisation.</w:t>
      </w:r>
    </w:p>
    <w:p>
      <w:pPr>
        <w:pStyle w:val="ListBullet"/>
      </w:pPr>
      <w:r>
        <w:rPr>
          <w:sz w:val="20"/>
        </w:rPr>
        <w:t>Update the portfolio's valuation references if necessary, based on new information or market changes.</w:t>
      </w:r>
    </w:p>
    <w:p>
      <w:pPr>
        <w:pStyle w:val="ListBullet"/>
      </w:pPr>
      <w:r>
        <w:rPr>
          <w:sz w:val="20"/>
        </w:rPr>
        <w:t>Ignore promotional or low-quality news that does not contribute to the investment thesis.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Generated by Portfolio Intelligence Terminal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