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Portfolio Intelligence Research Pack</w:t>
      </w:r>
    </w:p>
    <w:p>
      <w:pPr>
        <w:jc w:val="center"/>
      </w:pPr>
      <w:r>
        <w:rPr>
          <w:sz w:val="24"/>
        </w:rPr>
        <w:t>Portfolio Intelligence Terminal</w:t>
      </w:r>
    </w:p>
    <w:p>
      <w:pPr>
        <w:jc w:val="center"/>
      </w:pPr>
      <w:r>
        <w:rPr>
          <w:sz w:val="20"/>
        </w:rPr>
        <w:t>21 May 2026</w:t>
      </w:r>
    </w:p>
    <w:p/>
    <w:p/>
    <w:p>
      <w:r>
        <w:t>This research pack combines the latest available outputs from the Portfolio Intelligence Terminal agents.</w:t>
      </w:r>
    </w:p>
    <w:p>
      <w:r>
        <w:t>Generated: 21 May 2026 12:47</w:t>
      </w:r>
    </w:p>
    <w:p>
      <w:r>
        <w:br w:type="page"/>
      </w:r>
    </w:p>
    <w:p>
      <w:pPr>
        <w:pStyle w:val="Heading1"/>
      </w:pPr>
      <w:r>
        <w:t>Morning Analyst</w:t>
      </w:r>
    </w:p>
    <w:p>
      <w:r>
        <w:rPr>
          <w:i/>
          <w:sz w:val="16"/>
        </w:rPr>
        <w:t>Source file: 2026-05-21_11-53-30_morning_analyst_briefing.md</w:t>
      </w:r>
    </w:p>
    <w:p>
      <w:pPr>
        <w:pStyle w:val="Heading2"/>
      </w:pPr>
      <w:r>
        <w:t>Morning Analyst Briefing — 21 May 2026</w:t>
      </w:r>
    </w:p>
    <w:p>
      <w:pPr>
        <w:pStyle w:val="Heading3"/>
      </w:pPr>
      <w:r>
        <w:t>1. Executive Summary</w:t>
      </w:r>
    </w:p>
    <w:p>
      <w:pPr>
        <w:spacing w:after="120"/>
      </w:pPr>
      <w:r>
        <w:rPr>
          <w:sz w:val="20"/>
        </w:rPr>
        <w:t>* No major thesis-changing developments for AAPL or MELI in the last 24 hours.</w:t>
      </w:r>
    </w:p>
    <w:p>
      <w:pPr>
        <w:spacing w:after="120"/>
      </w:pPr>
      <w:r>
        <w:rPr>
          <w:sz w:val="20"/>
        </w:rPr>
        <w:t>* Market indices (S&amp;P 500, Nasdaq 100, Dow Jones) show positive movement, potentially indicating a favorable market backdrop.</w:t>
      </w:r>
    </w:p>
    <w:p>
      <w:pPr>
        <w:spacing w:after="120"/>
      </w:pPr>
      <w:r>
        <w:rPr>
          <w:sz w:val="20"/>
        </w:rPr>
        <w:t>* No relevant news articles found for either AAPL or MELI, suggesting a quiet period for these portfolio positions.</w:t>
      </w:r>
    </w:p>
    <w:p>
      <w:pPr>
        <w:pStyle w:val="Heading3"/>
      </w:pPr>
      <w:r>
        <w:t>2. Market Context</w:t>
      </w:r>
    </w:p>
    <w:p>
      <w:pPr>
        <w:spacing w:after="120"/>
      </w:pPr>
      <w:r>
        <w:rPr>
          <w:sz w:val="20"/>
        </w:rPr>
        <w:t>The broad market backdrop indicates a positive trend with the S&amp;P 500, Nasdaq 100, and Dow Jones showing increases. The US 10Y Treasury Yield and US 2Y Treasury Yield have decreased slightly. Given the portfolio's focus on AAPL and MELI, these market movements are noted but do not directly impact the core thesis drivers for these companies at this time. Live market data is connected via yfinance, providing a current market guide.</w:t>
      </w:r>
    </w:p>
    <w:p>
      <w:pPr>
        <w:pStyle w:val="Heading3"/>
      </w:pPr>
      <w:r>
        <w:t>3. Portfolio-Relevant Developments</w:t>
      </w:r>
    </w:p>
    <w:p>
      <w:pPr>
        <w:spacing w:after="120"/>
      </w:pPr>
      <w:r>
        <w:rPr>
          <w:sz w:val="20"/>
        </w:rPr>
        <w:t>No meaningful news developments for AAPL or MELI were found in the last 24 hours.</w:t>
      </w:r>
    </w:p>
    <w:p>
      <w:pPr>
        <w:pStyle w:val="Heading3"/>
      </w:pPr>
      <w:r>
        <w:t>4. Position-by-Position Thesis Impact Table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tcPr>
          <w:p>
            <w:pPr>
              <w:spacing w:after="40"/>
            </w:pPr>
            <w:r>
              <w:rPr>
                <w:b/>
                <w:sz w:val="17"/>
              </w:rPr>
              <w:t>Ticker</w:t>
            </w:r>
          </w:p>
        </w:tc>
        <w:tc>
          <w:tcPr>
            <w:tcW w:type="dxa" w:w="1704"/>
            <w:vAlign w:val="top"/>
          </w:tcPr>
          <w:p>
            <w:pPr>
              <w:spacing w:after="40"/>
            </w:pPr>
            <w:r>
              <w:rPr>
                <w:b/>
                <w:sz w:val="17"/>
              </w:rPr>
              <w:t>Overnight Status</w:t>
            </w:r>
          </w:p>
        </w:tc>
        <w:tc>
          <w:tcPr>
            <w:tcW w:type="dxa" w:w="1704"/>
            <w:vAlign w:val="top"/>
          </w:tcPr>
          <w:p>
            <w:pPr>
              <w:spacing w:after="40"/>
            </w:pPr>
            <w:r>
              <w:rPr>
                <w:b/>
                <w:sz w:val="17"/>
              </w:rPr>
              <w:t>Thesis Impact</w:t>
            </w:r>
          </w:p>
        </w:tc>
        <w:tc>
          <w:tcPr>
            <w:tcW w:type="dxa" w:w="1704"/>
            <w:vAlign w:val="top"/>
          </w:tcPr>
          <w:p>
            <w:pPr>
              <w:spacing w:after="40"/>
            </w:pPr>
            <w:r>
              <w:rPr>
                <w:b/>
                <w:sz w:val="17"/>
              </w:rPr>
              <w:t>Urgency</w:t>
            </w:r>
          </w:p>
        </w:tc>
        <w:tc>
          <w:tcPr>
            <w:tcW w:type="dxa" w:w="1704"/>
            <w:vAlign w:val="top"/>
          </w:tcPr>
          <w:p>
            <w:pPr>
              <w:spacing w:after="40"/>
            </w:pPr>
            <w:r>
              <w:rPr>
                <w:b/>
                <w:sz w:val="17"/>
              </w:rPr>
              <w:t>Action Required</w:t>
            </w:r>
          </w:p>
        </w:tc>
        <w:tc>
          <w:tcPr>
            <w:tcW w:type="dxa" w:w="1704"/>
            <w:vAlign w:val="top"/>
          </w:tcPr>
          <w:p>
            <w:pPr>
              <w:spacing w:after="40"/>
            </w:pPr>
            <w:r>
              <w:rPr>
                <w:b/>
                <w:sz w:val="17"/>
              </w:rPr>
              <w:t>Follow-Up</w:t>
            </w:r>
          </w:p>
        </w:tc>
      </w:tr>
      <w:tr>
        <w:tc>
          <w:tcPr>
            <w:tcW w:type="dxa" w:w="1704"/>
            <w:vAlign w:val="top"/>
          </w:tcPr>
          <w:p>
            <w:pPr>
              <w:spacing w:after="40"/>
            </w:pPr>
            <w:r>
              <w:rPr>
                <w:sz w:val="17"/>
              </w:rPr>
              <w:t>AAPL</w:t>
            </w:r>
          </w:p>
        </w:tc>
        <w:tc>
          <w:tcPr>
            <w:tcW w:type="dxa" w:w="1704"/>
            <w:vAlign w:val="top"/>
          </w:tcPr>
          <w:p>
            <w:pPr>
              <w:spacing w:after="40"/>
            </w:pPr>
            <w:r>
              <w:rPr>
                <w:sz w:val="17"/>
              </w:rPr>
              <w:t>Unchanged</w:t>
            </w:r>
          </w:p>
        </w:tc>
        <w:tc>
          <w:tcPr>
            <w:tcW w:type="dxa" w:w="1704"/>
            <w:vAlign w:val="top"/>
          </w:tcPr>
          <w:p>
            <w:pPr>
              <w:spacing w:after="40"/>
            </w:pPr>
            <w:r>
              <w:rPr>
                <w:sz w:val="17"/>
              </w:rPr>
              <w:t>Neutral</w:t>
            </w:r>
          </w:p>
        </w:tc>
        <w:tc>
          <w:tcPr>
            <w:tcW w:type="dxa" w:w="1704"/>
            <w:vAlign w:val="top"/>
          </w:tcPr>
          <w:p>
            <w:pPr>
              <w:spacing w:after="40"/>
            </w:pPr>
            <w:r>
              <w:rPr>
                <w:sz w:val="17"/>
              </w:rPr>
              <w:t>Low</w:t>
            </w:r>
          </w:p>
        </w:tc>
        <w:tc>
          <w:tcPr>
            <w:tcW w:type="dxa" w:w="1704"/>
            <w:vAlign w:val="top"/>
          </w:tcPr>
          <w:p>
            <w:pPr>
              <w:spacing w:after="40"/>
            </w:pPr>
            <w:r>
              <w:rPr>
                <w:sz w:val="17"/>
              </w:rPr>
              <w:t>No</w:t>
            </w:r>
          </w:p>
        </w:tc>
        <w:tc>
          <w:tcPr>
            <w:tcW w:type="dxa" w:w="1704"/>
            <w:vAlign w:val="top"/>
          </w:tcPr>
          <w:p>
            <w:pPr>
              <w:spacing w:after="40"/>
            </w:pPr>
            <w:r>
              <w:rPr>
                <w:sz w:val="17"/>
              </w:rPr>
              <w:t>Monitor services revenue growth and ecosystem monetisation</w:t>
            </w:r>
          </w:p>
        </w:tc>
      </w:tr>
      <w:tr>
        <w:tc>
          <w:tcPr>
            <w:tcW w:type="dxa" w:w="1704"/>
            <w:vAlign w:val="top"/>
          </w:tcPr>
          <w:p>
            <w:pPr>
              <w:spacing w:after="40"/>
            </w:pPr>
            <w:r>
              <w:rPr>
                <w:sz w:val="17"/>
              </w:rPr>
              <w:t>MELI</w:t>
            </w:r>
          </w:p>
        </w:tc>
        <w:tc>
          <w:tcPr>
            <w:tcW w:type="dxa" w:w="1704"/>
            <w:vAlign w:val="top"/>
          </w:tcPr>
          <w:p>
            <w:pPr>
              <w:spacing w:after="40"/>
            </w:pPr>
            <w:r>
              <w:rPr>
                <w:sz w:val="17"/>
              </w:rPr>
              <w:t>Unchanged</w:t>
            </w:r>
          </w:p>
        </w:tc>
        <w:tc>
          <w:tcPr>
            <w:tcW w:type="dxa" w:w="1704"/>
            <w:vAlign w:val="top"/>
          </w:tcPr>
          <w:p>
            <w:pPr>
              <w:spacing w:after="40"/>
            </w:pPr>
            <w:r>
              <w:rPr>
                <w:sz w:val="17"/>
              </w:rPr>
              <w:t>Neutral</w:t>
            </w:r>
          </w:p>
        </w:tc>
        <w:tc>
          <w:tcPr>
            <w:tcW w:type="dxa" w:w="1704"/>
            <w:vAlign w:val="top"/>
          </w:tcPr>
          <w:p>
            <w:pPr>
              <w:spacing w:after="40"/>
            </w:pPr>
            <w:r>
              <w:rPr>
                <w:sz w:val="17"/>
              </w:rPr>
              <w:t>Low</w:t>
            </w:r>
          </w:p>
        </w:tc>
        <w:tc>
          <w:tcPr>
            <w:tcW w:type="dxa" w:w="1704"/>
            <w:vAlign w:val="top"/>
          </w:tcPr>
          <w:p>
            <w:pPr>
              <w:spacing w:after="40"/>
            </w:pPr>
            <w:r>
              <w:rPr>
                <w:sz w:val="17"/>
              </w:rPr>
              <w:t>No</w:t>
            </w:r>
          </w:p>
        </w:tc>
        <w:tc>
          <w:tcPr>
            <w:tcW w:type="dxa" w:w="1704"/>
            <w:vAlign w:val="top"/>
          </w:tcPr>
          <w:p>
            <w:pPr>
              <w:spacing w:after="40"/>
            </w:pPr>
            <w:r>
              <w:rPr>
                <w:sz w:val="17"/>
              </w:rPr>
              <w:t>Monitor GMV growth and Mercado Pago payment volume</w:t>
            </w:r>
          </w:p>
        </w:tc>
      </w:tr>
    </w:tbl>
    <w:p/>
    <w:p>
      <w:pPr>
        <w:pStyle w:val="Heading3"/>
      </w:pPr>
      <w:r>
        <w:t>5. Risk Flags</w:t>
      </w:r>
    </w:p>
    <w:p>
      <w:pPr>
        <w:spacing w:after="120"/>
      </w:pPr>
      <w:r>
        <w:rPr>
          <w:sz w:val="20"/>
        </w:rPr>
        <w:t>No urgent thesis-level risk flags identified from the supplied information.</w:t>
      </w:r>
    </w:p>
    <w:p>
      <w:pPr>
        <w:pStyle w:val="Heading3"/>
      </w:pPr>
      <w:r>
        <w:t>6. Source Links</w:t>
      </w:r>
    </w:p>
    <w:p>
      <w:pPr>
        <w:spacing w:after="120"/>
      </w:pPr>
      <w:r>
        <w:rPr>
          <w:sz w:val="20"/>
        </w:rPr>
        <w:t>No relevant source links to report, as no significant news articles were found for AAPL or MELI.</w:t>
      </w:r>
    </w:p>
    <w:p>
      <w:pPr>
        <w:pStyle w:val="Heading3"/>
      </w:pPr>
      <w:r>
        <w:t>7. Today’s Analyst To-Do List</w:t>
      </w:r>
    </w:p>
    <w:p>
      <w:pPr>
        <w:pStyle w:val="ListBullet"/>
      </w:pPr>
      <w:r>
        <w:rPr>
          <w:sz w:val="20"/>
        </w:rPr>
        <w:t>Monitor market trends for potential impacts on AAPL and MELI.</w:t>
      </w:r>
    </w:p>
    <w:p>
      <w:pPr>
        <w:pStyle w:val="ListBullet"/>
      </w:pPr>
      <w:r>
        <w:rPr>
          <w:sz w:val="20"/>
        </w:rPr>
        <w:t>Review upcoming earnings reports for AAPL and MELI to anticipate potential thesis drivers.</w:t>
      </w:r>
    </w:p>
    <w:p>
      <w:pPr>
        <w:pStyle w:val="ListBullet"/>
      </w:pPr>
      <w:r>
        <w:rPr>
          <w:sz w:val="20"/>
        </w:rPr>
        <w:t>Check for any updates on regulatory environments that could affect MELI's fintech operations or AAPL's ecosystem monetisation.</w:t>
      </w:r>
    </w:p>
    <w:p>
      <w:pPr>
        <w:pStyle w:val="ListBullet"/>
      </w:pPr>
      <w:r>
        <w:rPr>
          <w:sz w:val="20"/>
        </w:rPr>
        <w:t>Update the portfolio's valuation references if necessary, based on new information or market changes.</w:t>
      </w:r>
    </w:p>
    <w:p>
      <w:pPr>
        <w:pStyle w:val="ListBullet"/>
      </w:pPr>
      <w:r>
        <w:rPr>
          <w:sz w:val="20"/>
        </w:rPr>
        <w:t>Ignore promotional or low-quality news that does not contribute to the investment thesis.</w:t>
      </w:r>
    </w:p>
    <w:p>
      <w:r>
        <w:br w:type="page"/>
      </w:r>
    </w:p>
    <w:p>
      <w:pPr>
        <w:pStyle w:val="Heading1"/>
      </w:pPr>
      <w:r>
        <w:t>Thesis Tracker</w:t>
      </w:r>
    </w:p>
    <w:p>
      <w:r>
        <w:rPr>
          <w:i/>
          <w:sz w:val="16"/>
        </w:rPr>
        <w:t>Source file: 2026-05-21_11-10-32_weekly_thesis_tracker.md</w:t>
      </w:r>
    </w:p>
    <w:p>
      <w:pPr>
        <w:pStyle w:val="Heading2"/>
      </w:pPr>
      <w:r>
        <w:t>Weekly Thesis Tracker — 21 May 2026</w:t>
      </w:r>
    </w:p>
    <w:p>
      <w:pPr>
        <w:pStyle w:val="Heading3"/>
      </w:pPr>
      <w:r>
        <w:t>1. Portfolio-Level Summary</w:t>
      </w:r>
    </w:p>
    <w:p>
      <w:pPr>
        <w:spacing w:after="120"/>
      </w:pPr>
      <w:r>
        <w:rPr>
          <w:sz w:val="20"/>
        </w:rPr>
        <w:t>* The portfolio's overall thesis set remains stable, with no significant changes in the market context that would alter the investment theses.</w:t>
      </w:r>
    </w:p>
    <w:p>
      <w:pPr>
        <w:spacing w:after="120"/>
      </w:pPr>
      <w:r>
        <w:rPr>
          <w:sz w:val="20"/>
        </w:rPr>
        <w:t>* The lack of relevant news for AAPL in the last 24 hours means that the thesis status remains unchanged.</w:t>
      </w:r>
    </w:p>
    <w:p>
      <w:pPr>
        <w:spacing w:after="120"/>
      </w:pPr>
      <w:r>
        <w:rPr>
          <w:sz w:val="20"/>
        </w:rPr>
        <w:t>* The market context shows a positive trend, with the S&amp;P 500, Nasdaq 100, and Dow Jones indices all increasing.</w:t>
      </w:r>
    </w:p>
    <w:p>
      <w:pPr>
        <w:spacing w:after="120"/>
      </w:pPr>
      <w:r>
        <w:rPr>
          <w:sz w:val="20"/>
        </w:rPr>
        <w:t>* The US 10Y Treasury Yield and US 2Y Treasury Yield have decreased, which could have a positive impact on the technology sector.</w:t>
      </w:r>
    </w:p>
    <w:p>
      <w:pPr>
        <w:spacing w:after="120"/>
      </w:pPr>
      <w:r>
        <w:rPr>
          <w:sz w:val="20"/>
        </w:rPr>
        <w:t>* The FX and commodities markets show minimal changes, with no significant impact on the portfolio thesis.</w:t>
      </w:r>
    </w:p>
    <w:p>
      <w:pPr>
        <w:pStyle w:val="Heading3"/>
      </w:pPr>
      <w:r>
        <w:t>2. Thesis Status Dashboard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top"/>
          </w:tcPr>
          <w:p>
            <w:pPr>
              <w:spacing w:after="40"/>
            </w:pPr>
            <w:r>
              <w:rPr>
                <w:b/>
                <w:sz w:val="17"/>
              </w:rPr>
              <w:t>Ticker</w:t>
            </w:r>
          </w:p>
        </w:tc>
        <w:tc>
          <w:tcPr>
            <w:tcW w:type="dxa" w:w="1461"/>
            <w:vAlign w:val="top"/>
          </w:tcPr>
          <w:p>
            <w:pPr>
              <w:spacing w:after="40"/>
            </w:pPr>
            <w:r>
              <w:rPr>
                <w:b/>
                <w:sz w:val="17"/>
              </w:rPr>
              <w:t>Company</w:t>
            </w:r>
          </w:p>
        </w:tc>
        <w:tc>
          <w:tcPr>
            <w:tcW w:type="dxa" w:w="1461"/>
            <w:vAlign w:val="top"/>
          </w:tcPr>
          <w:p>
            <w:pPr>
              <w:spacing w:after="40"/>
            </w:pPr>
            <w:r>
              <w:rPr>
                <w:b/>
                <w:sz w:val="17"/>
              </w:rPr>
              <w:t>Thesis Status</w:t>
            </w:r>
          </w:p>
        </w:tc>
        <w:tc>
          <w:tcPr>
            <w:tcW w:type="dxa" w:w="1461"/>
            <w:vAlign w:val="top"/>
          </w:tcPr>
          <w:p>
            <w:pPr>
              <w:spacing w:after="40"/>
            </w:pPr>
            <w:r>
              <w:rPr>
                <w:b/>
                <w:sz w:val="17"/>
              </w:rPr>
              <w:t>Evidence Quality</w:t>
            </w:r>
          </w:p>
        </w:tc>
        <w:tc>
          <w:tcPr>
            <w:tcW w:type="dxa" w:w="1461"/>
            <w:vAlign w:val="top"/>
          </w:tcPr>
          <w:p>
            <w:pPr>
              <w:spacing w:after="40"/>
            </w:pPr>
            <w:r>
              <w:rPr>
                <w:b/>
                <w:sz w:val="17"/>
              </w:rPr>
              <w:t>Kill Criteria Triggered?</w:t>
            </w:r>
          </w:p>
        </w:tc>
        <w:tc>
          <w:tcPr>
            <w:tcW w:type="dxa" w:w="1461"/>
            <w:vAlign w:val="top"/>
          </w:tcPr>
          <w:p>
            <w:pPr>
              <w:spacing w:after="40"/>
            </w:pPr>
            <w:r>
              <w:rPr>
                <w:b/>
                <w:sz w:val="17"/>
              </w:rPr>
              <w:t>Action Priority</w:t>
            </w:r>
          </w:p>
        </w:tc>
        <w:tc>
          <w:tcPr>
            <w:tcW w:type="dxa" w:w="1461"/>
            <w:vAlign w:val="top"/>
          </w:tcPr>
          <w:p>
            <w:pPr>
              <w:spacing w:after="40"/>
            </w:pPr>
            <w:r>
              <w:rPr>
                <w:b/>
                <w:sz w:val="17"/>
              </w:rPr>
              <w:t>Required Follow-Up</w:t>
            </w:r>
          </w:p>
        </w:tc>
      </w:tr>
      <w:tr>
        <w:tc>
          <w:tcPr>
            <w:tcW w:type="dxa" w:w="1461"/>
            <w:vAlign w:val="top"/>
          </w:tcPr>
          <w:p>
            <w:pPr>
              <w:spacing w:after="40"/>
            </w:pPr>
            <w:r>
              <w:rPr>
                <w:sz w:val="17"/>
              </w:rPr>
              <w:t>AAPL</w:t>
            </w:r>
          </w:p>
        </w:tc>
        <w:tc>
          <w:tcPr>
            <w:tcW w:type="dxa" w:w="1461"/>
            <w:vAlign w:val="top"/>
          </w:tcPr>
          <w:p>
            <w:pPr>
              <w:spacing w:after="40"/>
            </w:pPr>
            <w:r>
              <w:rPr>
                <w:sz w:val="17"/>
              </w:rPr>
              <w:t>Apple Inc.</w:t>
            </w:r>
          </w:p>
        </w:tc>
        <w:tc>
          <w:tcPr>
            <w:tcW w:type="dxa" w:w="1461"/>
            <w:vAlign w:val="top"/>
          </w:tcPr>
          <w:p>
            <w:pPr>
              <w:spacing w:after="40"/>
            </w:pPr>
            <w:r>
              <w:rPr>
                <w:sz w:val="17"/>
              </w:rPr>
              <w:t>Monitor</w:t>
            </w:r>
          </w:p>
        </w:tc>
        <w:tc>
          <w:tcPr>
            <w:tcW w:type="dxa" w:w="1461"/>
            <w:vAlign w:val="top"/>
          </w:tcPr>
          <w:p>
            <w:pPr>
              <w:spacing w:after="40"/>
            </w:pPr>
            <w:r>
              <w:rPr>
                <w:sz w:val="17"/>
              </w:rPr>
              <w:t>Thin</w:t>
            </w:r>
          </w:p>
        </w:tc>
        <w:tc>
          <w:tcPr>
            <w:tcW w:type="dxa" w:w="1461"/>
            <w:vAlign w:val="top"/>
          </w:tcPr>
          <w:p>
            <w:pPr>
              <w:spacing w:after="40"/>
            </w:pPr>
            <w:r>
              <w:rPr>
                <w:sz w:val="17"/>
              </w:rPr>
              <w:t>No</w:t>
            </w:r>
          </w:p>
        </w:tc>
        <w:tc>
          <w:tcPr>
            <w:tcW w:type="dxa" w:w="1461"/>
            <w:vAlign w:val="top"/>
          </w:tcPr>
          <w:p>
            <w:pPr>
              <w:spacing w:after="40"/>
            </w:pPr>
            <w:r>
              <w:rPr>
                <w:sz w:val="17"/>
              </w:rPr>
              <w:t>Low</w:t>
            </w:r>
          </w:p>
        </w:tc>
        <w:tc>
          <w:tcPr>
            <w:tcW w:type="dxa" w:w="1461"/>
            <w:vAlign w:val="top"/>
          </w:tcPr>
          <w:p>
            <w:pPr>
              <w:spacing w:after="40"/>
            </w:pPr>
            <w:r>
              <w:rPr>
                <w:sz w:val="17"/>
              </w:rPr>
              <w:t>Review services revenue growth, iPhone revenue trend, and gross margin</w:t>
            </w:r>
          </w:p>
        </w:tc>
      </w:tr>
    </w:tbl>
    <w:p/>
    <w:p>
      <w:pPr>
        <w:pStyle w:val="Heading3"/>
      </w:pPr>
      <w:r>
        <w:t>3. Position-by-Position Review</w:t>
      </w:r>
    </w:p>
    <w:p>
      <w:r>
        <w:rPr>
          <w:b/>
          <w:sz w:val="20"/>
        </w:rPr>
        <w:t>AAPL — Apple Inc.</w:t>
      </w:r>
    </w:p>
    <w:p>
      <w:pPr>
        <w:spacing w:after="120"/>
      </w:pPr>
      <w:r>
        <w:rPr>
          <w:b/>
          <w:sz w:val="20"/>
        </w:rPr>
        <w:t>Current thesis status:</w:t>
      </w:r>
      <w:r>
        <w:rPr>
          <w:sz w:val="20"/>
        </w:rPr>
        <w:t>Monitor</w:t>
      </w:r>
    </w:p>
    <w:p>
      <w:pPr>
        <w:spacing w:after="120"/>
      </w:pPr>
      <w:r>
        <w:rPr>
          <w:b/>
          <w:sz w:val="20"/>
        </w:rPr>
        <w:t>What supports the thesis:</w:t>
      </w:r>
    </w:p>
    <w:p>
      <w:pPr>
        <w:spacing w:after="120"/>
      </w:pPr>
      <w:r>
        <w:rPr>
          <w:sz w:val="20"/>
        </w:rPr>
        <w:t>The overall market trend is positive, which could support the growth of Apple's services revenue and ecosystem monetisation.</w:t>
      </w:r>
    </w:p>
    <w:p>
      <w:pPr>
        <w:spacing w:after="120"/>
      </w:pPr>
      <w:r>
        <w:rPr>
          <w:b/>
          <w:sz w:val="20"/>
        </w:rPr>
        <w:t>What challenges the thesis:</w:t>
      </w:r>
    </w:p>
    <w:p>
      <w:pPr>
        <w:spacing w:after="120"/>
      </w:pPr>
      <w:r>
        <w:rPr>
          <w:sz w:val="20"/>
        </w:rPr>
        <w:t>The lack of relevant news in the last 24 hours means that there is no new information to challenge or support the thesis.</w:t>
      </w:r>
    </w:p>
    <w:p>
      <w:pPr>
        <w:spacing w:after="120"/>
      </w:pPr>
      <w:r>
        <w:rPr>
          <w:b/>
          <w:sz w:val="20"/>
        </w:rPr>
        <w:t>Kill criteria check:</w:t>
      </w:r>
    </w:p>
    <w:p>
      <w:pPr>
        <w:spacing w:after="120"/>
      </w:pPr>
      <w:r>
        <w:rPr>
          <w:sz w:val="20"/>
        </w:rPr>
        <w:t>No kill criteria appear to be triggered, as there is no new information on services revenue growth, ecosystem pricing power, or gross margin compression.</w:t>
      </w:r>
    </w:p>
    <w:p>
      <w:pPr>
        <w:spacing w:after="120"/>
      </w:pPr>
      <w:r>
        <w:rPr>
          <w:b/>
          <w:sz w:val="20"/>
        </w:rPr>
        <w:t>Evidence quality:</w:t>
      </w:r>
      <w:r>
        <w:rPr>
          <w:sz w:val="20"/>
        </w:rPr>
        <w:t>Thin</w:t>
      </w:r>
    </w:p>
    <w:p>
      <w:pPr>
        <w:spacing w:after="120"/>
      </w:pPr>
      <w:r>
        <w:rPr>
          <w:b/>
          <w:sz w:val="20"/>
        </w:rPr>
        <w:t>Action priority:</w:t>
      </w:r>
      <w:r>
        <w:rPr>
          <w:sz w:val="20"/>
        </w:rPr>
        <w:t>Low</w:t>
      </w:r>
    </w:p>
    <w:p>
      <w:pPr>
        <w:spacing w:after="120"/>
      </w:pPr>
      <w:r>
        <w:rPr>
          <w:b/>
          <w:sz w:val="20"/>
        </w:rPr>
        <w:t>Required follow-up:</w:t>
      </w:r>
    </w:p>
    <w:p>
      <w:pPr>
        <w:spacing w:after="120"/>
      </w:pPr>
      <w:r>
        <w:rPr>
          <w:sz w:val="20"/>
        </w:rPr>
        <w:t>Review services revenue growth, iPhone revenue trend, and gross margin in the next earnings report.</w:t>
      </w:r>
    </w:p>
    <w:p>
      <w:pPr>
        <w:pStyle w:val="Heading3"/>
      </w:pPr>
      <w:r>
        <w:t>4. Kill Criteria Watchlist</w:t>
      </w:r>
    </w:p>
    <w:p>
      <w:pPr>
        <w:spacing w:after="120"/>
      </w:pPr>
      <w:r>
        <w:rPr>
          <w:sz w:val="20"/>
        </w:rPr>
        <w:t>No kill criteria appear to be triggered from the supplied information.</w:t>
      </w:r>
    </w:p>
    <w:p>
      <w:pPr>
        <w:pStyle w:val="Heading3"/>
      </w:pPr>
      <w:r>
        <w:t>5. Portfolio Manager Action List</w:t>
      </w:r>
    </w:p>
    <w:p>
      <w:pPr>
        <w:spacing w:after="120"/>
      </w:pPr>
      <w:r>
        <w:rPr>
          <w:sz w:val="20"/>
        </w:rPr>
        <w:t>* Review the next AAPL earnings report for services revenue growth, iPhone revenue trend, and gross margin.</w:t>
      </w:r>
    </w:p>
    <w:p>
      <w:pPr>
        <w:spacing w:after="120"/>
      </w:pPr>
      <w:r>
        <w:rPr>
          <w:sz w:val="20"/>
        </w:rPr>
        <w:t>* Monitor the market context for any changes that could impact the technology sector.</w:t>
      </w:r>
    </w:p>
    <w:p>
      <w:pPr>
        <w:spacing w:after="120"/>
      </w:pPr>
      <w:r>
        <w:rPr>
          <w:sz w:val="20"/>
        </w:rPr>
        <w:t>* Update the portfolio thesis set if any new information becomes available.</w:t>
      </w:r>
    </w:p>
    <w:p>
      <w:pPr>
        <w:spacing w:after="120"/>
      </w:pPr>
      <w:r>
        <w:rPr>
          <w:sz w:val="20"/>
        </w:rPr>
        <w:t>* Ignore the current FX and commodities market trends, as they have no significant impact on the portfolio thesis.</w:t>
      </w:r>
    </w:p>
    <w:p>
      <w:pPr>
        <w:spacing w:after="120"/>
      </w:pPr>
      <w:r>
        <w:rPr>
          <w:sz w:val="20"/>
        </w:rPr>
        <w:t>* Reassess the portfolio weight of AAPL if any changes occur in the market context or company performance.</w:t>
      </w:r>
    </w:p>
    <w:p>
      <w:pPr>
        <w:spacing w:after="120"/>
      </w:pPr>
      <w:r>
        <w:rPr>
          <w:sz w:val="20"/>
        </w:rPr>
        <w:t>* Prepare for potential changes in the interest rates and their impact on the technology sector.</w:t>
      </w:r>
    </w:p>
    <w:p>
      <w:r>
        <w:br w:type="page"/>
      </w:r>
    </w:p>
    <w:p>
      <w:pPr>
        <w:pStyle w:val="Heading1"/>
      </w:pPr>
      <w:r>
        <w:t>Event Calendar</w:t>
      </w:r>
    </w:p>
    <w:p>
      <w:r>
        <w:rPr>
          <w:i/>
          <w:sz w:val="16"/>
        </w:rPr>
        <w:t>Source file: 2026-05-21_11-43-12_weekly_event_calendar.md</w:t>
      </w:r>
    </w:p>
    <w:p>
      <w:pPr>
        <w:pStyle w:val="Heading2"/>
      </w:pPr>
      <w:r>
        <w:t>Weekly Event Calendar — 21 May 2026</w:t>
      </w:r>
    </w:p>
    <w:p>
      <w:pPr>
        <w:pStyle w:val="Heading3"/>
      </w:pPr>
      <w:r>
        <w:t>1. Portfolio-Relevant Week Ahead</w:t>
      </w:r>
    </w:p>
    <w:p>
      <w:pPr>
        <w:spacing w:after="120"/>
      </w:pPr>
      <w:r>
        <w:rPr>
          <w:sz w:val="20"/>
        </w:rPr>
        <w:t>* Monitor US inflation data and its potential impact on interest rates, equity valuation multiples, and growth stocks like AAPL.</w:t>
      </w:r>
    </w:p>
    <w:p>
      <w:pPr>
        <w:spacing w:after="120"/>
      </w:pPr>
      <w:r>
        <w:rPr>
          <w:sz w:val="20"/>
        </w:rPr>
        <w:t>* Watch for US Federal Reserve commentary that could influence discount rates, USD strength, and growth-equity valuation pressure, affecting AAPL's valuation.</w:t>
      </w:r>
    </w:p>
    <w:p>
      <w:pPr>
        <w:spacing w:after="120"/>
      </w:pPr>
      <w:r>
        <w:rPr>
          <w:sz w:val="20"/>
        </w:rPr>
        <w:t>* Keep an eye on US jobless claims and labour market data to assess recession risk, rates expectations, and market risk appetite, which could impact AAPL's performance.</w:t>
      </w:r>
    </w:p>
    <w:p>
      <w:pPr>
        <w:spacing w:after="120"/>
      </w:pPr>
      <w:r>
        <w:rPr>
          <w:sz w:val="20"/>
        </w:rPr>
        <w:t>* Be aware of South African Reserve Bank developments and their potential effect on USD/ZAR, although this has limited direct relevance to the current portfolio.</w:t>
      </w:r>
    </w:p>
    <w:p>
      <w:pPr>
        <w:pStyle w:val="Heading3"/>
      </w:pPr>
      <w:r>
        <w:t>2. Macro Events to Watch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pPr>
              <w:spacing w:after="40"/>
            </w:pPr>
            <w:r>
              <w:rPr>
                <w:b/>
                <w:sz w:val="17"/>
              </w:rPr>
              <w:t>Event</w:t>
            </w:r>
          </w:p>
        </w:tc>
        <w:tc>
          <w:tcPr>
            <w:tcW w:type="dxa" w:w="2045"/>
            <w:vAlign w:val="top"/>
          </w:tcPr>
          <w:p>
            <w:pPr>
              <w:spacing w:after="40"/>
            </w:pPr>
            <w:r>
              <w:rPr>
                <w:b/>
                <w:sz w:val="17"/>
              </w:rPr>
              <w:t>Timing</w:t>
            </w:r>
          </w:p>
        </w:tc>
        <w:tc>
          <w:tcPr>
            <w:tcW w:type="dxa" w:w="2045"/>
            <w:vAlign w:val="top"/>
          </w:tcPr>
          <w:p>
            <w:pPr>
              <w:spacing w:after="40"/>
            </w:pPr>
            <w:r>
              <w:rPr>
                <w:b/>
                <w:sz w:val="17"/>
              </w:rPr>
              <w:t>Portfolio Relevance</w:t>
            </w:r>
          </w:p>
        </w:tc>
        <w:tc>
          <w:tcPr>
            <w:tcW w:type="dxa" w:w="2045"/>
            <w:vAlign w:val="top"/>
          </w:tcPr>
          <w:p>
            <w:pPr>
              <w:spacing w:after="40"/>
            </w:pPr>
            <w:r>
              <w:rPr>
                <w:b/>
                <w:sz w:val="17"/>
              </w:rPr>
              <w:t>Affected Holdings</w:t>
            </w:r>
          </w:p>
        </w:tc>
        <w:tc>
          <w:tcPr>
            <w:tcW w:type="dxa" w:w="2045"/>
            <w:vAlign w:val="top"/>
          </w:tcPr>
          <w:p>
            <w:pPr>
              <w:spacing w:after="40"/>
            </w:pPr>
            <w:r>
              <w:rPr>
                <w:b/>
                <w:sz w:val="17"/>
              </w:rPr>
              <w:t>Action Required</w:t>
            </w:r>
          </w:p>
        </w:tc>
      </w:tr>
      <w:tr>
        <w:tc>
          <w:tcPr>
            <w:tcW w:type="dxa" w:w="2045"/>
            <w:vAlign w:val="top"/>
          </w:tcPr>
          <w:p>
            <w:pPr>
              <w:spacing w:after="40"/>
            </w:pPr>
            <w:r>
              <w:rPr>
                <w:sz w:val="17"/>
              </w:rPr>
              <w:t>US inflation data</w:t>
            </w:r>
          </w:p>
        </w:tc>
        <w:tc>
          <w:tcPr>
            <w:tcW w:type="dxa" w:w="2045"/>
            <w:vAlign w:val="top"/>
          </w:tcPr>
          <w:p>
            <w:pPr>
              <w:spacing w:after="40"/>
            </w:pPr>
            <w:r>
              <w:rPr>
                <w:sz w:val="17"/>
              </w:rPr>
              <w:t>This week</w:t>
            </w:r>
          </w:p>
        </w:tc>
        <w:tc>
          <w:tcPr>
            <w:tcW w:type="dxa" w:w="2045"/>
            <w:vAlign w:val="top"/>
          </w:tcPr>
          <w:p>
            <w:pPr>
              <w:spacing w:after="40"/>
            </w:pPr>
            <w:r>
              <w:rPr>
                <w:sz w:val="17"/>
              </w:rPr>
              <w:t>Important for interest rates, equity valuation multiples, and growth stocks</w:t>
            </w:r>
          </w:p>
        </w:tc>
        <w:tc>
          <w:tcPr>
            <w:tcW w:type="dxa" w:w="2045"/>
            <w:vAlign w:val="top"/>
          </w:tcPr>
          <w:p>
            <w:pPr>
              <w:spacing w:after="40"/>
            </w:pPr>
            <w:r>
              <w:rPr>
                <w:sz w:val="17"/>
              </w:rPr>
              <w:t>AAPL</w:t>
            </w:r>
          </w:p>
        </w:tc>
        <w:tc>
          <w:tcPr>
            <w:tcW w:type="dxa" w:w="2045"/>
            <w:vAlign w:val="top"/>
          </w:tcPr>
          <w:p>
            <w:pPr>
              <w:spacing w:after="40"/>
            </w:pPr>
            <w:r>
              <w:rPr>
                <w:sz w:val="17"/>
              </w:rPr>
              <w:t>Monitor</w:t>
            </w:r>
          </w:p>
        </w:tc>
      </w:tr>
      <w:tr>
        <w:tc>
          <w:tcPr>
            <w:tcW w:type="dxa" w:w="2045"/>
            <w:vAlign w:val="top"/>
          </w:tcPr>
          <w:p>
            <w:pPr>
              <w:spacing w:after="40"/>
            </w:pPr>
            <w:r>
              <w:rPr>
                <w:sz w:val="17"/>
              </w:rPr>
              <w:t>US Federal Reserve commentary</w:t>
            </w:r>
          </w:p>
        </w:tc>
        <w:tc>
          <w:tcPr>
            <w:tcW w:type="dxa" w:w="2045"/>
            <w:vAlign w:val="top"/>
          </w:tcPr>
          <w:p>
            <w:pPr>
              <w:spacing w:after="40"/>
            </w:pPr>
            <w:r>
              <w:rPr>
                <w:sz w:val="17"/>
              </w:rPr>
              <w:t>This week</w:t>
            </w:r>
          </w:p>
        </w:tc>
        <w:tc>
          <w:tcPr>
            <w:tcW w:type="dxa" w:w="2045"/>
            <w:vAlign w:val="top"/>
          </w:tcPr>
          <w:p>
            <w:pPr>
              <w:spacing w:after="40"/>
            </w:pPr>
            <w:r>
              <w:rPr>
                <w:sz w:val="17"/>
              </w:rPr>
              <w:t>Important for discount rates, USD strength, and growth-equity valuation pressure</w:t>
            </w:r>
          </w:p>
        </w:tc>
        <w:tc>
          <w:tcPr>
            <w:tcW w:type="dxa" w:w="2045"/>
            <w:vAlign w:val="top"/>
          </w:tcPr>
          <w:p>
            <w:pPr>
              <w:spacing w:after="40"/>
            </w:pPr>
            <w:r>
              <w:rPr>
                <w:sz w:val="17"/>
              </w:rPr>
              <w:t>AAPL</w:t>
            </w:r>
          </w:p>
        </w:tc>
        <w:tc>
          <w:tcPr>
            <w:tcW w:type="dxa" w:w="2045"/>
            <w:vAlign w:val="top"/>
          </w:tcPr>
          <w:p>
            <w:pPr>
              <w:spacing w:after="40"/>
            </w:pPr>
            <w:r>
              <w:rPr>
                <w:sz w:val="17"/>
              </w:rPr>
              <w:t>Analyze</w:t>
            </w:r>
          </w:p>
        </w:tc>
      </w:tr>
      <w:tr>
        <w:tc>
          <w:tcPr>
            <w:tcW w:type="dxa" w:w="2045"/>
            <w:vAlign w:val="top"/>
          </w:tcPr>
          <w:p>
            <w:pPr>
              <w:spacing w:after="40"/>
            </w:pPr>
            <w:r>
              <w:rPr>
                <w:sz w:val="17"/>
              </w:rPr>
              <w:t>US jobless claims / labour market data</w:t>
            </w:r>
          </w:p>
        </w:tc>
        <w:tc>
          <w:tcPr>
            <w:tcW w:type="dxa" w:w="2045"/>
            <w:vAlign w:val="top"/>
          </w:tcPr>
          <w:p>
            <w:pPr>
              <w:spacing w:after="40"/>
            </w:pPr>
            <w:r>
              <w:rPr>
                <w:sz w:val="17"/>
              </w:rPr>
              <w:t>This week</w:t>
            </w:r>
          </w:p>
        </w:tc>
        <w:tc>
          <w:tcPr>
            <w:tcW w:type="dxa" w:w="2045"/>
            <w:vAlign w:val="top"/>
          </w:tcPr>
          <w:p>
            <w:pPr>
              <w:spacing w:after="40"/>
            </w:pPr>
            <w:r>
              <w:rPr>
                <w:sz w:val="17"/>
              </w:rPr>
              <w:t>Relevant for recession risk, rates expectations, and market risk appetite</w:t>
            </w:r>
          </w:p>
        </w:tc>
        <w:tc>
          <w:tcPr>
            <w:tcW w:type="dxa" w:w="2045"/>
            <w:vAlign w:val="top"/>
          </w:tcPr>
          <w:p>
            <w:pPr>
              <w:spacing w:after="40"/>
            </w:pPr>
            <w:r>
              <w:rPr>
                <w:sz w:val="17"/>
              </w:rPr>
              <w:t>AAPL</w:t>
            </w:r>
          </w:p>
        </w:tc>
        <w:tc>
          <w:tcPr>
            <w:tcW w:type="dxa" w:w="2045"/>
            <w:vAlign w:val="top"/>
          </w:tcPr>
          <w:p>
            <w:pPr>
              <w:spacing w:after="40"/>
            </w:pPr>
            <w:r>
              <w:rPr>
                <w:sz w:val="17"/>
              </w:rPr>
              <w:t>Review</w:t>
            </w:r>
          </w:p>
        </w:tc>
      </w:tr>
      <w:tr>
        <w:tc>
          <w:tcPr>
            <w:tcW w:type="dxa" w:w="2045"/>
            <w:vAlign w:val="top"/>
          </w:tcPr>
          <w:p>
            <w:pPr>
              <w:spacing w:after="40"/>
            </w:pPr>
            <w:r>
              <w:rPr>
                <w:sz w:val="17"/>
              </w:rPr>
              <w:t>South African Reserve Bank / ZAR monitoring</w:t>
            </w:r>
          </w:p>
        </w:tc>
        <w:tc>
          <w:tcPr>
            <w:tcW w:type="dxa" w:w="2045"/>
            <w:vAlign w:val="top"/>
          </w:tcPr>
          <w:p>
            <w:pPr>
              <w:spacing w:after="40"/>
            </w:pPr>
            <w:r>
              <w:rPr>
                <w:sz w:val="17"/>
              </w:rPr>
              <w:t>This week</w:t>
            </w:r>
          </w:p>
        </w:tc>
        <w:tc>
          <w:tcPr>
            <w:tcW w:type="dxa" w:w="2045"/>
            <w:vAlign w:val="top"/>
          </w:tcPr>
          <w:p>
            <w:pPr>
              <w:spacing w:after="40"/>
            </w:pPr>
            <w:r>
              <w:rPr>
                <w:sz w:val="17"/>
              </w:rPr>
              <w:t>Relevant for USD/ZAR, local market risk, and South African financial conditions</w:t>
            </w:r>
          </w:p>
        </w:tc>
        <w:tc>
          <w:tcPr>
            <w:tcW w:type="dxa" w:w="2045"/>
            <w:vAlign w:val="top"/>
          </w:tcPr>
          <w:p>
            <w:pPr>
              <w:spacing w:after="40"/>
            </w:pPr>
            <w:r>
              <w:rPr>
                <w:sz w:val="17"/>
              </w:rPr>
              <w:t>None directly</w:t>
            </w:r>
          </w:p>
        </w:tc>
        <w:tc>
          <w:tcPr>
            <w:tcW w:type="dxa" w:w="2045"/>
            <w:vAlign w:val="top"/>
          </w:tcPr>
          <w:p>
            <w:pPr>
              <w:spacing w:after="40"/>
            </w:pPr>
            <w:r>
              <w:rPr>
                <w:sz w:val="17"/>
              </w:rPr>
              <w:t>Ignore for AAPL, Monitor for general market context</w:t>
            </w:r>
          </w:p>
        </w:tc>
      </w:tr>
    </w:tbl>
    <w:p/>
    <w:p>
      <w:pPr>
        <w:pStyle w:val="Heading3"/>
      </w:pPr>
      <w:r>
        <w:t>3. Position-Specific Catalyst Watch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tcPr>
          <w:p>
            <w:pPr>
              <w:spacing w:after="40"/>
            </w:pPr>
            <w:r>
              <w:rPr>
                <w:b/>
                <w:sz w:val="17"/>
              </w:rPr>
              <w:t>Ticker</w:t>
            </w:r>
          </w:p>
        </w:tc>
        <w:tc>
          <w:tcPr>
            <w:tcW w:type="dxa" w:w="1704"/>
            <w:vAlign w:val="top"/>
          </w:tcPr>
          <w:p>
            <w:pPr>
              <w:spacing w:after="40"/>
            </w:pPr>
            <w:r>
              <w:rPr>
                <w:b/>
                <w:sz w:val="17"/>
              </w:rPr>
              <w:t>Company</w:t>
            </w:r>
          </w:p>
        </w:tc>
        <w:tc>
          <w:tcPr>
            <w:tcW w:type="dxa" w:w="1704"/>
            <w:vAlign w:val="top"/>
          </w:tcPr>
          <w:p>
            <w:pPr>
              <w:spacing w:after="40"/>
            </w:pPr>
            <w:r>
              <w:rPr>
                <w:b/>
                <w:sz w:val="17"/>
              </w:rPr>
              <w:t>Catalyst / Watch Item</w:t>
            </w:r>
          </w:p>
        </w:tc>
        <w:tc>
          <w:tcPr>
            <w:tcW w:type="dxa" w:w="1704"/>
            <w:vAlign w:val="top"/>
          </w:tcPr>
          <w:p>
            <w:pPr>
              <w:spacing w:after="40"/>
            </w:pPr>
            <w:r>
              <w:rPr>
                <w:b/>
                <w:sz w:val="17"/>
              </w:rPr>
              <w:t>Thesis Link</w:t>
            </w:r>
          </w:p>
        </w:tc>
        <w:tc>
          <w:tcPr>
            <w:tcW w:type="dxa" w:w="1704"/>
            <w:vAlign w:val="top"/>
          </w:tcPr>
          <w:p>
            <w:pPr>
              <w:spacing w:after="40"/>
            </w:pPr>
            <w:r>
              <w:rPr>
                <w:b/>
                <w:sz w:val="17"/>
              </w:rPr>
              <w:t>Urgency</w:t>
            </w:r>
          </w:p>
        </w:tc>
        <w:tc>
          <w:tcPr>
            <w:tcW w:type="dxa" w:w="1704"/>
            <w:vAlign w:val="top"/>
          </w:tcPr>
          <w:p>
            <w:pPr>
              <w:spacing w:after="40"/>
            </w:pPr>
            <w:r>
              <w:rPr>
                <w:b/>
                <w:sz w:val="17"/>
              </w:rPr>
              <w:t>Follow-Up</w:t>
            </w:r>
          </w:p>
        </w:tc>
      </w:tr>
      <w:tr>
        <w:tc>
          <w:tcPr>
            <w:tcW w:type="dxa" w:w="1704"/>
            <w:vAlign w:val="top"/>
          </w:tcPr>
          <w:p>
            <w:pPr>
              <w:spacing w:after="40"/>
            </w:pPr>
            <w:r>
              <w:rPr>
                <w:sz w:val="17"/>
              </w:rPr>
              <w:t>AAPL</w:t>
            </w:r>
          </w:p>
        </w:tc>
        <w:tc>
          <w:tcPr>
            <w:tcW w:type="dxa" w:w="1704"/>
            <w:vAlign w:val="top"/>
          </w:tcPr>
          <w:p>
            <w:pPr>
              <w:spacing w:after="40"/>
            </w:pPr>
            <w:r>
              <w:rPr>
                <w:sz w:val="17"/>
              </w:rPr>
              <w:t>Apple Inc.</w:t>
            </w:r>
          </w:p>
        </w:tc>
        <w:tc>
          <w:tcPr>
            <w:tcW w:type="dxa" w:w="1704"/>
            <w:vAlign w:val="top"/>
          </w:tcPr>
          <w:p>
            <w:pPr>
              <w:spacing w:after="40"/>
            </w:pPr>
            <w:r>
              <w:rPr>
                <w:sz w:val="17"/>
              </w:rPr>
              <w:t>Services revenue growth, iPhone revenue trend, Gross margin, China demand</w:t>
            </w:r>
          </w:p>
        </w:tc>
        <w:tc>
          <w:tcPr>
            <w:tcW w:type="dxa" w:w="1704"/>
            <w:vAlign w:val="top"/>
          </w:tcPr>
          <w:p>
            <w:pPr>
              <w:spacing w:after="40"/>
            </w:pPr>
            <w:r>
              <w:rPr>
                <w:sz w:val="17"/>
              </w:rPr>
              <w:t>Ecosystem monetisation, Services growth</w:t>
            </w:r>
          </w:p>
        </w:tc>
        <w:tc>
          <w:tcPr>
            <w:tcW w:type="dxa" w:w="1704"/>
            <w:vAlign w:val="top"/>
          </w:tcPr>
          <w:p>
            <w:pPr>
              <w:spacing w:after="40"/>
            </w:pPr>
            <w:r>
              <w:rPr>
                <w:sz w:val="17"/>
              </w:rPr>
              <w:t>High</w:t>
            </w:r>
          </w:p>
        </w:tc>
        <w:tc>
          <w:tcPr>
            <w:tcW w:type="dxa" w:w="1704"/>
            <w:vAlign w:val="top"/>
          </w:tcPr>
          <w:p>
            <w:pPr>
              <w:spacing w:after="40"/>
            </w:pPr>
            <w:r>
              <w:rPr>
                <w:sz w:val="17"/>
              </w:rPr>
              <w:t>Monitor earnings commentary, regulatory updates</w:t>
            </w:r>
          </w:p>
        </w:tc>
      </w:tr>
      <w:tr>
        <w:tc>
          <w:tcPr>
            <w:tcW w:type="dxa" w:w="1704"/>
            <w:vAlign w:val="top"/>
          </w:tcPr>
          <w:p>
            <w:pPr>
              <w:spacing w:after="40"/>
            </w:pPr>
            <w:r>
              <w:rPr>
                <w:sz w:val="17"/>
              </w:rPr>
              <w:t>MELI</w:t>
            </w:r>
          </w:p>
        </w:tc>
        <w:tc>
          <w:tcPr>
            <w:tcW w:type="dxa" w:w="1704"/>
            <w:vAlign w:val="top"/>
          </w:tcPr>
          <w:p>
            <w:pPr>
              <w:spacing w:after="40"/>
            </w:pPr>
            <w:r>
              <w:rPr>
                <w:sz w:val="17"/>
              </w:rPr>
              <w:t>MercadoLibre</w:t>
            </w:r>
          </w:p>
        </w:tc>
        <w:tc>
          <w:tcPr>
            <w:tcW w:type="dxa" w:w="1704"/>
            <w:vAlign w:val="top"/>
          </w:tcPr>
          <w:p>
            <w:pPr>
              <w:spacing w:after="40"/>
            </w:pPr>
            <w:r>
              <w:rPr>
                <w:sz w:val="17"/>
              </w:rPr>
              <w:t>Marketplace gross merchandise volume growth, Mercado Pago payment volume growth, Credit book quality</w:t>
            </w:r>
          </w:p>
        </w:tc>
        <w:tc>
          <w:tcPr>
            <w:tcW w:type="dxa" w:w="1704"/>
            <w:vAlign w:val="top"/>
          </w:tcPr>
          <w:p>
            <w:pPr>
              <w:spacing w:after="40"/>
            </w:pPr>
            <w:r>
              <w:rPr>
                <w:sz w:val="17"/>
              </w:rPr>
              <w:t>Marketplace scale, Payments adoption</w:t>
            </w:r>
          </w:p>
        </w:tc>
        <w:tc>
          <w:tcPr>
            <w:tcW w:type="dxa" w:w="1704"/>
            <w:vAlign w:val="top"/>
          </w:tcPr>
          <w:p>
            <w:pPr>
              <w:spacing w:after="40"/>
            </w:pPr>
            <w:r>
              <w:rPr>
                <w:sz w:val="17"/>
              </w:rPr>
              <w:t>Normal</w:t>
            </w:r>
          </w:p>
        </w:tc>
        <w:tc>
          <w:tcPr>
            <w:tcW w:type="dxa" w:w="1704"/>
            <w:vAlign w:val="top"/>
          </w:tcPr>
          <w:p>
            <w:pPr>
              <w:spacing w:after="40"/>
            </w:pPr>
            <w:r>
              <w:rPr>
                <w:sz w:val="17"/>
              </w:rPr>
              <w:t>Review quarterly updates, monitor regulatory environment</w:t>
            </w:r>
          </w:p>
        </w:tc>
      </w:tr>
    </w:tbl>
    <w:p/>
    <w:p>
      <w:pPr>
        <w:pStyle w:val="Heading3"/>
      </w:pPr>
      <w:r>
        <w:t>4. Valuation and Risk Sensitivities</w:t>
      </w:r>
    </w:p>
    <w:p>
      <w:pPr>
        <w:spacing w:after="120"/>
      </w:pPr>
      <w:r>
        <w:rPr>
          <w:sz w:val="20"/>
        </w:rPr>
        <w:t>AAPL is most sensitive to:</w:t>
      </w:r>
    </w:p>
    <w:p>
      <w:pPr>
        <w:pStyle w:val="ListBullet"/>
      </w:pPr>
      <w:r>
        <w:rPr>
          <w:sz w:val="20"/>
        </w:rPr>
        <w:t>Rates: Changes in interest rates could impact AAPL's valuation multiples and growth prospects.</w:t>
      </w:r>
    </w:p>
    <w:p>
      <w:pPr>
        <w:pStyle w:val="ListBullet"/>
      </w:pPr>
      <w:r>
        <w:rPr>
          <w:sz w:val="20"/>
        </w:rPr>
        <w:t>FX: Fluctuations in currency exchange rates, particularly USD/CNY, could affect AAPL's revenue and profitability.</w:t>
      </w:r>
    </w:p>
    <w:p>
      <w:pPr>
        <w:pStyle w:val="ListBullet"/>
      </w:pPr>
      <w:r>
        <w:rPr>
          <w:sz w:val="20"/>
        </w:rPr>
        <w:t>Regulatory risk: Developments in App Store regulatory environments could influence AAPL's services revenue growth and ecosystem monetisation.</w:t>
      </w:r>
    </w:p>
    <w:p>
      <w:pPr>
        <w:spacing w:after="120"/>
      </w:pPr>
      <w:r>
        <w:rPr>
          <w:sz w:val="20"/>
        </w:rPr>
        <w:t>MELI, with a 0% portfolio weight, has limited current impact but would be sensitive to:</w:t>
      </w:r>
    </w:p>
    <w:p>
      <w:pPr>
        <w:pStyle w:val="ListBullet"/>
      </w:pPr>
      <w:r>
        <w:rPr>
          <w:sz w:val="20"/>
        </w:rPr>
        <w:t>Regulatory risk in Latin American markets, affecting its payments and e-commerce operations.</w:t>
      </w:r>
    </w:p>
    <w:p>
      <w:pPr>
        <w:pStyle w:val="Heading3"/>
      </w:pPr>
      <w:r>
        <w:t>5. Portfolio Manager Action List</w:t>
      </w:r>
    </w:p>
    <w:p>
      <w:pPr>
        <w:pStyle w:val="ListBullet"/>
      </w:pPr>
      <w:r>
        <w:rPr>
          <w:sz w:val="20"/>
        </w:rPr>
        <w:t>Monitor US inflation data and its impact on interest rates and equity markets.</w:t>
      </w:r>
    </w:p>
    <w:p>
      <w:pPr>
        <w:pStyle w:val="ListBullet"/>
      </w:pPr>
      <w:r>
        <w:rPr>
          <w:sz w:val="20"/>
        </w:rPr>
        <w:t>Analyze US Federal Reserve commentary for clues on future monetary policy and its potential effects on AAPL's valuation.</w:t>
      </w:r>
    </w:p>
    <w:p>
      <w:pPr>
        <w:pStyle w:val="ListBullet"/>
      </w:pPr>
      <w:r>
        <w:rPr>
          <w:sz w:val="20"/>
        </w:rPr>
        <w:t>Review AAPL's services revenue growth and iPhone revenue trends for signs of strength or weakness.</w:t>
      </w:r>
    </w:p>
    <w:p>
      <w:pPr>
        <w:pStyle w:val="ListBullet"/>
      </w:pPr>
      <w:r>
        <w:rPr>
          <w:sz w:val="20"/>
        </w:rPr>
        <w:t>Prepare for potential regulatory updates affecting AAPL's ecosystem and services growth.</w:t>
      </w:r>
    </w:p>
    <w:p>
      <w:pPr>
        <w:pStyle w:val="ListBullet"/>
      </w:pPr>
      <w:r>
        <w:rPr>
          <w:sz w:val="20"/>
        </w:rPr>
        <w:t>Update the valuation model for AAPL based on changes in interest rates, FX, and regulatory environments.</w:t>
      </w:r>
    </w:p>
    <w:p>
      <w:pPr>
        <w:pStyle w:val="ListBullet"/>
      </w:pPr>
      <w:r>
        <w:rPr>
          <w:sz w:val="20"/>
        </w:rPr>
        <w:t>Ignore South African Reserve Bank developments for direct portfolio implications but remain aware of broader market context.</w:t>
      </w:r>
    </w:p>
    <w:p>
      <w:pPr>
        <w:pStyle w:val="Heading3"/>
      </w:pPr>
      <w:r>
        <w:t>6. Data Limitations</w:t>
      </w:r>
    </w:p>
    <w:p>
      <w:pPr>
        <w:spacing w:after="120"/>
      </w:pPr>
      <w:r>
        <w:rPr>
          <w:sz w:val="20"/>
        </w:rPr>
        <w:t>Exact live earnings dates for AAPL and MELI are not supplied in the configured event context. Therefore, this calendar focuses on monitoring macro events, company-specific catalysts, and valuation sensitivities rather than specific earnings release dates.</w:t>
      </w:r>
    </w:p>
    <w:p>
      <w:r>
        <w:br w:type="page"/>
      </w:r>
    </w:p>
    <w:p>
      <w:pPr>
        <w:pStyle w:val="Heading1"/>
      </w:pPr>
      <w:r>
        <w:t>Market Curator</w:t>
      </w:r>
    </w:p>
    <w:p>
      <w:r>
        <w:rPr>
          <w:i/>
          <w:sz w:val="16"/>
        </w:rPr>
        <w:t>Source file: 2026-05-21_11-26-39_market_curator.md</w:t>
      </w:r>
    </w:p>
    <w:p>
      <w:pPr>
        <w:pStyle w:val="Heading2"/>
      </w:pPr>
      <w:r>
        <w:t>Market Curator — 21 May 2026</w:t>
      </w:r>
    </w:p>
    <w:p>
      <w:pPr>
        <w:pStyle w:val="Heading3"/>
      </w:pPr>
      <w:r>
        <w:t>1. What Actually Mattered Today</w:t>
      </w:r>
    </w:p>
    <w:p>
      <w:pPr>
        <w:spacing w:after="120"/>
      </w:pPr>
      <w:r>
        <w:rPr>
          <w:sz w:val="20"/>
        </w:rPr>
        <w:t>* The S&amp;P 500, Nasdaq 100, and Dow Jones indices all rose, indicating a positive day for the overall market.</w:t>
      </w:r>
    </w:p>
    <w:p>
      <w:pPr>
        <w:spacing w:after="120"/>
      </w:pPr>
      <w:r>
        <w:rPr>
          <w:sz w:val="20"/>
        </w:rPr>
        <w:t>* The US 10Y Treasury Yield and US 2Y Treasury Yield both decreased, which could impact interest rates and borrowing costs.</w:t>
      </w:r>
    </w:p>
    <w:p>
      <w:pPr>
        <w:spacing w:after="120"/>
      </w:pPr>
      <w:r>
        <w:rPr>
          <w:sz w:val="20"/>
        </w:rPr>
        <w:t>* There were no relevant news articles found for AAPL in the last 24 hours, so no specific developments affected the stock directly.</w:t>
      </w:r>
    </w:p>
    <w:p>
      <w:pPr>
        <w:pStyle w:val="Heading3"/>
      </w:pPr>
      <w:r>
        <w:t>2. Portfolio Impact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pPr>
              <w:spacing w:after="40"/>
            </w:pPr>
            <w:r>
              <w:rPr>
                <w:b/>
                <w:sz w:val="17"/>
              </w:rPr>
              <w:t>Ticker</w:t>
            </w:r>
          </w:p>
        </w:tc>
        <w:tc>
          <w:tcPr>
            <w:tcW w:type="dxa" w:w="2045"/>
            <w:vAlign w:val="top"/>
          </w:tcPr>
          <w:p>
            <w:pPr>
              <w:spacing w:after="40"/>
            </w:pPr>
            <w:r>
              <w:rPr>
                <w:b/>
                <w:sz w:val="17"/>
              </w:rPr>
              <w:t>Development</w:t>
            </w:r>
          </w:p>
        </w:tc>
        <w:tc>
          <w:tcPr>
            <w:tcW w:type="dxa" w:w="2045"/>
            <w:vAlign w:val="top"/>
          </w:tcPr>
          <w:p>
            <w:pPr>
              <w:spacing w:after="40"/>
            </w:pPr>
            <w:r>
              <w:rPr>
                <w:b/>
                <w:sz w:val="17"/>
              </w:rPr>
              <w:t>Thesis Impact</w:t>
            </w:r>
          </w:p>
        </w:tc>
        <w:tc>
          <w:tcPr>
            <w:tcW w:type="dxa" w:w="2045"/>
            <w:vAlign w:val="top"/>
          </w:tcPr>
          <w:p>
            <w:pPr>
              <w:spacing w:after="40"/>
            </w:pPr>
            <w:r>
              <w:rPr>
                <w:b/>
                <w:sz w:val="17"/>
              </w:rPr>
              <w:t>Urgency</w:t>
            </w:r>
          </w:p>
        </w:tc>
        <w:tc>
          <w:tcPr>
            <w:tcW w:type="dxa" w:w="2045"/>
            <w:vAlign w:val="top"/>
          </w:tcPr>
          <w:p>
            <w:pPr>
              <w:spacing w:after="40"/>
            </w:pPr>
            <w:r>
              <w:rPr>
                <w:b/>
                <w:sz w:val="17"/>
              </w:rPr>
              <w:t>Action for Tomorrow</w:t>
            </w:r>
          </w:p>
        </w:tc>
      </w:tr>
      <w:tr>
        <w:tc>
          <w:tcPr>
            <w:tcW w:type="dxa" w:w="2045"/>
            <w:vAlign w:val="top"/>
          </w:tcPr>
          <w:p>
            <w:pPr>
              <w:spacing w:after="40"/>
            </w:pPr>
            <w:r>
              <w:rPr>
                <w:sz w:val="17"/>
              </w:rPr>
              <w:t>AAPL</w:t>
            </w:r>
          </w:p>
        </w:tc>
        <w:tc>
          <w:tcPr>
            <w:tcW w:type="dxa" w:w="2045"/>
            <w:vAlign w:val="top"/>
          </w:tcPr>
          <w:p>
            <w:pPr>
              <w:spacing w:after="40"/>
            </w:pPr>
            <w:r>
              <w:rPr>
                <w:sz w:val="17"/>
              </w:rPr>
              <w:t>No relevant news</w:t>
            </w:r>
          </w:p>
        </w:tc>
        <w:tc>
          <w:tcPr>
            <w:tcW w:type="dxa" w:w="2045"/>
            <w:vAlign w:val="top"/>
          </w:tcPr>
          <w:p>
            <w:pPr>
              <w:spacing w:after="40"/>
            </w:pPr>
            <w:r>
              <w:rPr>
                <w:sz w:val="17"/>
              </w:rPr>
              <w:t>Neutral</w:t>
            </w:r>
          </w:p>
        </w:tc>
        <w:tc>
          <w:tcPr>
            <w:tcW w:type="dxa" w:w="2045"/>
            <w:vAlign w:val="top"/>
          </w:tcPr>
          <w:p>
            <w:pPr>
              <w:spacing w:after="40"/>
            </w:pPr>
            <w:r>
              <w:rPr>
                <w:sz w:val="17"/>
              </w:rPr>
              <w:t>Low</w:t>
            </w:r>
          </w:p>
        </w:tc>
        <w:tc>
          <w:tcPr>
            <w:tcW w:type="dxa" w:w="2045"/>
            <w:vAlign w:val="top"/>
          </w:tcPr>
          <w:p>
            <w:pPr>
              <w:spacing w:after="40"/>
            </w:pPr>
            <w:r>
              <w:rPr>
                <w:sz w:val="17"/>
              </w:rPr>
              <w:t>Monitor services revenue growth</w:t>
            </w:r>
          </w:p>
        </w:tc>
      </w:tr>
    </w:tbl>
    <w:p/>
    <w:p>
      <w:pPr>
        <w:pStyle w:val="Heading3"/>
      </w:pPr>
      <w:r>
        <w:t>3. Position-by-Position Curator Notes</w:t>
      </w:r>
    </w:p>
    <w:p>
      <w:r>
        <w:rPr>
          <w:b/>
          <w:sz w:val="20"/>
        </w:rPr>
        <w:t>AAPL — Apple Inc.</w:t>
      </w:r>
    </w:p>
    <w:p>
      <w:pPr>
        <w:spacing w:after="120"/>
      </w:pPr>
      <w:r>
        <w:rPr>
          <w:b/>
          <w:sz w:val="20"/>
        </w:rPr>
        <w:t>Today’s relevant development:</w:t>
      </w:r>
    </w:p>
    <w:p>
      <w:pPr>
        <w:spacing w:after="120"/>
      </w:pPr>
      <w:r>
        <w:rPr>
          <w:sz w:val="20"/>
        </w:rPr>
        <w:t>There was no thesis-relevant development for AAPL today, as no relevant news articles were found.</w:t>
      </w:r>
    </w:p>
    <w:p>
      <w:pPr>
        <w:spacing w:after="120"/>
      </w:pPr>
      <w:r>
        <w:rPr>
          <w:b/>
          <w:sz w:val="20"/>
        </w:rPr>
        <w:t>Thesis read-through:</w:t>
      </w:r>
    </w:p>
    <w:p>
      <w:pPr>
        <w:spacing w:after="120"/>
      </w:pPr>
      <w:r>
        <w:rPr>
          <w:sz w:val="20"/>
        </w:rPr>
        <w:t>The lack of news does not change the thesis, valuation sensitivity, risk profile, or monitoring priority for AAPL. The focus remains on services revenue growth, installed base expansion, gross margin resilience, and ecosystem monetisation.</w:t>
      </w:r>
    </w:p>
    <w:p>
      <w:pPr>
        <w:spacing w:after="120"/>
      </w:pPr>
      <w:r>
        <w:rPr>
          <w:b/>
          <w:sz w:val="20"/>
        </w:rPr>
        <w:t>Tomorrow’s action:</w:t>
      </w:r>
    </w:p>
    <w:p>
      <w:pPr>
        <w:spacing w:after="120"/>
      </w:pPr>
      <w:r>
        <w:rPr>
          <w:sz w:val="20"/>
        </w:rPr>
        <w:t>Monitor services revenue growth and watch for any updates on AAPL's ecosystem monetisation efforts.</w:t>
      </w:r>
    </w:p>
    <w:p>
      <w:pPr>
        <w:spacing w:after="120"/>
      </w:pPr>
      <w:r>
        <w:rPr>
          <w:b/>
          <w:sz w:val="20"/>
        </w:rPr>
        <w:t>Source:</w:t>
      </w:r>
    </w:p>
    <w:p>
      <w:pPr>
        <w:spacing w:after="120"/>
      </w:pPr>
      <w:r>
        <w:rPr>
          <w:sz w:val="20"/>
        </w:rPr>
        <w:t>No source used, as there were no relevant articles found.</w:t>
      </w:r>
    </w:p>
    <w:p>
      <w:pPr>
        <w:pStyle w:val="Heading3"/>
      </w:pPr>
      <w:r>
        <w:t>4. Noise to Ignore</w:t>
      </w:r>
    </w:p>
    <w:p>
      <w:pPr>
        <w:spacing w:after="120"/>
      </w:pPr>
      <w:r>
        <w:rPr>
          <w:sz w:val="20"/>
        </w:rPr>
        <w:t>No clear noise items identified from the supplied information.</w:t>
      </w:r>
    </w:p>
    <w:p>
      <w:pPr>
        <w:pStyle w:val="Heading3"/>
      </w:pPr>
      <w:r>
        <w:t>5. Risk Flags for Tomorrow</w:t>
      </w:r>
    </w:p>
    <w:p>
      <w:pPr>
        <w:spacing w:after="120"/>
      </w:pPr>
      <w:r>
        <w:rPr>
          <w:sz w:val="20"/>
        </w:rPr>
        <w:t>No urgent risk flags identified for tomorrow, but it's essential to continue monitoring the overall market trends and interest rates.</w:t>
      </w:r>
    </w:p>
    <w:p>
      <w:pPr>
        <w:pStyle w:val="Heading3"/>
      </w:pPr>
      <w:r>
        <w:t>6. Source Links</w:t>
      </w:r>
    </w:p>
    <w:p>
      <w:pPr>
        <w:spacing w:after="120"/>
      </w:pPr>
      <w:r>
        <w:rPr>
          <w:sz w:val="20"/>
        </w:rPr>
        <w:t>No source links used, as there were no relevant articles found.</w:t>
      </w:r>
    </w:p>
    <w:p>
      <w:pPr>
        <w:pStyle w:val="Heading3"/>
      </w:pPr>
      <w:r>
        <w:t>7. Tomorrow’s Watchlist</w:t>
      </w:r>
    </w:p>
    <w:p>
      <w:pPr>
        <w:spacing w:after="120"/>
      </w:pPr>
      <w:r>
        <w:rPr>
          <w:sz w:val="20"/>
        </w:rPr>
        <w:t>* Monitor services revenue growth for AAPL.</w:t>
      </w:r>
    </w:p>
    <w:p>
      <w:pPr>
        <w:spacing w:after="120"/>
      </w:pPr>
      <w:r>
        <w:rPr>
          <w:sz w:val="20"/>
        </w:rPr>
        <w:t>* Review the overall market trends and their potential impact on AAPL's stock price.</w:t>
      </w:r>
    </w:p>
    <w:p>
      <w:pPr>
        <w:spacing w:after="120"/>
      </w:pPr>
      <w:r>
        <w:rPr>
          <w:sz w:val="20"/>
        </w:rPr>
        <w:t>* Check for any updates on AAPL's ecosystem monetisation efforts.</w:t>
      </w:r>
    </w:p>
    <w:p>
      <w:pPr>
        <w:spacing w:after="120"/>
      </w:pPr>
      <w:r>
        <w:rPr>
          <w:sz w:val="20"/>
        </w:rPr>
        <w:t>* Ignore any short-term market fluctuations that do not affect the long-term thesis for AAPL.</w:t>
      </w:r>
    </w:p>
    <w:p>
      <w:pPr>
        <w:spacing w:after="120"/>
      </w:pPr>
      <w:r>
        <w:rPr>
          <w:sz w:val="20"/>
        </w:rPr>
        <w:t>* Prepare for potential changes in interest rates and their impact on borrowing costs.</w:t>
      </w:r>
    </w:p>
    <w:p>
      <w:r>
        <w:br w:type="page"/>
      </w:r>
    </w:p>
    <w:p>
      <w:pPr>
        <w:pStyle w:val="Heading1"/>
      </w:pPr>
      <w:r>
        <w:t>Deep Digger</w:t>
      </w:r>
    </w:p>
    <w:p>
      <w:r>
        <w:rPr>
          <w:i/>
          <w:sz w:val="16"/>
        </w:rPr>
        <w:t>Source file: 2026-05-21_11-34-18_deep_digger_meli.md</w:t>
      </w:r>
    </w:p>
    <w:p>
      <w:pPr>
        <w:pStyle w:val="Heading2"/>
      </w:pPr>
      <w:r>
        <w:t>Deep Digger Investment Memo — MELI — 21 May 2026</w:t>
      </w:r>
    </w:p>
    <w:p>
      <w:pPr>
        <w:pStyle w:val="Heading3"/>
      </w:pPr>
      <w:r>
        <w:t>1. Executive Summary</w:t>
      </w:r>
    </w:p>
    <w:p>
      <w:pPr>
        <w:pStyle w:val="ListBullet"/>
      </w:pPr>
      <w:r>
        <w:rPr>
          <w:sz w:val="20"/>
        </w:rPr>
        <w:t>MELI appears to be an unknown company due to insufficient context.</w:t>
      </w:r>
    </w:p>
    <w:p>
      <w:pPr>
        <w:pStyle w:val="ListBullet"/>
      </w:pPr>
      <w:r>
        <w:rPr>
          <w:sz w:val="20"/>
        </w:rPr>
        <w:t>It may matter as a potential investment opportunity, but more information is needed.</w:t>
      </w:r>
    </w:p>
    <w:p>
      <w:pPr>
        <w:pStyle w:val="ListBullet"/>
      </w:pPr>
      <w:r>
        <w:rPr>
          <w:sz w:val="20"/>
        </w:rPr>
        <w:t>Initial investment view is neutral due to lack of data.</w:t>
      </w:r>
    </w:p>
    <w:p>
      <w:pPr>
        <w:pStyle w:val="ListBullet"/>
      </w:pPr>
      <w:r>
        <w:rPr>
          <w:sz w:val="20"/>
        </w:rPr>
        <w:t>Key uncertainties include the company's business model, industry, and financial performance.</w:t>
      </w:r>
    </w:p>
    <w:p>
      <w:pPr>
        <w:pStyle w:val="ListBullet"/>
      </w:pPr>
      <w:r>
        <w:rPr>
          <w:sz w:val="20"/>
        </w:rPr>
        <w:t>This is not actionable now and needs more work to determine its investment potential.</w:t>
      </w:r>
    </w:p>
    <w:p>
      <w:pPr>
        <w:pStyle w:val="ListBullet"/>
      </w:pPr>
      <w:r>
        <w:rPr>
          <w:sz w:val="20"/>
        </w:rPr>
        <w:t>Further research is required to understand the company's core drivers and key metrics.</w:t>
      </w:r>
    </w:p>
    <w:p>
      <w:pPr>
        <w:pStyle w:val="ListBullet"/>
      </w:pPr>
      <w:r>
        <w:rPr>
          <w:sz w:val="20"/>
        </w:rPr>
        <w:t>The company's valuation reference points (bear, base, bull) are unknown and need to be assessed.</w:t>
      </w:r>
    </w:p>
    <w:p>
      <w:pPr>
        <w:pStyle w:val="Heading3"/>
      </w:pPr>
      <w:r>
        <w:t>2. Business Model</w:t>
      </w:r>
    </w:p>
    <w:p>
      <w:pPr>
        <w:spacing w:after="120"/>
      </w:pPr>
      <w:r>
        <w:rPr>
          <w:sz w:val="20"/>
        </w:rPr>
        <w:t>The business model of MELI is unknown based on the supplied context. To proceed, it is essential to verify the company's products or services, target market, revenue streams, and competitive landscape. This information is crucial for understanding the company's potential for growth and profitability.</w:t>
      </w:r>
    </w:p>
    <w:p>
      <w:pPr>
        <w:pStyle w:val="Heading3"/>
      </w:pPr>
      <w:r>
        <w:t>3. Investment Thesis</w:t>
      </w:r>
    </w:p>
    <w:p>
      <w:pPr>
        <w:spacing w:after="120"/>
      </w:pPr>
      <w:r>
        <w:rPr>
          <w:sz w:val="20"/>
        </w:rPr>
        <w:t>Given the lack of a stored thesis, a provisional investment thesis for MELI could be:</w:t>
      </w:r>
    </w:p>
    <w:p>
      <w:pPr>
        <w:pStyle w:val="ListBullet"/>
      </w:pPr>
      <w:r>
        <w:rPr>
          <w:sz w:val="20"/>
        </w:rPr>
        <w:t>MELI has the potential to offer a unique product or service that could disrupt its market.</w:t>
      </w:r>
    </w:p>
    <w:p>
      <w:pPr>
        <w:pStyle w:val="ListBullet"/>
      </w:pPr>
      <w:r>
        <w:rPr>
          <w:sz w:val="20"/>
        </w:rPr>
        <w:t>The company may have a strong competitive advantage due to its unknown business model.</w:t>
      </w:r>
    </w:p>
    <w:p>
      <w:pPr>
        <w:pStyle w:val="ListBullet"/>
      </w:pPr>
      <w:r>
        <w:rPr>
          <w:sz w:val="20"/>
        </w:rPr>
        <w:t>However, without more information, it is challenging to assess the company's investment potential accurately.</w:t>
      </w:r>
    </w:p>
    <w:p>
      <w:pPr>
        <w:pStyle w:val="Heading3"/>
      </w:pPr>
      <w:r>
        <w:t>4. Industry Structure</w:t>
      </w:r>
    </w:p>
    <w:p>
      <w:pPr>
        <w:spacing w:after="120"/>
      </w:pPr>
      <w:r>
        <w:rPr>
          <w:sz w:val="20"/>
        </w:rPr>
        <w:t>The competitive and industry context of MELI is unknown. It is essential to separate confirmed information from assumptions by researching the company's industry, competitors, market size, and growth potential. This will help in understanding the company's position within its industry and its potential for future growth.</w:t>
      </w:r>
    </w:p>
    <w:p>
      <w:pPr>
        <w:pStyle w:val="Heading3"/>
      </w:pPr>
      <w:r>
        <w:t>5. Moat / Competitive Advantage</w:t>
      </w:r>
    </w:p>
    <w:p>
      <w:pPr>
        <w:spacing w:after="120"/>
      </w:pPr>
      <w:r>
        <w:rPr>
          <w:sz w:val="20"/>
        </w:rPr>
        <w:t>Possible sources of moat for MELI are:</w:t>
      </w:r>
    </w:p>
    <w:p>
      <w:pPr>
        <w:pStyle w:val="ListBullet"/>
      </w:pPr>
      <w:r>
        <w:rPr>
          <w:sz w:val="20"/>
        </w:rPr>
        <w:t>Scale: Unknown</w:t>
      </w:r>
    </w:p>
    <w:p>
      <w:pPr>
        <w:pStyle w:val="ListBullet"/>
      </w:pPr>
      <w:r>
        <w:rPr>
          <w:sz w:val="20"/>
        </w:rPr>
        <w:t>Network effects: Unknown</w:t>
      </w:r>
    </w:p>
    <w:p>
      <w:pPr>
        <w:pStyle w:val="ListBullet"/>
      </w:pPr>
      <w:r>
        <w:rPr>
          <w:sz w:val="20"/>
        </w:rPr>
        <w:t>Switching costs: Unknown</w:t>
      </w:r>
    </w:p>
    <w:p>
      <w:pPr>
        <w:pStyle w:val="ListBullet"/>
      </w:pPr>
      <w:r>
        <w:rPr>
          <w:sz w:val="20"/>
        </w:rPr>
        <w:t>Brand: Unknown</w:t>
      </w:r>
    </w:p>
    <w:p>
      <w:pPr>
        <w:pStyle w:val="ListBullet"/>
      </w:pPr>
      <w:r>
        <w:rPr>
          <w:sz w:val="20"/>
        </w:rPr>
        <w:t>Cost advantage: Unknown</w:t>
      </w:r>
    </w:p>
    <w:p>
      <w:pPr>
        <w:pStyle w:val="ListBullet"/>
      </w:pPr>
      <w:r>
        <w:rPr>
          <w:sz w:val="20"/>
        </w:rPr>
        <w:t>Regulation: Unknown</w:t>
      </w:r>
    </w:p>
    <w:p>
      <w:pPr>
        <w:pStyle w:val="ListBullet"/>
      </w:pPr>
      <w:r>
        <w:rPr>
          <w:sz w:val="20"/>
        </w:rPr>
        <w:t>Technology: Unknown</w:t>
      </w:r>
    </w:p>
    <w:p>
      <w:pPr>
        <w:pStyle w:val="ListBullet"/>
      </w:pPr>
      <w:r>
        <w:rPr>
          <w:sz w:val="20"/>
        </w:rPr>
        <w:t>Data advantage: Unknown</w:t>
      </w:r>
    </w:p>
    <w:p>
      <w:pPr>
        <w:spacing w:after="120"/>
      </w:pPr>
      <w:r>
        <w:rPr>
          <w:sz w:val="20"/>
        </w:rPr>
        <w:t>Each of these needs to be assessed through further research to understand MELI's competitive advantage.</w:t>
      </w:r>
    </w:p>
    <w:p>
      <w:pPr>
        <w:pStyle w:val="Heading3"/>
      </w:pPr>
      <w:r>
        <w:t>6. Financial Quality</w:t>
      </w:r>
    </w:p>
    <w:p>
      <w:pPr>
        <w:spacing w:after="120"/>
      </w:pPr>
      <w:r>
        <w:rPr>
          <w:sz w:val="20"/>
        </w:rPr>
        <w:t>To assess MELI's financial quality, the following aspects need to be reviewed:</w:t>
      </w:r>
    </w:p>
    <w:p>
      <w:pPr>
        <w:pStyle w:val="ListBullet"/>
      </w:pPr>
      <w:r>
        <w:rPr>
          <w:sz w:val="20"/>
        </w:rPr>
        <w:t>Revenue growth</w:t>
      </w:r>
    </w:p>
    <w:p>
      <w:pPr>
        <w:pStyle w:val="ListBullet"/>
      </w:pPr>
      <w:r>
        <w:rPr>
          <w:sz w:val="20"/>
        </w:rPr>
        <w:t>Margin structure</w:t>
      </w:r>
    </w:p>
    <w:p>
      <w:pPr>
        <w:pStyle w:val="ListBullet"/>
      </w:pPr>
      <w:r>
        <w:rPr>
          <w:sz w:val="20"/>
        </w:rPr>
        <w:t>Cash conversion</w:t>
      </w:r>
    </w:p>
    <w:p>
      <w:pPr>
        <w:pStyle w:val="ListBullet"/>
      </w:pPr>
      <w:r>
        <w:rPr>
          <w:sz w:val="20"/>
        </w:rPr>
        <w:t>Balance sheet</w:t>
      </w:r>
    </w:p>
    <w:p>
      <w:pPr>
        <w:pStyle w:val="ListBullet"/>
      </w:pPr>
      <w:r>
        <w:rPr>
          <w:sz w:val="20"/>
        </w:rPr>
        <w:t>Reinvestment needs</w:t>
      </w:r>
    </w:p>
    <w:p>
      <w:pPr>
        <w:pStyle w:val="ListBullet"/>
      </w:pPr>
      <w:r>
        <w:rPr>
          <w:sz w:val="20"/>
        </w:rPr>
        <w:t>Cyclicality</w:t>
      </w:r>
    </w:p>
    <w:p>
      <w:pPr>
        <w:pStyle w:val="ListBullet"/>
      </w:pPr>
      <w:r>
        <w:rPr>
          <w:sz w:val="20"/>
        </w:rPr>
        <w:t>Capital intensity</w:t>
      </w:r>
    </w:p>
    <w:p>
      <w:pPr>
        <w:spacing w:after="120"/>
      </w:pPr>
      <w:r>
        <w:rPr>
          <w:sz w:val="20"/>
        </w:rPr>
        <w:t>However, without access to the company's financial data, these aspects cannot be evaluated.</w:t>
      </w:r>
    </w:p>
    <w:p>
      <w:pPr>
        <w:pStyle w:val="Heading3"/>
      </w:pPr>
      <w:r>
        <w:t>7. Valuation Framework</w:t>
      </w:r>
    </w:p>
    <w:p>
      <w:pPr>
        <w:spacing w:after="120"/>
      </w:pPr>
      <w:r>
        <w:rPr>
          <w:sz w:val="20"/>
        </w:rPr>
        <w:t>A valuation framework for MELI would include:</w:t>
      </w:r>
    </w:p>
    <w:p>
      <w:pPr>
        <w:pStyle w:val="ListBullet"/>
      </w:pPr>
      <w:r>
        <w:rPr>
          <w:sz w:val="20"/>
        </w:rPr>
        <w:t>Key valuation drivers: Unknown</w:t>
      </w:r>
    </w:p>
    <w:p>
      <w:pPr>
        <w:pStyle w:val="ListBullet"/>
      </w:pPr>
      <w:r>
        <w:rPr>
          <w:sz w:val="20"/>
        </w:rPr>
        <w:t>Suitable valuation methods: DCF, comparable valuation</w:t>
      </w:r>
    </w:p>
    <w:p>
      <w:pPr>
        <w:pStyle w:val="ListBullet"/>
      </w:pPr>
      <w:r>
        <w:rPr>
          <w:sz w:val="20"/>
        </w:rPr>
        <w:t>Data needed for DCF: Revenue growth rate, discount rate, terminal growth rate, cash flows</w:t>
      </w:r>
    </w:p>
    <w:p>
      <w:pPr>
        <w:pStyle w:val="ListBullet"/>
      </w:pPr>
      <w:r>
        <w:rPr>
          <w:sz w:val="20"/>
        </w:rPr>
        <w:t>Data needed for comparable valuation: Peer group, valuation multiples</w:t>
      </w:r>
    </w:p>
    <w:p>
      <w:pPr>
        <w:pStyle w:val="ListBullet"/>
      </w:pPr>
      <w:r>
        <w:rPr>
          <w:sz w:val="20"/>
        </w:rPr>
        <w:t>Bear/base/bull valuation logic: To be determined based on the company's financial performance and industry context.</w:t>
      </w:r>
    </w:p>
    <w:p>
      <w:pPr>
        <w:pStyle w:val="Heading3"/>
      </w:pPr>
      <w:r>
        <w:t>8. Bull Case</w:t>
      </w:r>
    </w:p>
    <w:p>
      <w:pPr>
        <w:spacing w:after="120"/>
      </w:pPr>
      <w:r>
        <w:rPr>
          <w:sz w:val="20"/>
        </w:rPr>
        <w:t>The strongest investment case for MELI would be based on its potential for high growth, strong competitive advantage, and attractive valuation. However, without more information, this case cannot be fully articulated.</w:t>
      </w:r>
    </w:p>
    <w:p>
      <w:pPr>
        <w:pStyle w:val="Heading3"/>
      </w:pPr>
      <w:r>
        <w:t>9. Bear Case</w:t>
      </w:r>
    </w:p>
    <w:p>
      <w:pPr>
        <w:spacing w:after="120"/>
      </w:pPr>
      <w:r>
        <w:rPr>
          <w:sz w:val="20"/>
        </w:rPr>
        <w:t>The strongest short or avoid case for MELI would be based on its unknown business model, lack of transparency, and potential for poor financial performance. Again, more information is needed to fully develop this case.</w:t>
      </w:r>
    </w:p>
    <w:p>
      <w:pPr>
        <w:pStyle w:val="Heading3"/>
      </w:pPr>
      <w:r>
        <w:t>10. Key Risks</w:t>
      </w:r>
    </w:p>
    <w:p>
      <w:pPr>
        <w:spacing w:after="120"/>
      </w:pPr>
      <w:r>
        <w:rPr>
          <w:sz w:val="20"/>
        </w:rPr>
        <w:t>Major risks for MELI include:</w:t>
      </w:r>
    </w:p>
    <w:p>
      <w:pPr>
        <w:pStyle w:val="ListBullet"/>
      </w:pPr>
      <w:r>
        <w:rPr>
          <w:sz w:val="20"/>
        </w:rPr>
        <w:t>Unknown business risks</w:t>
      </w:r>
    </w:p>
    <w:p>
      <w:pPr>
        <w:pStyle w:val="ListBullet"/>
      </w:pPr>
      <w:r>
        <w:rPr>
          <w:sz w:val="20"/>
        </w:rPr>
        <w:t>Market and industry risks</w:t>
      </w:r>
    </w:p>
    <w:p>
      <w:pPr>
        <w:pStyle w:val="ListBullet"/>
      </w:pPr>
      <w:r>
        <w:rPr>
          <w:sz w:val="20"/>
        </w:rPr>
        <w:t>Financial and operational risks</w:t>
      </w:r>
    </w:p>
    <w:p>
      <w:pPr>
        <w:pStyle w:val="ListBullet"/>
      </w:pPr>
      <w:r>
        <w:rPr>
          <w:sz w:val="20"/>
        </w:rPr>
        <w:t>Regulatory risks</w:t>
      </w:r>
    </w:p>
    <w:p>
      <w:pPr>
        <w:spacing w:after="120"/>
      </w:pPr>
      <w:r>
        <w:rPr>
          <w:sz w:val="20"/>
        </w:rPr>
        <w:t>Each of these risks needs to be assessed through further research.</w:t>
      </w:r>
    </w:p>
    <w:p>
      <w:pPr>
        <w:pStyle w:val="Heading3"/>
      </w:pPr>
      <w:r>
        <w:t>11. Red Flags</w:t>
      </w:r>
    </w:p>
    <w:p>
      <w:pPr>
        <w:spacing w:after="120"/>
      </w:pPr>
      <w:r>
        <w:rPr>
          <w:sz w:val="20"/>
        </w:rPr>
        <w:t>Specific red flags to investigate include:</w:t>
      </w:r>
    </w:p>
    <w:p>
      <w:pPr>
        <w:pStyle w:val="ListBullet"/>
      </w:pPr>
      <w:r>
        <w:rPr>
          <w:sz w:val="20"/>
        </w:rPr>
        <w:t>Accounting and financial reporting practices</w:t>
      </w:r>
    </w:p>
    <w:p>
      <w:pPr>
        <w:pStyle w:val="ListBullet"/>
      </w:pPr>
      <w:r>
        <w:rPr>
          <w:sz w:val="20"/>
        </w:rPr>
        <w:t>Leverage and debt levels</w:t>
      </w:r>
    </w:p>
    <w:p>
      <w:pPr>
        <w:pStyle w:val="ListBullet"/>
      </w:pPr>
      <w:r>
        <w:rPr>
          <w:sz w:val="20"/>
        </w:rPr>
        <w:t>Governance and management structure</w:t>
      </w:r>
    </w:p>
    <w:p>
      <w:pPr>
        <w:pStyle w:val="ListBullet"/>
      </w:pPr>
      <w:r>
        <w:rPr>
          <w:sz w:val="20"/>
        </w:rPr>
        <w:t>Customer concentration</w:t>
      </w:r>
    </w:p>
    <w:p>
      <w:pPr>
        <w:pStyle w:val="ListBullet"/>
      </w:pPr>
      <w:r>
        <w:rPr>
          <w:sz w:val="20"/>
        </w:rPr>
        <w:t>Regulatory environment</w:t>
      </w:r>
    </w:p>
    <w:p>
      <w:pPr>
        <w:pStyle w:val="ListBullet"/>
      </w:pPr>
      <w:r>
        <w:rPr>
          <w:sz w:val="20"/>
        </w:rPr>
        <w:t>Competitive landscape</w:t>
      </w:r>
    </w:p>
    <w:p>
      <w:pPr>
        <w:pStyle w:val="Heading3"/>
      </w:pPr>
      <w:r>
        <w:t>12. Catalysts</w:t>
      </w:r>
    </w:p>
    <w:p>
      <w:pPr>
        <w:spacing w:after="120"/>
      </w:pPr>
      <w:r>
        <w:rPr>
          <w:sz w:val="20"/>
        </w:rPr>
        <w:t>Possible catalysts for MELI include:</w:t>
      </w:r>
    </w:p>
    <w:p>
      <w:pPr>
        <w:pStyle w:val="ListBullet"/>
      </w:pPr>
      <w:r>
        <w:rPr>
          <w:sz w:val="20"/>
        </w:rPr>
        <w:t>Earnings announcements</w:t>
      </w:r>
    </w:p>
    <w:p>
      <w:pPr>
        <w:pStyle w:val="ListBullet"/>
      </w:pPr>
      <w:r>
        <w:rPr>
          <w:sz w:val="20"/>
        </w:rPr>
        <w:t>Product launches</w:t>
      </w:r>
    </w:p>
    <w:p>
      <w:pPr>
        <w:pStyle w:val="ListBullet"/>
      </w:pPr>
      <w:r>
        <w:rPr>
          <w:sz w:val="20"/>
        </w:rPr>
        <w:t>Macro changes</w:t>
      </w:r>
    </w:p>
    <w:p>
      <w:pPr>
        <w:pStyle w:val="ListBullet"/>
      </w:pPr>
      <w:r>
        <w:rPr>
          <w:sz w:val="20"/>
        </w:rPr>
        <w:t>Regulatory events</w:t>
      </w:r>
    </w:p>
    <w:p>
      <w:pPr>
        <w:pStyle w:val="ListBullet"/>
      </w:pPr>
      <w:r>
        <w:rPr>
          <w:sz w:val="20"/>
        </w:rPr>
        <w:t>Margin inflection</w:t>
      </w:r>
    </w:p>
    <w:p>
      <w:pPr>
        <w:pStyle w:val="ListBullet"/>
      </w:pPr>
      <w:r>
        <w:rPr>
          <w:sz w:val="20"/>
        </w:rPr>
        <w:t>Capital allocation decisions</w:t>
      </w:r>
    </w:p>
    <w:p>
      <w:pPr>
        <w:pStyle w:val="ListBullet"/>
      </w:pPr>
      <w:r>
        <w:rPr>
          <w:sz w:val="20"/>
        </w:rPr>
        <w:t>Valuation reset</w:t>
      </w:r>
    </w:p>
    <w:p>
      <w:pPr>
        <w:pStyle w:val="Heading3"/>
      </w:pPr>
      <w:r>
        <w:t>13. Position Sizing View</w:t>
      </w:r>
    </w:p>
    <w:p>
      <w:pPr>
        <w:spacing w:after="120"/>
      </w:pPr>
      <w:r>
        <w:rPr>
          <w:sz w:val="20"/>
        </w:rPr>
        <w:t>A provisional sizing view for MELI is to avoid the stock for now due to the lack of information. To consider a starter position, evidence of a strong business model, competitive advantage, and attractive valuation would be required.</w:t>
      </w:r>
    </w:p>
    <w:p>
      <w:pPr>
        <w:pStyle w:val="Heading3"/>
      </w:pPr>
      <w:r>
        <w:t>14. Final Recommendation</w:t>
      </w:r>
    </w:p>
    <w:p>
      <w:pPr>
        <w:spacing w:after="120"/>
      </w:pPr>
      <w:r>
        <w:rPr>
          <w:sz w:val="20"/>
        </w:rPr>
        <w:t>The final recommendation is to begin deeper research on MELI to better understand its business model, financial performance, and investment potential.</w:t>
      </w:r>
    </w:p>
    <w:p>
      <w:pPr>
        <w:pStyle w:val="Heading3"/>
      </w:pPr>
      <w:r>
        <w:t>15. Source Links</w:t>
      </w:r>
    </w:p>
    <w:p>
      <w:pPr>
        <w:spacing w:after="120"/>
      </w:pPr>
      <w:r>
        <w:rPr>
          <w:sz w:val="20"/>
        </w:rPr>
        <w:t>No source URLs are supplied in the recent news context.</w:t>
      </w:r>
    </w:p>
    <w:p>
      <w:pPr>
        <w:pStyle w:val="Heading3"/>
      </w:pPr>
      <w:r>
        <w:t>16. Research Gaps</w:t>
      </w:r>
    </w:p>
    <w:p>
      <w:pPr>
        <w:spacing w:after="120"/>
      </w:pPr>
      <w:r>
        <w:rPr>
          <w:sz w:val="20"/>
        </w:rPr>
        <w:t>The exact information still required before making a real investment decision includes:</w:t>
      </w:r>
    </w:p>
    <w:p>
      <w:pPr>
        <w:pStyle w:val="ListBullet"/>
      </w:pPr>
      <w:r>
        <w:rPr>
          <w:sz w:val="20"/>
        </w:rPr>
        <w:t>Company description and business model</w:t>
      </w:r>
    </w:p>
    <w:p>
      <w:pPr>
        <w:pStyle w:val="ListBullet"/>
      </w:pPr>
      <w:r>
        <w:rPr>
          <w:sz w:val="20"/>
        </w:rPr>
        <w:t>Financial performance and valuation metrics</w:t>
      </w:r>
    </w:p>
    <w:p>
      <w:pPr>
        <w:pStyle w:val="ListBullet"/>
      </w:pPr>
      <w:r>
        <w:rPr>
          <w:sz w:val="20"/>
        </w:rPr>
        <w:t>Industry and competitive context</w:t>
      </w:r>
    </w:p>
    <w:p>
      <w:pPr>
        <w:pStyle w:val="ListBullet"/>
      </w:pPr>
      <w:r>
        <w:rPr>
          <w:sz w:val="20"/>
        </w:rPr>
        <w:t>Management team and governance structure</w:t>
      </w:r>
    </w:p>
    <w:p>
      <w:pPr>
        <w:pStyle w:val="ListBullet"/>
      </w:pPr>
      <w:r>
        <w:rPr>
          <w:sz w:val="20"/>
        </w:rPr>
        <w:t>Regulatory environment and potential risks</w:t>
      </w:r>
    </w:p>
    <w:p>
      <w:pPr>
        <w:pStyle w:val="ListBullet"/>
      </w:pPr>
      <w:r>
        <w:rPr>
          <w:sz w:val="20"/>
        </w:rPr>
        <w:t>Growth potential and catalysts for future performance.</w:t>
      </w:r>
    </w:p>
    <w:p>
      <w:r>
        <w:br w:type="page"/>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Generated by Portfolio Intelligence Terminal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