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Portfolio Risk Report</w:t>
      </w:r>
    </w:p>
    <w:p>
      <w:pPr>
        <w:jc w:val="center"/>
      </w:pPr>
      <w:r>
        <w:rPr>
          <w:sz w:val="24"/>
        </w:rPr>
        <w:t>Portfolio Intelligence Terminal</w:t>
      </w:r>
    </w:p>
    <w:p>
      <w:pPr>
        <w:jc w:val="center"/>
      </w:pPr>
      <w:r>
        <w:rPr>
          <w:sz w:val="20"/>
        </w:rPr>
        <w:t>21 May 2026</w:t>
      </w:r>
    </w:p>
    <w:p/>
    <w:p/>
    <w:p>
      <w:pPr>
        <w:jc w:val="center"/>
      </w:pPr>
      <w:r>
        <w:rPr>
          <w:sz w:val="20"/>
        </w:rPr>
        <w:t>Generated: 21 May 2026 13:00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Total portfolio positions reviewed: 2</w:t>
      </w:r>
    </w:p>
    <w:p>
      <w:pPr>
        <w:pStyle w:val="ListBullet"/>
      </w:pPr>
      <w:r>
        <w:t>Total mapped portfolio weight: 8.5%</w:t>
      </w:r>
    </w:p>
    <w:p>
      <w:pPr>
        <w:pStyle w:val="ListBullet"/>
      </w:pPr>
      <w:r>
        <w:t>Largest position: AAPL (8.5%)</w:t>
      </w:r>
    </w:p>
    <w:p>
      <w:pPr>
        <w:pStyle w:val="ListBullet"/>
      </w:pPr>
      <w:r>
        <w:t>High-risk positions identified: 0</w:t>
      </w:r>
    </w:p>
    <w:p>
      <w:pPr>
        <w:pStyle w:val="ListBullet"/>
      </w:pPr>
      <w:r>
        <w:t>Medium-risk positions identified: 1</w:t>
      </w:r>
    </w:p>
    <w:p>
      <w:pPr>
        <w:pStyle w:val="ListBullet"/>
      </w:pPr>
      <w:r>
        <w:t>Average thesis completeness score: 95%</w:t>
      </w:r>
    </w:p>
    <w:p>
      <w:pPr>
        <w:pStyle w:val="Heading1"/>
      </w:pPr>
      <w:r>
        <w:t>2. Portfolio Risk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136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1136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1136"/>
          </w:tcPr>
          <w:p>
            <w:r>
              <w:rPr>
                <w:b/>
                <w:sz w:val="16"/>
              </w:rPr>
              <w:t>Weight %</w:t>
            </w:r>
          </w:p>
        </w:tc>
        <w:tc>
          <w:tcPr>
            <w:tcW w:type="dxa" w:w="1136"/>
          </w:tcPr>
          <w:p>
            <w:r>
              <w:rPr>
                <w:b/>
                <w:sz w:val="16"/>
              </w:rPr>
              <w:t>News Priority</w:t>
            </w:r>
          </w:p>
        </w:tc>
        <w:tc>
          <w:tcPr>
            <w:tcW w:type="dxa" w:w="1136"/>
          </w:tcPr>
          <w:p>
            <w:r>
              <w:rPr>
                <w:b/>
                <w:sz w:val="16"/>
              </w:rPr>
              <w:t>Kill Criteria</w:t>
            </w:r>
          </w:p>
        </w:tc>
        <w:tc>
          <w:tcPr>
            <w:tcW w:type="dxa" w:w="1136"/>
          </w:tcPr>
          <w:p>
            <w:r>
              <w:rPr>
                <w:b/>
                <w:sz w:val="16"/>
              </w:rPr>
              <w:t>Thesis Completeness %</w:t>
            </w:r>
          </w:p>
        </w:tc>
        <w:tc>
          <w:tcPr>
            <w:tcW w:type="dxa" w:w="1136"/>
          </w:tcPr>
          <w:p>
            <w:r>
              <w:rPr>
                <w:b/>
                <w:sz w:val="16"/>
              </w:rPr>
              <w:t>Risk Score</w:t>
            </w:r>
          </w:p>
        </w:tc>
        <w:tc>
          <w:tcPr>
            <w:tcW w:type="dxa" w:w="1136"/>
          </w:tcPr>
          <w:p>
            <w:r>
              <w:rPr>
                <w:b/>
                <w:sz w:val="16"/>
              </w:rPr>
              <w:t>Risk Band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AAPL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Apple Inc.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8.5%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MELI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MercadoLibre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E-commerce/ Fintech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normal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Low</w:t>
            </w:r>
          </w:p>
        </w:tc>
      </w:tr>
    </w:tbl>
    <w:p/>
    <w:p>
      <w:pPr>
        <w:pStyle w:val="Heading1"/>
      </w:pPr>
      <w:r>
        <w:t>3. Sector Exposure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Weight %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8.5%</w:t>
            </w:r>
          </w:p>
        </w:tc>
      </w:tr>
      <w:tr>
        <w:tc>
          <w:tcPr>
            <w:tcW w:type="dxa" w:w="5112"/>
          </w:tcPr>
          <w:p>
            <w:r>
              <w:t>E-commerce/ Fintech</w:t>
            </w:r>
          </w:p>
        </w:tc>
        <w:tc>
          <w:tcPr>
            <w:tcW w:type="dxa" w:w="5112"/>
          </w:tcPr>
          <w:p>
            <w:r>
              <w:t>0.0%</w:t>
            </w:r>
          </w:p>
        </w:tc>
      </w:tr>
    </w:tbl>
    <w:p>
      <w:pPr>
        <w:pStyle w:val="Heading1"/>
      </w:pPr>
      <w:r>
        <w:t>4. High and Medium Risk Positions</w:t>
      </w:r>
    </w:p>
    <w:p>
      <w:pPr>
        <w:pStyle w:val="Heading2"/>
      </w:pPr>
      <w:r>
        <w:t>AAPL — Medium Risk</w:t>
      </w:r>
    </w:p>
    <w:p>
      <w:pPr>
        <w:pStyle w:val="ListBullet"/>
      </w:pPr>
      <w:r>
        <w:t>Company: Apple Inc.</w:t>
      </w:r>
    </w:p>
    <w:p>
      <w:pPr>
        <w:pStyle w:val="ListBullet"/>
      </w:pPr>
      <w:r>
        <w:t>Sector: Technology</w:t>
      </w:r>
    </w:p>
    <w:p>
      <w:pPr>
        <w:pStyle w:val="ListBullet"/>
      </w:pPr>
      <w:r>
        <w:t>Weight: 8.5%</w:t>
      </w:r>
    </w:p>
    <w:p>
      <w:pPr>
        <w:pStyle w:val="ListBullet"/>
      </w:pPr>
      <w:r>
        <w:t>News priority: high</w:t>
      </w:r>
    </w:p>
    <w:p>
      <w:pPr>
        <w:pStyle w:val="ListBullet"/>
      </w:pPr>
      <w:r>
        <w:t>Kill criteria count: 3</w:t>
      </w:r>
    </w:p>
    <w:p>
      <w:pPr>
        <w:pStyle w:val="ListBullet"/>
      </w:pPr>
      <w:r>
        <w:t>Thesis completeness: 100%</w:t>
      </w:r>
    </w:p>
    <w:p>
      <w:pPr>
        <w:pStyle w:val="ListBullet"/>
      </w:pPr>
      <w:r>
        <w:t>Risk score: 5</w:t>
      </w:r>
    </w:p>
    <w:p>
      <w:r>
        <w:t>Kill Criteria:</w:t>
      </w:r>
    </w:p>
    <w:p>
      <w:pPr>
        <w:pStyle w:val="ListBullet"/>
      </w:pPr>
      <w:r>
        <w:t>Services revenue growth falls below internal threshold for two consecutive quarters</w:t>
      </w:r>
    </w:p>
    <w:p>
      <w:pPr>
        <w:pStyle w:val="ListBullet"/>
      </w:pPr>
      <w:r>
        <w:t>Material deterioration in ecosystem pricing power</w:t>
      </w:r>
    </w:p>
    <w:p>
      <w:pPr>
        <w:pStyle w:val="ListBullet"/>
      </w:pPr>
      <w:r>
        <w:t>Gross margin compression becomes structural</w:t>
      </w:r>
    </w:p>
    <w:p>
      <w:pPr>
        <w:pStyle w:val="Heading1"/>
      </w:pPr>
      <w:r>
        <w:t>5. Thesis Completeness Review</w:t>
      </w:r>
    </w:p>
    <w:p>
      <w:pPr>
        <w:pStyle w:val="ListBullet"/>
      </w:pPr>
      <w:r>
        <w:t>MELI: 90% complete</w:t>
      </w:r>
    </w:p>
    <w:p>
      <w:pPr>
        <w:pStyle w:val="ListBullet"/>
      </w:pPr>
      <w:r>
        <w:t>AAPL: 100% complete</w:t>
      </w:r>
    </w:p>
    <w:p>
      <w:pPr>
        <w:pStyle w:val="Heading1"/>
      </w:pPr>
      <w:r>
        <w:t>6. Risk Methodology</w:t>
      </w:r>
    </w:p>
    <w:p>
      <w:pPr>
        <w:pStyle w:val="ListBullet"/>
      </w:pPr>
      <w:r>
        <w:t>This report is based on the information stored in the portfolio YAML files.</w:t>
      </w:r>
    </w:p>
    <w:p>
      <w:pPr>
        <w:pStyle w:val="ListBullet"/>
      </w:pPr>
      <w:r>
        <w:t>The risk score considers position weight, monitoring priority, number of kill criteria, and thesis completeness.</w:t>
      </w:r>
    </w:p>
    <w:p>
      <w:pPr>
        <w:pStyle w:val="ListBullet"/>
      </w:pPr>
      <w:r>
        <w:t>This is not a market-risk VaR model.</w:t>
      </w:r>
    </w:p>
    <w:p>
      <w:pPr>
        <w:pStyle w:val="ListBullet"/>
      </w:pPr>
      <w:r>
        <w:t>It is a portfolio governance and thesis-risk dashboard designed to highlight areas requiring review.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by Portfolio Intelligence Terminal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