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2026-05-28 09-48-29 Morning Analyst Briefing</w:t>
      </w:r>
    </w:p>
    <w:p>
      <w:pPr>
        <w:pStyle w:val="Heading1"/>
      </w:pPr>
      <w:r>
        <w:t>Morning Analyst Briefing — 28 May 2026</w:t>
      </w:r>
    </w:p>
    <w:p/>
    <w:p>
      <w:pPr>
        <w:pStyle w:val="Heading2"/>
      </w:pPr>
      <w:r>
        <w:t>1. Executive Summary</w:t>
      </w:r>
    </w:p>
    <w:p>
      <w:r>
        <w:t>* No major thesis-changing developments for AAPL or MELI in the last 24 hours.</w:t>
      </w:r>
    </w:p>
    <w:p>
      <w:r>
        <w:t>* Market context is relatively stable, with minor movements in indices, rates, and commodities.</w:t>
      </w:r>
    </w:p>
    <w:p>
      <w:r>
        <w:t>* No urgent actions are required for the portfolio based on the current information.</w:t>
      </w:r>
    </w:p>
    <w:p>
      <w:r>
        <w:t>* Continue to monitor key metrics for AAPL and MELI as per the stored investment thesis.</w:t>
      </w:r>
    </w:p>
    <w:p/>
    <w:p>
      <w:pPr>
        <w:pStyle w:val="Heading2"/>
      </w:pPr>
      <w:r>
        <w:t>2. Market Context</w:t>
      </w:r>
    </w:p>
    <w:p>
      <w:r>
        <w:t>The broad market backdrop is relatively calm, with the S&amp;P 500 and Dow Jones showing minor gains, while the Nasdaq 100 is slightly down. Rates are stable, with the US 10Y Treasury Yield at 4.48 and the US 2Y Treasury Yield at 3.59. FX and commodities are also showing minimal movements. This market context does not significantly impact the portfolio's thesis drivers at this time.</w:t>
      </w:r>
    </w:p>
    <w:p/>
    <w:p>
      <w:pPr>
        <w:pStyle w:val="Heading2"/>
      </w:pPr>
      <w:r>
        <w:t>3. Portfolio-Relevant Developments</w:t>
      </w:r>
    </w:p>
    <w:p>
      <w:r>
        <w:t>No meaningful news developments for AAPL or MELI were found in the last 24 hours.</w:t>
      </w:r>
    </w:p>
    <w:p/>
    <w:p>
      <w:pPr>
        <w:pStyle w:val="Heading2"/>
      </w:pPr>
      <w:r>
        <w:t>4. Position-by-Position Thesis Impact Table</w:t>
      </w:r>
    </w:p>
    <w:p>
      <w:r>
        <w:t>| Ticker | Overnight Status | Thesis Impact | Urgency | Action Required | Follow-Up |</w:t>
      </w:r>
    </w:p>
    <w:p>
      <w:r>
        <w:t>|---|---|---|---|---|---|</w:t>
      </w:r>
    </w:p>
    <w:p>
      <w:r>
        <w:t>| AAPL | No news | Neutral | Low | No | Monitor services revenue growth and iPhone revenue trend |</w:t>
      </w:r>
    </w:p>
    <w:p>
      <w:r>
        <w:t>| MELI | No news | Neutral | Low | No | Monitor GMV growth and total payment volume |</w:t>
      </w:r>
    </w:p>
    <w:p/>
    <w:p>
      <w:pPr>
        <w:pStyle w:val="Heading2"/>
      </w:pPr>
      <w:r>
        <w:t>5. Risk Flags</w:t>
      </w:r>
    </w:p>
    <w:p>
      <w:r>
        <w:t>No urgent thesis-level risk flags identified from the supplied information.</w:t>
      </w:r>
    </w:p>
    <w:p/>
    <w:p>
      <w:pPr>
        <w:pStyle w:val="Heading2"/>
      </w:pPr>
      <w:r>
        <w:t>6. Source Links</w:t>
      </w:r>
    </w:p>
    <w:p>
      <w:r>
        <w:t>* No relevant source links to report, as no meaningful news articles were found for AAPL or MELI.</w:t>
      </w:r>
    </w:p>
    <w:p/>
    <w:p>
      <w:pPr>
        <w:pStyle w:val="Heading2"/>
      </w:pPr>
      <w:r>
        <w:t>7. Today’s Analyst To-Do List</w:t>
      </w:r>
    </w:p>
    <w:p>
      <w:pPr>
        <w:pStyle w:val="ListBullet"/>
      </w:pPr>
      <w:r>
        <w:t>Monitor AAPL's services revenue growth and iPhone revenue trend for any signs of weakness.</w:t>
      </w:r>
    </w:p>
    <w:p>
      <w:pPr>
        <w:pStyle w:val="ListBullet"/>
      </w:pPr>
      <w:r>
        <w:t>Review MELI's GMV growth and total payment volume for indications of marketplace and fintech strength.</w:t>
      </w:r>
    </w:p>
    <w:p>
      <w:pPr>
        <w:pStyle w:val="ListBullet"/>
      </w:pPr>
      <w:r>
        <w:t>Check for any updates on the US 10Y Treasury Yield and its potential impact on the technology and e-commerce sectors.</w:t>
      </w:r>
    </w:p>
    <w:p>
      <w:pPr>
        <w:pStyle w:val="ListBullet"/>
      </w:pPr>
      <w:r>
        <w:t>Update the portfolio's valuation models to reflect any changes in the market context.</w:t>
      </w:r>
    </w:p>
    <w:p>
      <w:pPr>
        <w:pStyle w:val="ListBullet"/>
      </w:pPr>
      <w:r>
        <w:t>Ignore promotional or low-quality news articles that do not contribute to the investment 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