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00000"/>
          <w:sz w:val="26"/>
          <w:szCs w:val="26"/>
        </w:rPr>
        <w:t xml:space="preserve">ADVANCED FEATURE ENHANCEMENTS</w:t>
      </w:r>
    </w:p>
    <w:p>
      <w:pPr>
        <w:spacing w:after="60"/>
        <w:jc w:val="center"/>
      </w:pPr>
      <w:r>
        <w:rPr>
          <w:b/>
          <w:bCs/>
          <w:color w:val="000000"/>
          <w:sz w:val="50"/>
          <w:szCs w:val="50"/>
        </w:rPr>
        <w:t xml:space="preserve">DIGITAL SHIELD (DigiShield)</w:t>
      </w:r>
    </w:p>
    <w:p>
      <w:pPr>
        <w:spacing w:after="240"/>
        <w:jc w:val="center"/>
      </w:pPr>
      <w:r>
        <w:rPr>
          <w:b/>
          <w:bCs/>
          <w:color w:val="000000"/>
          <w:sz w:val="26"/>
          <w:szCs w:val="26"/>
        </w:rPr>
        <w:t xml:space="preserve">Learning from KnowBe4 &amp; Proofpoint — localized for Vietnam</w:t>
      </w:r>
    </w:p>
    <w:p>
      <w:pPr>
        <w:spacing w:after="600"/>
        <w:jc w:val="center"/>
      </w:pPr>
      <w:r>
        <w:rPr>
          <w:i/>
          <w:iCs/>
          <w:color w:val="595959"/>
          <w:sz w:val="24"/>
          <w:szCs w:val="24"/>
        </w:rPr>
        <w:t xml:space="preserve">Extended appendix to the Product Proposal</w:t>
      </w:r>
    </w:p>
    <w:p>
      <w:pPr>
        <w:pBdr>
          <w:top w:val="single" w:color="000000" w:sz="6" w:space="8"/>
        </w:pBdr>
        <w:spacing w:after="40" w:before="200"/>
        <w:jc w:val="center"/>
      </w:pPr>
      <w:r>
        <w:rPr>
          <w:color w:val="595959"/>
          <w:sz w:val="20"/>
          <w:szCs w:val="20"/>
        </w:rPr>
        <w:t xml:space="preserve">Version 1.0 · 27/06/2026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pPr>
        <w:spacing w:after="120" w:line="278"/>
      </w:pPr>
      <w:r>
        <w:t xml:space="preserve">KnowBe4 and Proofpoint are two of the world's leading Security Awareness Training platforms. This document distills their strongest features and proposes adding them to DigiShield, with adjustments suited to the Vietnamese context (domestic fraud scenarios, deepfake voice cloning, fake brandname SMS, NCSC data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Platform</w:t>
            </w:r>
          </w:p>
        </w:tc>
        <w:tc>
          <w:tcPr>
            <w:tcW w:type="dxa" w:w="348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Notable strengths</w:t>
            </w:r>
          </w:p>
        </w:tc>
        <w:tc>
          <w:tcPr>
            <w:tcW w:type="dxa" w:w="348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Published results</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KnowBe4</w:t>
            </w:r>
          </w:p>
        </w:tc>
        <w:tc>
          <w:tcPr>
            <w:tcW w:type="dxa" w:w="34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AIDA (AI Defense Agents), PhishER/PhishML, library in 35+ languages, Smart Groups</w:t>
            </w:r>
          </w:p>
        </w:tc>
        <w:tc>
          <w:tcPr>
            <w:tcW w:type="dxa" w:w="348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Reduced average “Phish-prone” rate from 33.1% to 4.1% after 12 months</w:t>
            </w:r>
          </w:p>
        </w:tc>
      </w:tr>
      <w:tr>
        <w:tc>
          <w:tcPr>
            <w:tcW w:type="dxa" w:w="24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Proofpoint</w:t>
            </w:r>
          </w:p>
        </w:tc>
        <w:tc>
          <w:tcPr>
            <w:tcW w:type="dxa" w:w="348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Adaptive Learning Framework, threat-intelligence-driven simulation, ThreatFlip, just-in-time coaching</w:t>
            </w:r>
          </w:p>
        </w:tc>
        <w:tc>
          <w:tcPr>
            <w:tcW w:type="dxa" w:w="348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Simulations based on tens of billions of emails analyzed each day</w:t>
            </w:r>
          </w:p>
        </w:tc>
      </w:tr>
    </w:tbl>
    <w:p>
      <w:r>
        <w:br w:type="page"/>
      </w:r>
    </w:p>
    <w:p>
      <w:pPr>
        <w:pStyle w:val="Heading1"/>
      </w:pPr>
      <w:r>
        <w:t xml:space="preserve">Part A — AI &amp; automation features</w:t>
      </w:r>
    </w:p>
    <w:p>
      <w:r>
        <w:br w:type="page"/>
      </w:r>
    </w:p>
    <w:p>
      <w:pPr>
        <w:pStyle w:val="Heading1"/>
      </w:pPr>
      <w:r>
        <w:t xml:space="preserve">Part B — Training &amp; behavior features</w:t>
      </w:r>
    </w:p>
    <w:p>
      <w:r>
        <w:br w:type="page"/>
      </w:r>
    </w:p>
    <w:p>
      <w:pPr>
        <w:pStyle w:val="Heading1"/>
      </w:pPr>
      <w:r>
        <w:t xml:space="preserve">Part C — Multi-channel simulation &amp; operations</w:t>
      </w:r>
    </w:p>
    <w:p>
      <w:r>
        <w:br w:type="page"/>
      </w:r>
    </w:p>
    <w:p>
      <w:pPr>
        <w:pStyle w:val="Heading1"/>
      </w:pPr>
      <w:r>
        <w:t xml:space="preserve">Part D — Summary of additional features</w:t>
      </w:r>
    </w:p>
    <w:p>
      <w:pPr>
        <w:spacing w:after="120" w:line="278"/>
      </w:pPr>
      <w:r>
        <w:t xml:space="preserve">A quick mapping between reference features and DigiShield proposals, with suggested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300"/>
      </w:tblGrid>
      <w:tr>
        <w:tc>
          <w:tcPr>
            <w:tcW w:type="dxa" w:w="30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DigiShield feature</w:t>
            </w:r>
          </w:p>
        </w:tc>
        <w:tc>
          <w:tcPr>
            <w:tcW w:type="dxa" w:w="406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Referenced from</w:t>
            </w:r>
          </w:p>
        </w:tc>
        <w:tc>
          <w:tcPr>
            <w:tcW w:type="dxa" w:w="2300"/>
            <w:tcBorders>
              <w:top w:val="single" w:color="BFBFBF" w:sz="4"/>
              <w:left w:val="single" w:color="BFBFBF" w:sz="4"/>
              <w:bottom w:val="single" w:color="BFBFBF" w:sz="4"/>
              <w:right w:val="single" w:color="BFBFBF" w:sz="4"/>
            </w:tcBorders>
            <w:shd w:fill="ECECEC" w:val="clear"/>
            <w:tcMar>
              <w:top w:type="dxa" w:w="70"/>
              <w:left w:type="dxa" w:w="110"/>
              <w:bottom w:type="dxa" w:w="70"/>
              <w:right w:type="dxa" w:w="110"/>
            </w:tcMar>
          </w:tcPr>
          <w:p>
            <w:pPr>
              <w:spacing w:after="0" w:line="264"/>
            </w:pPr>
            <w:r>
              <w:rPr>
                <w:b/>
                <w:bCs/>
                <w:color w:val="000000"/>
              </w:rPr>
              <w:t xml:space="preserve">Priority</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AI orchestration agent</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KnowBe4 AIDA</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High (Phase 2–3)</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Automated AI phishing templates</w:t>
            </w:r>
          </w:p>
        </w:tc>
        <w:tc>
          <w:tcPr>
            <w:tcW w:type="dxa" w:w="4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KnowBe4 AI templates</w:t>
            </w:r>
          </w:p>
        </w:tc>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Medium (Phase 2)</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Automated classification of reported emails</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KnowBe4 PhishER/PhishML</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High (Phase 3)</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Turning real attacks into lessons</w:t>
            </w:r>
          </w:p>
        </w:tc>
        <w:tc>
          <w:tcPr>
            <w:tcW w:type="dxa" w:w="4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Proofpoint ThreatFlip</w:t>
            </w:r>
          </w:p>
        </w:tc>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High (Phase 3)</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Adaptive Learning Framework</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Proofpoint Adaptive Learning</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High (Phase 1–2)</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Just-in-time coaching</w:t>
            </w:r>
          </w:p>
        </w:tc>
        <w:tc>
          <w:tcPr>
            <w:tcW w:type="dxa" w:w="4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Proofpoint</w:t>
            </w:r>
          </w:p>
        </w:tc>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High (Phase 1)</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Gamification</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KnowBe4 &amp; Proofpoint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Medium (Phase 2)</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Knowledge &amp; culture assessment</w:t>
            </w:r>
          </w:p>
        </w:tc>
        <w:tc>
          <w:tcPr>
            <w:tcW w:type="dxa" w:w="4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Proofpoint assessments</w:t>
            </w:r>
          </w:p>
        </w:tc>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Medium (Phase 2)</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Multi-channel simulation + Vishing/Deepfake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Proofpoint + VN-specific</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High (Phase 2–3)</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Smart Groups</w:t>
            </w:r>
          </w:p>
        </w:tc>
        <w:tc>
          <w:tcPr>
            <w:tcW w:type="dxa" w:w="4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KnowBe4 Smart Groups</w:t>
            </w:r>
          </w:p>
        </w:tc>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Medium (Phase 2)</w:t>
            </w:r>
          </w:p>
        </w:tc>
      </w:tr>
      <w:t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bCs/>
              </w:rPr>
              <w:t xml:space="preserve">Benchmarking &amp; risk metrics</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KnowBe4 Phish-prone %</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rPr>
              <w:t xml:space="preserve">Medium (Phase 2)</w:t>
            </w:r>
          </w:p>
        </w:tc>
      </w:tr>
      <w:t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bCs/>
              </w:rPr>
              <w:t xml:space="preserve">Compliance &amp; audit reporting</w:t>
            </w:r>
          </w:p>
        </w:tc>
        <w:tc>
          <w:tcPr>
            <w:tcW w:type="dxa" w:w="406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KnowBe4 &amp; Proofpoint</w:t>
            </w:r>
          </w:p>
        </w:tc>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line="264"/>
            </w:pPr>
            <w:r>
              <w:rPr>
                <w:b w:val="false"/>
                <w:bCs w:val="false"/>
              </w:rPr>
              <w:t xml:space="preserve">High (Phase 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110"/>
              <w:left w:type="dxa" w:w="160"/>
              <w:bottom w:type="dxa" w:w="110"/>
              <w:right w:type="dxa" w:w="140"/>
            </w:tcMar>
          </w:tcPr>
          <w:p>
            <w:pPr>
              <w:spacing w:after="60"/>
            </w:pPr>
            <w:r>
              <w:rPr>
                <w:b/>
                <w:bCs/>
                <w:color w:val="000000"/>
              </w:rPr>
              <w:t xml:space="preserve">DigiShield's enduring differentiators</w:t>
            </w:r>
          </w:p>
          <w:p>
            <w:pPr>
              <w:pStyle w:val="ListParagraph"/>
              <w:numPr>
                <w:ilvl w:val="0"/>
                <w:numId w:val="2"/>
              </w:numPr>
              <w:spacing w:after="40" w:line="264"/>
            </w:pPr>
            <w:r>
              <w:t xml:space="preserve">Vishing/Deepfake simulation with Vietnamese voice cloning — something international platforms have not done well for the VN context.</w:t>
            </w:r>
          </w:p>
          <w:p>
            <w:pPr>
              <w:pStyle w:val="ListParagraph"/>
              <w:numPr>
                <w:ilvl w:val="0"/>
                <w:numId w:val="2"/>
              </w:numPr>
              <w:spacing w:after="40" w:line="264"/>
            </w:pPr>
            <w:r>
              <w:t xml:space="preserve">Integration of warning data from Vietnamese authorities (NCSC, Ministry of Public Security).</w:t>
            </w:r>
          </w:p>
          <w:p>
            <w:pPr>
              <w:pStyle w:val="ListParagraph"/>
              <w:numPr>
                <w:ilvl w:val="0"/>
                <w:numId w:val="2"/>
              </w:numPr>
              <w:spacing w:after="40" w:line="264"/>
            </w:pPr>
            <w:r>
              <w:t xml:space="preserve">Dedicated packages &amp; simple language for the education and government sectors.</w:t>
            </w:r>
          </w:p>
          <w:p>
            <w:pPr>
              <w:pStyle w:val="ListParagraph"/>
              <w:numPr>
                <w:ilvl w:val="0"/>
                <w:numId w:val="2"/>
              </w:numPr>
              <w:spacing w:after="40" w:line="264"/>
            </w:pPr>
            <w:r>
              <w:t xml:space="preserve">In-country / on-premise data storage option to meet data-sovereignty requirements.</w:t>
            </w:r>
          </w:p>
        </w:tc>
      </w:tr>
    </w:tbl>
    <w:p>
      <w:pPr>
        <w:pStyle w:val="Heading1"/>
      </w:pPr>
      <w:r>
        <w:t xml:space="preserve">References</w:t>
      </w:r>
    </w:p>
    <w:p>
      <w:pPr>
        <w:pStyle w:val="ListParagraph"/>
        <w:numPr>
          <w:ilvl w:val="0"/>
          <w:numId w:val="3"/>
        </w:numPr>
        <w:spacing w:after="80"/>
      </w:pPr>
      <w:r>
        <w:t xml:space="preserve">KnowBe4 – Security Awareness Training Features — </w:t>
      </w:r>
      <w:hyperlink w:history="1" r:id="rIdpg87pclrvig-mc1sbg7sl">
        <w:r>
          <w:rPr>
            <w:color w:val="000000"/>
            <w:sz w:val="18"/>
            <w:szCs w:val="18"/>
            <w:u w:val="single"/>
          </w:rPr>
          <w:t xml:space="preserve">https://www.knowbe4.com/products/security-awareness-training/features</w:t>
        </w:r>
      </w:hyperlink>
    </w:p>
    <w:p>
      <w:pPr>
        <w:pStyle w:val="ListParagraph"/>
        <w:numPr>
          <w:ilvl w:val="0"/>
          <w:numId w:val="3"/>
        </w:numPr>
        <w:spacing w:after="80"/>
      </w:pPr>
      <w:r>
        <w:t xml:space="preserve">KnowBe4 – AIDA: AI Defense Agents for Cybersecurity — </w:t>
      </w:r>
      <w:hyperlink w:history="1" r:id="rIdyweuakxfarimvwps6etff">
        <w:r>
          <w:rPr>
            <w:color w:val="000000"/>
            <w:sz w:val="18"/>
            <w:szCs w:val="18"/>
            <w:u w:val="single"/>
          </w:rPr>
          <w:t xml:space="preserve">https://www.knowbe4.com/products/aida</w:t>
        </w:r>
      </w:hyperlink>
    </w:p>
    <w:p>
      <w:pPr>
        <w:pStyle w:val="ListParagraph"/>
        <w:numPr>
          <w:ilvl w:val="0"/>
          <w:numId w:val="3"/>
        </w:numPr>
        <w:spacing w:after="80"/>
      </w:pPr>
      <w:r>
        <w:t xml:space="preserve">Proofpoint – Security Awareness Training (Mitigate Human Risk) — </w:t>
      </w:r>
      <w:hyperlink w:history="1" r:id="rIdkhu-vd6p-3oj6w7-mifim">
        <w:r>
          <w:rPr>
            <w:color w:val="000000"/>
            <w:sz w:val="18"/>
            <w:szCs w:val="18"/>
            <w:u w:val="single"/>
          </w:rPr>
          <w:t xml:space="preserve">https://www.proofpoint.com/us/products/mitigate-human-risk</w:t>
        </w:r>
      </w:hyperlink>
    </w:p>
    <w:p>
      <w:pPr>
        <w:pStyle w:val="ListParagraph"/>
        <w:numPr>
          <w:ilvl w:val="0"/>
          <w:numId w:val="3"/>
        </w:numPr>
        <w:spacing w:after="80"/>
      </w:pPr>
      <w:r>
        <w:t xml:space="preserve">Proofpoint – Adaptive Learning Framework — </w:t>
      </w:r>
      <w:hyperlink w:history="1" r:id="rIdi3vinuooyxfedqufsl3be">
        <w:r>
          <w:rPr>
            <w:color w:val="000000"/>
            <w:sz w:val="18"/>
            <w:szCs w:val="18"/>
            <w:u w:val="single"/>
          </w:rPr>
          <w:t xml:space="preserve">https://www.proofpoint.com/us/blog/security-awareness-training/adaptive-learning-framework-security-awareness-training</w:t>
        </w:r>
      </w:hyperlink>
    </w:p>
    <w:p>
      <w:pPr>
        <w:pStyle w:val="ListParagraph"/>
        <w:numPr>
          <w:ilvl w:val="0"/>
          <w:numId w:val="3"/>
        </w:numPr>
        <w:spacing w:after="80"/>
      </w:pPr>
      <w:r>
        <w:t xml:space="preserve">Proofpoint – Phishing Simulations, Assessments &amp; Tests — </w:t>
      </w:r>
      <w:hyperlink w:history="1" r:id="rIdpk2qjjelqmlgucdh57dsa">
        <w:r>
          <w:rPr>
            <w:color w:val="000000"/>
            <w:sz w:val="18"/>
            <w:szCs w:val="18"/>
            <w:u w:val="single"/>
          </w:rPr>
          <w:t xml:space="preserve">https://www.proofpoint.com/us/products/security-awareness-training/phishing-simulations</w:t>
        </w:r>
      </w:hyperlink>
    </w:p>
    <w:p>
      <w:pPr>
        <w:spacing w:before="240"/>
      </w:pPr>
      <w:r>
        <w:rPr>
          <w:i/>
          <w:iCs/>
          <w:color w:val="595959"/>
          <w:sz w:val="20"/>
          <w:szCs w:val="20"/>
        </w:rPr>
        <w:t xml:space="preserve">Note: The feature names of KnowBe4 and Proofpoint belong to the respective companies and are cited here for reference only. DigiShield builds equivalent capabilities in its own way and in compliance with Vietnamese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 Shield · Advanced features appendix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pPr>
    <w:r>
      <w:rPr>
        <w:color w:val="808080"/>
        <w:sz w:val="16"/>
        <w:szCs w:val="16"/>
      </w:rPr>
      <w:t xml:space="preserve">DigiShield — Feature enhancements (reference: KnowBe4 &amp; Proofpoint)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4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g87pclrvig-mc1sbg7sl" Type="http://schemas.openxmlformats.org/officeDocument/2006/relationships/hyperlink" Target="https://www.knowbe4.com/products/security-awareness-training/features" TargetMode="External"/><Relationship Id="rIdyweuakxfarimvwps6etff" Type="http://schemas.openxmlformats.org/officeDocument/2006/relationships/hyperlink" Target="https://www.knowbe4.com/products/aida" TargetMode="External"/><Relationship Id="rIdkhu-vd6p-3oj6w7-mifim" Type="http://schemas.openxmlformats.org/officeDocument/2006/relationships/hyperlink" Target="https://www.proofpoint.com/us/products/mitigate-human-risk" TargetMode="External"/><Relationship Id="rIdi3vinuooyxfedqufsl3be" Type="http://schemas.openxmlformats.org/officeDocument/2006/relationships/hyperlink" Target="https://www.proofpoint.com/us/blog/security-awareness-training/adaptive-learning-framework-security-awareness-training" TargetMode="External"/><Relationship Id="rIdpk2qjjelqmlgucdh57dsa" Type="http://schemas.openxmlformats.org/officeDocument/2006/relationships/hyperlink" Target="https://www.proofpoint.com/us/products/security-awareness-training/phishing-simulation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2026-06-27T04:35:45.614Z</dcterms:created>
  <dcterms:modified xsi:type="dcterms:W3CDTF">2026-06-27T04:35:45.614Z</dcterms:modified>
</cp:coreProperties>
</file>

<file path=docProps/custom.xml><?xml version="1.0" encoding="utf-8"?>
<Properties xmlns="http://schemas.openxmlformats.org/officeDocument/2006/custom-properties" xmlns:vt="http://schemas.openxmlformats.org/officeDocument/2006/docPropsVTypes"/>
</file>