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000000"/>
          <w:sz w:val="26"/>
          <w:szCs w:val="26"/>
        </w:rPr>
        <w:t xml:space="preserve">PRODUCT PROPOSAL</w:t>
      </w:r>
    </w:p>
    <w:p>
      <w:pPr>
        <w:spacing w:after="60"/>
        <w:jc w:val="center"/>
      </w:pPr>
      <w:r>
        <w:rPr>
          <w:b/>
          <w:bCs/>
          <w:color w:val="000000"/>
          <w:sz w:val="54"/>
          <w:szCs w:val="54"/>
        </w:rPr>
        <w:t xml:space="preserve">DIGITAL SHIELD (DigiShield)</w:t>
      </w:r>
    </w:p>
    <w:p>
      <w:pPr>
        <w:spacing w:after="240"/>
        <w:jc w:val="center"/>
      </w:pPr>
      <w:r>
        <w:rPr>
          <w:b/>
          <w:bCs/>
          <w:color w:val="000000"/>
          <w:sz w:val="28"/>
          <w:szCs w:val="28"/>
        </w:rPr>
        <w:t xml:space="preserve">A platform to prevent, train against and warn about online fraud in cyberspace</w:t>
      </w:r>
    </w:p>
    <w:p>
      <w:pPr>
        <w:spacing w:after="600"/>
        <w:jc w:val="center"/>
      </w:pPr>
      <w:r>
        <w:rPr>
          <w:i/>
          <w:iCs/>
          <w:color w:val="595959"/>
          <w:sz w:val="24"/>
          <w:szCs w:val="24"/>
        </w:rPr>
        <w:t xml:space="preserve">For Enterprises · Government Agencies · Schools</w:t>
      </w:r>
    </w:p>
    <w:p>
      <w:pPr>
        <w:pBdr>
          <w:top w:val="single" w:color="000000" w:sz="6" w:space="8"/>
        </w:pBdr>
        <w:spacing w:after="40" w:before="200"/>
        <w:jc w:val="center"/>
      </w:pPr>
      <w:r>
        <w:rPr>
          <w:sz w:val="22"/>
          <w:szCs w:val="22"/>
        </w:rPr>
        <w:t xml:space="preserve">Product Proposal document</w:t>
      </w:r>
    </w:p>
    <w:p>
      <w:pPr>
        <w:jc w:val="center"/>
      </w:pPr>
      <w:r>
        <w:rPr>
          <w:color w:val="595959"/>
          <w:sz w:val="20"/>
          <w:szCs w:val="20"/>
        </w:rPr>
        <w:t xml:space="preserve">Version 1.0 · 27/06/2026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8"/>
      </w:pPr>
      <w:r>
        <w:t xml:space="preserve">Online fraud in Vietnam caused losses of more than VND 6,000 billion in just the first 11 months of 2025, with tactics growing ever more sophisticated thanks to AI and deepfake. The weakest link in any organization is not technology but people: an employee who clicks the wrong link, an officer who transfers money on a forged executive's order, a student who pays a “scholarship-holding fee.”</w:t>
      </w:r>
    </w:p>
    <w:p>
      <w:pPr>
        <w:spacing w:after="120" w:line="278"/>
      </w:pPr>
      <w:r>
        <w:t xml:space="preserve">DigiShield is a SaaS platform that unifies three currently disconnected tasks — awareness training, simulated attack exercises, and fraud intake/alerting — into a single management dashboard. The product helps organizations measure human risk, reduce the “fall-for-it” rate, and meet information-security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10"/>
              <w:left w:type="dxa" w:w="160"/>
              <w:bottom w:type="dxa" w:w="110"/>
              <w:right w:type="dxa" w:w="140"/>
            </w:tcMar>
          </w:tcPr>
          <w:p>
            <w:pPr>
              <w:spacing w:after="60"/>
            </w:pPr>
            <w:r>
              <w:rPr>
                <w:b/>
                <w:bCs/>
                <w:color w:val="000000"/>
              </w:rPr>
              <w:t xml:space="preserve">Core value in one sentence</w:t>
            </w:r>
          </w:p>
          <w:p>
            <w:pPr>
              <w:pStyle w:val="ListParagraph"/>
              <w:numPr>
                <w:ilvl w:val="0"/>
                <w:numId w:val="2"/>
              </w:numPr>
              <w:spacing w:after="40" w:line="264"/>
            </w:pPr>
            <w:r>
              <w:t xml:space="preserve">Turn cybersecurity awareness from a slogan into a measurable metric — one that decreases over time.</w:t>
            </w:r>
          </w:p>
        </w:tc>
      </w:tr>
    </w:tbl>
    <w:p>
      <w:pPr>
        <w:pStyle w:val="Heading1"/>
      </w:pPr>
      <w:r>
        <w:t xml:space="preserve">2. Problem &amp; market opportunity</w:t>
      </w:r>
    </w:p>
    <w:p>
      <w:pPr>
        <w:pStyle w:val="Heading2"/>
      </w:pPr>
      <w:r>
        <w:t xml:space="preserve">2.1. Problem</w:t>
      </w:r>
    </w:p>
    <w:p>
      <w:pPr>
        <w:pStyle w:val="ListParagraph"/>
        <w:numPr>
          <w:ilvl w:val="0"/>
          <w:numId w:val="2"/>
        </w:numPr>
        <w:spacing w:after="60" w:line="270"/>
      </w:pPr>
      <w:r>
        <w:rPr>
          <w:b/>
          <w:bCs/>
        </w:rPr>
        <w:t xml:space="preserve">Disconnected, one-way training: </w:t>
      </w:r>
      <w:r>
        <w:t xml:space="preserve">organizations send out warning notices but cannot verify whether employees are actually vigilant.</w:t>
      </w:r>
    </w:p>
    <w:p>
      <w:pPr>
        <w:pStyle w:val="ListParagraph"/>
        <w:numPr>
          <w:ilvl w:val="0"/>
          <w:numId w:val="2"/>
        </w:numPr>
        <w:spacing w:after="60" w:line="270"/>
      </w:pPr>
      <w:r>
        <w:rPr>
          <w:b/>
          <w:bCs/>
        </w:rPr>
        <w:t xml:space="preserve">No measurement data: </w:t>
      </w:r>
      <w:r>
        <w:t xml:space="preserve">leaders do not know which department/class is high-risk or who needs retraining.</w:t>
      </w:r>
    </w:p>
    <w:p>
      <w:pPr>
        <w:pStyle w:val="ListParagraph"/>
        <w:numPr>
          <w:ilvl w:val="0"/>
          <w:numId w:val="2"/>
        </w:numPr>
        <w:spacing w:after="60" w:line="270"/>
      </w:pPr>
      <w:r>
        <w:rPr>
          <w:b/>
          <w:bCs/>
        </w:rPr>
        <w:t xml:space="preserve">Slow response: </w:t>
      </w:r>
      <w:r>
        <w:t xml:space="preserve">when a member spots a fraudulent email/SMS, there is no fast reporting channel to alert the whole organization.</w:t>
      </w:r>
    </w:p>
    <w:p>
      <w:pPr>
        <w:pStyle w:val="ListParagraph"/>
        <w:numPr>
          <w:ilvl w:val="0"/>
          <w:numId w:val="2"/>
        </w:numPr>
        <w:spacing w:after="60" w:line="270"/>
      </w:pPr>
      <w:r>
        <w:rPr>
          <w:b/>
          <w:bCs/>
        </w:rPr>
        <w:t xml:space="preserve">Imported content that doesn't fit: </w:t>
      </w:r>
      <w:r>
        <w:t xml:space="preserve">foreign platforms lack Vietnamese scenarios (police impersonation, fake brandname SMS, online collaborator recruitment, etc.).</w:t>
      </w:r>
    </w:p>
    <w:p>
      <w:pPr>
        <w:pStyle w:val="Heading2"/>
      </w:pPr>
      <w:r>
        <w:t xml:space="preserve">2.2. Opportunity</w:t>
      </w:r>
    </w:p>
    <w:p>
      <w:pPr>
        <w:spacing w:after="120" w:line="278"/>
      </w:pPr>
      <w:r>
        <w:t xml:space="preserve">Decrees on personal data protection and information-security regulations are tightening, creating demand for compliance. Three customer groups have clear but distinct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Segment</w:t>
            </w:r>
          </w:p>
        </w:tc>
        <w:tc>
          <w:tcPr>
            <w:tcW w:type="dxa" w:w="726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Specific needs</w:t>
            </w:r>
          </w:p>
        </w:tc>
      </w:tr>
      <w:tr>
        <w:tc>
          <w:tcPr>
            <w:tcW w:type="dxa" w:w="2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Enterprises</w:t>
            </w:r>
          </w:p>
        </w:tc>
        <w:tc>
          <w:tcPr>
            <w:tcW w:type="dxa" w:w="7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Prevent transfer fraud (BEC), protect accounts &amp; customers, satisfy ISO 27001 audit/compliance.</w:t>
            </w:r>
          </w:p>
        </w:tc>
      </w:tr>
      <w:tr>
        <w:tc>
          <w:tcPr>
            <w:tcW w:type="dxa" w:w="21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Government agencies</w:t>
            </w:r>
          </w:p>
        </w:tc>
        <w:tc>
          <w:tcPr>
            <w:tcW w:type="dxa" w:w="72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Protect public-facing officers and citizen data; large-scale awareness campaigns; reporting to superiors.</w:t>
            </w:r>
          </w:p>
        </w:tc>
      </w:tr>
      <w:tr>
        <w:tc>
          <w:tcPr>
            <w:tcW w:type="dxa" w:w="2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Schools</w:t>
            </w:r>
          </w:p>
        </w:tc>
        <w:tc>
          <w:tcPr>
            <w:tcW w:type="dxa" w:w="7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Protect students &amp; parents from scholarship/collaborator scams; simple, accessible content; large-scale rollout.</w:t>
            </w:r>
          </w:p>
        </w:tc>
      </w:tr>
    </w:tbl>
    <w:p>
      <w:r>
        <w:br w:type="page"/>
      </w:r>
    </w:p>
    <w:p>
      <w:pPr>
        <w:pStyle w:val="Heading1"/>
      </w:pPr>
      <w:r>
        <w:t xml:space="preserve">3. Solution: 4 core modules</w:t>
      </w:r>
    </w:p>
    <w:p>
      <w:pPr>
        <w:spacing w:after="120" w:line="278"/>
      </w:pPr>
      <w:r>
        <w:t xml:space="preserve">DigiShield runs as a closed loop: Train → Simulate → Report → Measure → back to Training for high-risk targets.</w:t>
      </w:r>
    </w:p>
    <w:p>
      <w:pPr>
        <w:pStyle w:val="Heading2"/>
      </w:pPr>
      <w:r>
        <w:t xml:space="preserve">3.1. Learn — Awareness training</w:t>
      </w:r>
    </w:p>
    <w:p>
      <w:pPr>
        <w:pStyle w:val="ListParagraph"/>
        <w:numPr>
          <w:ilvl w:val="0"/>
          <w:numId w:val="2"/>
        </w:numPr>
        <w:spacing w:after="60" w:line="270"/>
      </w:pPr>
      <w:r>
        <w:t xml:space="preserve">A library of micro-learning lessons (3–5 minutes) for each real-world fraud scenario in Vietnam.</w:t>
      </w:r>
    </w:p>
    <w:p>
      <w:pPr>
        <w:pStyle w:val="ListParagraph"/>
        <w:numPr>
          <w:ilvl w:val="0"/>
          <w:numId w:val="2"/>
        </w:numPr>
        <w:spacing w:after="60" w:line="270"/>
      </w:pPr>
      <w:r>
        <w:t xml:space="preserve">Branching paths by role: office staff, accounting/finance (anti-BEC), public-facing officers, students, parents.</w:t>
      </w:r>
    </w:p>
    <w:p>
      <w:pPr>
        <w:pStyle w:val="ListParagraph"/>
        <w:numPr>
          <w:ilvl w:val="0"/>
          <w:numId w:val="2"/>
        </w:numPr>
        <w:spacing w:after="60" w:line="270"/>
      </w:pPr>
      <w:r>
        <w:t xml:space="preserve">Interactive quizzes, completion certificates, automatic reminders when retraining is due.</w:t>
      </w:r>
    </w:p>
    <w:p>
      <w:pPr>
        <w:pStyle w:val="Heading2"/>
      </w:pPr>
      <w:r>
        <w:t xml:space="preserve">3.2. Simulate — Simulated attack exercises</w:t>
      </w:r>
    </w:p>
    <w:p>
      <w:pPr>
        <w:pStyle w:val="ListParagraph"/>
        <w:numPr>
          <w:ilvl w:val="0"/>
          <w:numId w:val="2"/>
        </w:numPr>
        <w:spacing w:after="60" w:line="270"/>
      </w:pPr>
      <w:r>
        <w:t xml:space="preserve">Administrators launch simulated phishing/smishing campaigns (email &amp; SMS) chosen from a template library.</w:t>
      </w:r>
    </w:p>
    <w:p>
      <w:pPr>
        <w:pStyle w:val="ListParagraph"/>
        <w:numPr>
          <w:ilvl w:val="0"/>
          <w:numId w:val="2"/>
        </w:numPr>
        <w:spacing w:after="60" w:line="270"/>
      </w:pPr>
      <w:r>
        <w:t xml:space="preserve">The system records who opens, who clicks a link, who enters information — not to punish, but to automatically assign suitable lessons.</w:t>
      </w:r>
    </w:p>
    <w:p>
      <w:pPr>
        <w:pStyle w:val="ListParagraph"/>
        <w:numPr>
          <w:ilvl w:val="0"/>
          <w:numId w:val="2"/>
        </w:numPr>
        <w:spacing w:after="60" w:line="270"/>
      </w:pPr>
      <w:r>
        <w:t xml:space="preserve">Customizable difficulty over time to continually raise the organization's “resistance.”</w:t>
      </w:r>
    </w:p>
    <w:p>
      <w:pPr>
        <w:pStyle w:val="Heading2"/>
      </w:pPr>
      <w:r>
        <w:t xml:space="preserve">3.3. Report &amp; Alert — Real-time reporting &amp; alerting</w:t>
      </w:r>
    </w:p>
    <w:p>
      <w:pPr>
        <w:pStyle w:val="ListParagraph"/>
        <w:numPr>
          <w:ilvl w:val="0"/>
          <w:numId w:val="2"/>
        </w:numPr>
        <w:spacing w:after="60" w:line="270"/>
      </w:pPr>
      <w:r>
        <w:t xml:space="preserve">A “Report fraud” button (browser extension/email plugin) lets any member submit a suspicious link/image with a single click.</w:t>
      </w:r>
    </w:p>
    <w:p>
      <w:pPr>
        <w:pStyle w:val="ListParagraph"/>
        <w:numPr>
          <w:ilvl w:val="0"/>
          <w:numId w:val="2"/>
        </w:numPr>
        <w:spacing w:after="60" w:line="270"/>
      </w:pPr>
      <w:r>
        <w:t xml:space="preserve">Automatic cross-checking against a blacklist integrating warning data from NCSC / chongluadao.vn.</w:t>
      </w:r>
    </w:p>
    <w:p>
      <w:pPr>
        <w:pStyle w:val="ListParagraph"/>
        <w:numPr>
          <w:ilvl w:val="0"/>
          <w:numId w:val="2"/>
        </w:numPr>
        <w:spacing w:after="60" w:line="270"/>
      </w:pPr>
      <w:r>
        <w:t xml:space="preserve">Real-time organization-wide alerts when a fraud campaign targeting the unit is detected.</w:t>
      </w:r>
    </w:p>
    <w:p>
      <w:pPr>
        <w:pStyle w:val="Heading2"/>
      </w:pPr>
      <w:r>
        <w:t xml:space="preserve">3.4. Measure — Management dashboard</w:t>
      </w:r>
    </w:p>
    <w:p>
      <w:pPr>
        <w:pStyle w:val="ListParagraph"/>
        <w:numPr>
          <w:ilvl w:val="0"/>
          <w:numId w:val="2"/>
        </w:numPr>
        <w:spacing w:after="60" w:line="270"/>
      </w:pPr>
      <w:r>
        <w:t xml:space="preserve">Risk Score by department/class/individual, updated over time.</w:t>
      </w:r>
    </w:p>
    <w:p>
      <w:pPr>
        <w:pStyle w:val="ListParagraph"/>
        <w:numPr>
          <w:ilvl w:val="0"/>
          <w:numId w:val="2"/>
        </w:numPr>
        <w:spacing w:after="60" w:line="270"/>
      </w:pPr>
      <w:r>
        <w:t xml:space="preserve">Training completion rates, “fall-for-it” rates across exercises, trend charts.</w:t>
      </w:r>
    </w:p>
    <w:p>
      <w:pPr>
        <w:pStyle w:val="ListParagraph"/>
        <w:numPr>
          <w:ilvl w:val="0"/>
          <w:numId w:val="2"/>
        </w:numPr>
        <w:spacing w:after="60" w:line="270"/>
      </w:pPr>
      <w:r>
        <w:t xml:space="preserve">Exportable PDF reports for audit, compliance and reporting to superiors.</w:t>
      </w:r>
    </w:p>
    <w:p>
      <w:r>
        <w:br w:type="page"/>
      </w:r>
    </w:p>
    <w:p>
      <w:pPr>
        <w:pStyle w:val="Heading1"/>
      </w:pPr>
      <w:r>
        <w:t xml:space="preserve">4. Competitive differentiation</w:t>
      </w:r>
    </w:p>
    <w:p>
      <w:pPr>
        <w:spacing w:after="120" w:line="278"/>
      </w:pPr>
      <w:r>
        <w:t xml:space="preserve">Compared with international platforms (KnowBe4, Proofpoint, Cofense), DigiShield is positioned through deep localization and a model suited to Vietnam's public/education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Criterion</w:t>
            </w:r>
          </w:p>
        </w:tc>
        <w:tc>
          <w:tcPr>
            <w:tcW w:type="dxa" w:w="318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Foreign platforms</w:t>
            </w:r>
          </w:p>
        </w:tc>
        <w:tc>
          <w:tcPr>
            <w:tcW w:type="dxa" w:w="318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DigiShield</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Scenario content</w:t>
            </w:r>
          </w:p>
        </w:tc>
        <w:tc>
          <w:tcPr>
            <w:tcW w:type="dxa" w:w="31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Generic, Western context</w:t>
            </w:r>
          </w:p>
        </w:tc>
        <w:tc>
          <w:tcPr>
            <w:tcW w:type="dxa" w:w="31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Localized to domestic scenarios (police impersonation, brandname SMS, online collaborators, etc.)</w:t>
            </w:r>
          </w:p>
        </w:tc>
      </w:tr>
      <w:tr>
        <w:tc>
          <w:tcPr>
            <w:tcW w:type="dxa" w:w="30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Warning data</w:t>
            </w:r>
          </w:p>
        </w:tc>
        <w:tc>
          <w:tcPr>
            <w:tcW w:type="dxa" w:w="318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International sources</w:t>
            </w:r>
          </w:p>
        </w:tc>
        <w:tc>
          <w:tcPr>
            <w:tcW w:type="dxa" w:w="318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Integrates NCSC / chongluadao.vn, updated with Ministry of Public Security alerts</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Government/education sector</w:t>
            </w:r>
          </w:p>
        </w:tc>
        <w:tc>
          <w:tcPr>
            <w:tcW w:type="dxa" w:w="31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High prices, few suitable plans</w:t>
            </w:r>
          </w:p>
        </w:tc>
        <w:tc>
          <w:tcPr>
            <w:tcW w:type="dxa" w:w="31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Dedicated plans, simple language, large-scale rollout</w:t>
            </w:r>
          </w:p>
        </w:tc>
      </w:tr>
      <w:tr>
        <w:tc>
          <w:tcPr>
            <w:tcW w:type="dxa" w:w="30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Support &amp; deployment</w:t>
            </w:r>
          </w:p>
        </w:tc>
        <w:tc>
          <w:tcPr>
            <w:tcW w:type="dxa" w:w="318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Limited Vietnamese support</w:t>
            </w:r>
          </w:p>
        </w:tc>
        <w:tc>
          <w:tcPr>
            <w:tcW w:type="dxa" w:w="318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Local team, Vietnamese-language support, compliance with Vietnamese law</w:t>
            </w:r>
          </w:p>
        </w:tc>
      </w:tr>
    </w:tbl>
    <w:p>
      <w:pPr>
        <w:pStyle w:val="Heading1"/>
      </w:pPr>
      <w:r>
        <w:t xml:space="preserve">5. Proposed architecture &amp; technology</w:t>
      </w:r>
    </w:p>
    <w:p>
      <w:pPr>
        <w:pStyle w:val="ListParagraph"/>
        <w:numPr>
          <w:ilvl w:val="0"/>
          <w:numId w:val="2"/>
        </w:numPr>
        <w:spacing w:after="60" w:line="270"/>
      </w:pPr>
      <w:r>
        <w:rPr>
          <w:b/>
          <w:bCs/>
        </w:rPr>
        <w:t xml:space="preserve">Frontend: </w:t>
      </w:r>
      <w:r>
        <w:t xml:space="preserve">Next.js/React, responsive design, Vietnamese support; reporting utility as a browser extension / Outlook add-in.</w:t>
      </w:r>
    </w:p>
    <w:p>
      <w:pPr>
        <w:pStyle w:val="ListParagraph"/>
        <w:numPr>
          <w:ilvl w:val="0"/>
          <w:numId w:val="2"/>
        </w:numPr>
        <w:spacing w:after="60" w:line="270"/>
      </w:pPr>
      <w:r>
        <w:rPr>
          <w:b/>
          <w:bCs/>
        </w:rPr>
        <w:t xml:space="preserve">Backend: </w:t>
      </w:r>
      <w:r>
        <w:t xml:space="preserve">Node.js (NestJS) or Go, REST/GraphQL API; queue for processing email/SMS campaigns.</w:t>
      </w:r>
    </w:p>
    <w:p>
      <w:pPr>
        <w:pStyle w:val="ListParagraph"/>
        <w:numPr>
          <w:ilvl w:val="0"/>
          <w:numId w:val="2"/>
        </w:numPr>
        <w:spacing w:after="60" w:line="270"/>
      </w:pPr>
      <w:r>
        <w:rPr>
          <w:b/>
          <w:bCs/>
        </w:rPr>
        <w:t xml:space="preserve">Database: </w:t>
      </w:r>
      <w:r>
        <w:t xml:space="preserve">PostgreSQL (business data) + Redis (cache, queue); storage isolated per organization (multi-tenant).</w:t>
      </w:r>
    </w:p>
    <w:p>
      <w:pPr>
        <w:pStyle w:val="ListParagraph"/>
        <w:numPr>
          <w:ilvl w:val="0"/>
          <w:numId w:val="2"/>
        </w:numPr>
        <w:spacing w:after="60" w:line="270"/>
      </w:pPr>
      <w:r>
        <w:rPr>
          <w:b/>
          <w:bCs/>
        </w:rPr>
        <w:t xml:space="preserve">Integration: </w:t>
      </w:r>
      <w:r>
        <w:t xml:space="preserve">SSO/SAML/OAuth (Microsoft Entra, Google Workspace) for enterprises &amp; government; brandname SMS gateway; blacklist API.</w:t>
      </w:r>
    </w:p>
    <w:p>
      <w:pPr>
        <w:pStyle w:val="ListParagraph"/>
        <w:numPr>
          <w:ilvl w:val="0"/>
          <w:numId w:val="2"/>
        </w:numPr>
        <w:spacing w:after="60" w:line="270"/>
      </w:pPr>
      <w:r>
        <w:rPr>
          <w:b/>
          <w:bCs/>
        </w:rPr>
        <w:t xml:space="preserve">Security &amp; compliance: </w:t>
      </w:r>
      <w:r>
        <w:t xml:space="preserve">data encryption, role-based access control (RBAC), audit logs, in-country data storage per regulations.</w:t>
      </w:r>
    </w:p>
    <w:p>
      <w:pPr>
        <w:pStyle w:val="ListParagraph"/>
        <w:numPr>
          <w:ilvl w:val="0"/>
          <w:numId w:val="2"/>
        </w:numPr>
        <w:spacing w:after="60" w:line="270"/>
      </w:pPr>
      <w:r>
        <w:rPr>
          <w:b/>
          <w:bCs/>
        </w:rPr>
        <w:t xml:space="preserve">Infrastructure: </w:t>
      </w:r>
      <w:r>
        <w:t xml:space="preserve">in-country cloud deployment or on-premise for government agencies with high data-sovereignty requirements.</w:t>
      </w:r>
    </w:p>
    <w:p>
      <w:r>
        <w:br w:type="page"/>
      </w:r>
    </w:p>
    <w:p>
      <w:pPr>
        <w:pStyle w:val="Heading1"/>
      </w:pPr>
      <w:r>
        <w:t xml:space="preserve">6.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560"/>
      </w:tblGrid>
      <w:tr>
        <w:tc>
          <w:tcPr>
            <w:tcW w:type="dxa" w:w="17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Phase</w:t>
            </w:r>
          </w:p>
        </w:tc>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Timeline</w:t>
            </w:r>
          </w:p>
        </w:tc>
        <w:tc>
          <w:tcPr>
            <w:tcW w:type="dxa" w:w="556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Goals &amp; deliverables</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Phase 1 — MVP</w:t>
            </w:r>
          </w:p>
        </w:tc>
        <w:tc>
          <w:tcPr>
            <w:tcW w:type="dxa" w:w="2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Months 1–3</w:t>
            </w:r>
          </w:p>
        </w:tc>
        <w:tc>
          <w:tcPr>
            <w:tcW w:type="dxa" w:w="5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Basic Learn + Measure modules, a library of 10 lessons, dashboard. Pilot with 1–2 customers.</w:t>
            </w:r>
          </w:p>
        </w:tc>
      </w:tr>
      <w:tr>
        <w:tc>
          <w:tcPr>
            <w:tcW w:type="dxa" w:w="17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Phase 2</w:t>
            </w:r>
          </w:p>
        </w:tc>
        <w:tc>
          <w:tcPr>
            <w:tcW w:type="dxa" w:w="21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Months 4–6</w:t>
            </w:r>
          </w:p>
        </w:tc>
        <w:tc>
          <w:tcPr>
            <w:tcW w:type="dxa" w:w="55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Simulate module (phishing/smishing simulation), SSO integration, certificate issuance.</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Phase 3</w:t>
            </w:r>
          </w:p>
        </w:tc>
        <w:tc>
          <w:tcPr>
            <w:tcW w:type="dxa" w:w="2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Months 7–9</w:t>
            </w:r>
          </w:p>
        </w:tc>
        <w:tc>
          <w:tcPr>
            <w:tcW w:type="dxa" w:w="5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Report &amp; Alert module, NCSC blacklist integration, browser reporting utility.</w:t>
            </w:r>
          </w:p>
        </w:tc>
      </w:tr>
      <w:tr>
        <w:tc>
          <w:tcPr>
            <w:tcW w:type="dxa" w:w="17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Phase 4</w:t>
            </w:r>
          </w:p>
        </w:tc>
        <w:tc>
          <w:tcPr>
            <w:tcW w:type="dxa" w:w="21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Months 10–12</w:t>
            </w:r>
          </w:p>
        </w:tc>
        <w:tc>
          <w:tcPr>
            <w:tcW w:type="dxa" w:w="55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Dedicated packages for schools/government, compliance reporting, commercial expansion.</w:t>
            </w:r>
          </w:p>
        </w:tc>
      </w:tr>
    </w:tbl>
    <w:p>
      <w:pPr>
        <w:pStyle w:val="Heading1"/>
      </w:pPr>
      <w:r>
        <w:t xml:space="preserve">7. Business model</w:t>
      </w:r>
    </w:p>
    <w:p>
      <w:pPr>
        <w:spacing w:after="120" w:line="278"/>
      </w:pPr>
      <w:r>
        <w:t xml:space="preserve">A SaaS subscription model priced per user/year, tiered by segment:</w:t>
      </w:r>
    </w:p>
    <w:p>
      <w:pPr>
        <w:pStyle w:val="ListParagraph"/>
        <w:numPr>
          <w:ilvl w:val="0"/>
          <w:numId w:val="2"/>
        </w:numPr>
        <w:spacing w:after="60" w:line="270"/>
      </w:pPr>
      <w:r>
        <w:rPr>
          <w:b/>
          <w:bCs/>
        </w:rPr>
        <w:t xml:space="preserve">Enterprises: </w:t>
      </w:r>
      <w:r>
        <w:t xml:space="preserve">charged per account (per-seat), with feature tiers (Basic/Pro/Enterprise).</w:t>
      </w:r>
    </w:p>
    <w:p>
      <w:pPr>
        <w:pStyle w:val="ListParagraph"/>
        <w:numPr>
          <w:ilvl w:val="0"/>
          <w:numId w:val="2"/>
        </w:numPr>
        <w:spacing w:after="60" w:line="270"/>
      </w:pPr>
      <w:r>
        <w:rPr>
          <w:b/>
          <w:bCs/>
        </w:rPr>
        <w:t xml:space="preserve">Government agencies: </w:t>
      </w:r>
      <w:r>
        <w:t xml:space="preserve">contracts per project/unit, with an on-premise option; priced by headcount.</w:t>
      </w:r>
    </w:p>
    <w:p>
      <w:pPr>
        <w:pStyle w:val="ListParagraph"/>
        <w:numPr>
          <w:ilvl w:val="0"/>
          <w:numId w:val="2"/>
        </w:numPr>
        <w:spacing w:after="60" w:line="270"/>
      </w:pPr>
      <w:r>
        <w:rPr>
          <w:b/>
          <w:bCs/>
        </w:rPr>
        <w:t xml:space="preserve">Schools: </w:t>
      </w:r>
      <w:r>
        <w:t xml:space="preserve">discounted packages by student count, with sponsorship/community-awareness partnership options.</w:t>
      </w:r>
    </w:p>
    <w:p>
      <w:pPr>
        <w:spacing w:after="120" w:line="278"/>
      </w:pPr>
      <w:r>
        <w:t xml:space="preserve">Additional revenue streams: deployment &amp; training services, custom scenario content, in-depth consulting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10"/>
              <w:left w:type="dxa" w:w="160"/>
              <w:bottom w:type="dxa" w:w="110"/>
              <w:right w:type="dxa" w:w="140"/>
            </w:tcMar>
          </w:tcPr>
          <w:p>
            <w:pPr>
              <w:spacing w:after="60"/>
            </w:pPr>
            <w:r>
              <w:rPr>
                <w:b/>
                <w:bCs/>
                <w:color w:val="000000"/>
              </w:rPr>
              <w:t xml:space="preserve">Suggested success metrics (KPIs)</w:t>
            </w:r>
          </w:p>
          <w:p>
            <w:pPr>
              <w:pStyle w:val="ListParagraph"/>
              <w:numPr>
                <w:ilvl w:val="0"/>
                <w:numId w:val="2"/>
              </w:numPr>
              <w:spacing w:after="40" w:line="264"/>
            </w:pPr>
            <w:r>
              <w:t xml:space="preserve">Reduce the “fall-for-it” rate in phishing simulations to below 5% after 3 rounds.</w:t>
            </w:r>
          </w:p>
          <w:p>
            <w:pPr>
              <w:pStyle w:val="ListParagraph"/>
              <w:numPr>
                <w:ilvl w:val="0"/>
                <w:numId w:val="2"/>
              </w:numPr>
              <w:spacing w:after="40" w:line="264"/>
            </w:pPr>
            <w:r>
              <w:t xml:space="preserve">Over 90% of members complete mandatory training on time.</w:t>
            </w:r>
          </w:p>
          <w:p>
            <w:pPr>
              <w:pStyle w:val="ListParagraph"/>
              <w:numPr>
                <w:ilvl w:val="0"/>
                <w:numId w:val="2"/>
              </w:numPr>
              <w:spacing w:after="40" w:line="264"/>
            </w:pPr>
            <w:r>
              <w:t xml:space="preserve">Time to broadcast an organization-wide alert under 15 minutes from the first report received.</w:t>
            </w:r>
          </w:p>
        </w:tc>
      </w:tr>
    </w:tbl>
    <w:p>
      <w:pPr>
        <w:pStyle w:val="Heading1"/>
      </w:pPr>
      <w:r>
        <w:t xml:space="preserve">8.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Risk</w:t>
            </w:r>
          </w:p>
        </w:tc>
        <w:tc>
          <w:tcPr>
            <w:tcW w:type="dxa" w:w="596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Mitigation</w:t>
            </w:r>
          </w:p>
        </w:tc>
      </w:tr>
      <w:tr>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Privacy concerns over sending simulated emails</w:t>
            </w:r>
          </w:p>
        </w:tc>
        <w:tc>
          <w:tcPr>
            <w:tcW w:type="dxa" w:w="59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Transparent policy, no public disclosure of individuals who “fall for it,” used only for training purposes.</w:t>
            </w:r>
          </w:p>
        </w:tc>
      </w:tr>
      <w:tr>
        <w:tc>
          <w:tcPr>
            <w:tcW w:type="dxa" w:w="34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Competition from international platforms</w:t>
            </w:r>
          </w:p>
        </w:tc>
        <w:tc>
          <w:tcPr>
            <w:tcW w:type="dxa" w:w="59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Focus on localization, in-country warning data, Vietnamese-language support and compliance with Vietnamese law.</w:t>
            </w:r>
          </w:p>
        </w:tc>
      </w:tr>
      <w:tr>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Content becoming outdated quickly</w:t>
            </w:r>
          </w:p>
        </w:tc>
        <w:tc>
          <w:tcPr>
            <w:tcW w:type="dxa" w:w="59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Update scenarios regularly per Ministry of Public Security/NCSC alerts; dynamic content mechanism.</w:t>
            </w:r>
          </w:p>
        </w:tc>
      </w:tr>
      <w:tr>
        <w:tc>
          <w:tcPr>
            <w:tcW w:type="dxa" w:w="34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Data-sovereignty requirements (government sector)</w:t>
            </w:r>
          </w:p>
        </w:tc>
        <w:tc>
          <w:tcPr>
            <w:tcW w:type="dxa" w:w="59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Provide an on-premise option and in-country data storage.</w:t>
            </w:r>
          </w:p>
        </w:tc>
      </w:tr>
    </w:tbl>
    <w:p>
      <w:pPr>
        <w:pStyle w:val="Heading1"/>
      </w:pPr>
      <w:r>
        <w:t xml:space="preserve">9. Proposed next steps</w:t>
      </w:r>
    </w:p>
    <w:p>
      <w:pPr>
        <w:pStyle w:val="ListParagraph"/>
        <w:numPr>
          <w:ilvl w:val="0"/>
          <w:numId w:val="3"/>
        </w:numPr>
        <w:spacing w:after="60" w:line="270"/>
      </w:pPr>
      <w:r>
        <w:t xml:space="preserve">Confirm the priority customer segment (enterprise, government or education) to refine the MVP.</w:t>
      </w:r>
    </w:p>
    <w:p>
      <w:pPr>
        <w:pStyle w:val="ListParagraph"/>
        <w:numPr>
          <w:ilvl w:val="0"/>
          <w:numId w:val="3"/>
        </w:numPr>
        <w:spacing w:after="60" w:line="270"/>
      </w:pPr>
      <w:r>
        <w:t xml:space="preserve">Develop a Learn + Measure prototype to demo to pilot customers.</w:t>
      </w:r>
    </w:p>
    <w:p>
      <w:pPr>
        <w:pStyle w:val="ListParagraph"/>
        <w:numPr>
          <w:ilvl w:val="0"/>
          <w:numId w:val="3"/>
        </w:numPr>
        <w:spacing w:after="60" w:line="270"/>
      </w:pPr>
      <w:r>
        <w:t xml:space="preserve">Establish partnerships for warning-data sources (NCSC/chongluadao.vn) and an SMS/email gateway.</w:t>
      </w:r>
    </w:p>
    <w:p>
      <w:pPr>
        <w:pStyle w:val="ListParagraph"/>
        <w:numPr>
          <w:ilvl w:val="0"/>
          <w:numId w:val="3"/>
        </w:numPr>
        <w:spacing w:after="60" w:line="270"/>
      </w:pPr>
      <w:r>
        <w:t xml:space="preserve">Run a pilot at 1–2 units, measure KPIs and refine the product before commercial expansion.</w:t>
      </w:r>
    </w:p>
    <w:p>
      <w:pPr>
        <w:spacing w:before="240"/>
      </w:pPr>
      <w:r>
        <w:rPr>
          <w:i/>
          <w:iCs/>
          <w:color w:val="595959"/>
          <w:sz w:val="20"/>
          <w:szCs w:val="20"/>
        </w:rPr>
        <w:t xml:space="preserve">This document presents a product concept proposal. Timeline/KPI figures are initial suggestions and should be adjusted to actual resources.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Fraud-prevention &amp; awareness-training platform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pPr>
    <w:r>
      <w:rPr>
        <w:color w:val="808080"/>
        <w:sz w:val="16"/>
        <w:szCs w:val="16"/>
      </w:rPr>
      <w:t xml:space="preserve">Product Proposal — Digital Shield (DigiShield)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40" w:before="28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2026-06-27T04:35:44.742Z</dcterms:created>
  <dcterms:modified xsi:type="dcterms:W3CDTF">2026-06-27T04:35:44.742Z</dcterms:modified>
</cp:coreProperties>
</file>

<file path=docProps/custom.xml><?xml version="1.0" encoding="utf-8"?>
<Properties xmlns="http://schemas.openxmlformats.org/officeDocument/2006/custom-properties" xmlns:vt="http://schemas.openxmlformats.org/officeDocument/2006/docPropsVTypes"/>
</file>