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BÁO CÁO CHIẾN LƯỢC ĐẦU TƯ</w:t>
      </w:r>
    </w:p>
    <w:p>
      <w:pPr>
        <w:jc w:val="center"/>
      </w:pPr>
      <w:r>
        <w:rPr>
          <w:i/>
          <w:sz w:val="26"/>
        </w:rPr>
        <w:t>Triết lý, chính sách, chiến lược</w:t>
        <w:br/>
        <w:t>và bằng chứng kiểm định trên thị trường Việt Nam</w:t>
      </w:r>
    </w:p>
    <w:p/>
    <w:p>
      <w:pPr>
        <w:jc w:val="center"/>
      </w:pPr>
      <w:r>
        <w:rPr>
          <w:sz w:val="24"/>
        </w:rPr>
        <w:t>Quỹ Medici</w:t>
      </w:r>
    </w:p>
    <w:p>
      <w:pPr>
        <w:jc w:val="center"/>
      </w:pPr>
      <w:r>
        <w:rPr>
          <w:sz w:val="24"/>
        </w:rPr>
        <w:t>Kỳ báo cáo: tính đến 26/08/2026</w:t>
      </w:r>
    </w:p>
    <w:p>
      <w:pPr>
        <w:jc w:val="center"/>
      </w:pPr>
      <w:r>
        <w:rPr>
          <w:sz w:val="24"/>
        </w:rPr>
        <w:t>Người lập:  [ ]</w:t>
      </w:r>
    </w:p>
    <w:p>
      <w:pPr>
        <w:jc w:val="center"/>
      </w:pPr>
      <w:r>
        <w:rPr>
          <w:sz w:val="24"/>
        </w:rPr>
        <w:t>Ngày nộp:  [ ]</w:t>
      </w:r>
    </w:p>
    <w:p>
      <w:r>
        <w:br w:type="page"/>
      </w:r>
    </w:p>
    <w:p>
      <w:pPr>
        <w:pStyle w:val="Heading1"/>
      </w:pPr>
      <w:r>
        <w:t>MỤC LỤC</w:t>
      </w:r>
    </w:p>
    <w:p>
      <w:r>
        <w:t>1. Triết lý đầu tư</w:t>
      </w:r>
    </w:p>
    <w:p>
      <w:r>
        <w:t>2. Chính sách đầu tư</w:t>
      </w:r>
    </w:p>
    <w:p>
      <w:r>
        <w:t>3. Chiến lược đầu tư</w:t>
      </w:r>
    </w:p>
    <w:p>
      <w:r>
        <w:t>4. Chỉ tiêu định lượng và ngưỡng rủi ro</w:t>
      </w:r>
    </w:p>
    <w:p>
      <w:r>
        <w:t>5. Dữ liệu, phương pháp và kết quả kiểm định</w:t>
      </w:r>
    </w:p>
    <w:p>
      <w:r>
        <w:t>6. Thiết lập danh mục</w:t>
      </w:r>
    </w:p>
    <w:p>
      <w:r>
        <w:t>7. Hạn chế và rủi ro</w:t>
      </w:r>
    </w:p>
    <w:p>
      <w:r>
        <w:t>8. Kết luận</w:t>
      </w:r>
    </w:p>
    <w:p>
      <w:r>
        <w:t>Phụ lục A — Phương pháp dựng chuỗi nhân tố Fama–French Việt Nam</w:t>
      </w:r>
    </w:p>
    <w:p>
      <w:r>
        <w:t>Phụ lục B — Mã nguồn và khả năng tái lập</w:t>
      </w:r>
    </w:p>
    <w:p>
      <w:r>
        <w:br w:type="page"/>
      </w:r>
    </w:p>
    <w:p>
      <w:pPr>
        <w:pStyle w:val="Heading1"/>
      </w:pPr>
      <w:r>
        <w:t>1. Triết lý đầu tư</w:t>
      </w:r>
    </w:p>
    <w:p>
      <w:r>
        <w:rPr>
          <w:b w:val="0"/>
          <w:i w:val="0"/>
        </w:rPr>
        <w:t>Ngay từ những ngày đầu thành lập nhóm, chúng tôi đã cùng ngồi lại và đánh giá điểm mạnh, điểm yếu cũng như sở trường của mỗi thành viên. Nhận thấy các thành viên trong nhóm đều đầu tư theo 2 trường phái là phân tích cơ bản và phân tích kỹ thuật, tận dụng tối đa ưu điểm và hạn chế của nhóm, chúng tôi đã quyết định đưa ra một triết lý kết hợp cả hai trường phái trong đầu tư. Triết lý đầu tư của nhóm là:</w:t>
      </w:r>
    </w:p>
    <w:p>
      <w:r>
        <w:rPr>
          <w:b w:val="0"/>
          <w:i w:val="0"/>
        </w:rPr>
        <w:t>“Doanh nghiệp tốt là điều kiện, giá hợp lý là nguyên tắc, xu hướng xác nhận là kỷ luật. Thiếu một trong ba, chúng tôi không đầu tư.”</w:t>
      </w:r>
    </w:p>
    <w:p>
      <w:r>
        <w:rPr>
          <w:b w:val="0"/>
          <w:i w:val="0"/>
        </w:rPr>
        <w:t>Theo đó, triết lý của nhóm được xây dựng trên ba yếu tố ràng buộc lẫn nhau: doanh nghiệp, giá mua và xu hướng. Về doanh nghiệp, Peter Lynch từng nói "Hãy biết bạn đang sở hữu cái gì, và vì sao bạn sở hữu nó", và chúng tôi dùng câu này như một bộ lọc thực sự. Nếu không diễn đạt được doanh nghiệp kiếm tiền bằng cách nào trong hai phút thì mã đó bị loại, cùng với những doanh nghiệp có lợi nhuận đến từ đánh giá lại tài sản hay giao dịch với bên liên quan. Về giá mua, một doanh nghiệp tốt vẫn có thể là một khoản đầu tư tồi nếu trả quá đắt, nên chúng tôi không trả trước cho một kịch bản hoàn hảo: mức giá đòi hỏi mọi giả định đều đúng thì không còn biên an toàn cho sai số.</w:t>
      </w:r>
    </w:p>
    <w:p>
      <w:r>
        <w:rPr>
          <w:b w:val="0"/>
          <w:i w:val="0"/>
        </w:rPr>
        <w:t>Yếu tố thứ ba là chỗ nhóm tách khỏi trường phái giá trị cổ điển. Một doanh nghiệp tốt ở mức giá hợp lý vẫn chưa đủ để giải ngân nếu giá còn nằm dưới đường MA200 hoặc còn yếu hơn VN-Index trong 12 tháng gần nhất. Chúng tôi chấp nhận mua muộn hơn vùng đáy để đổi lấy việc không nắm giữ một cổ phiếu đang trong xu hướng giảm dài hạn. Ở chiều ngược lại, nhóm không đặt trước mục tiêu chốt lời, bởi bán mã đang mạnh để giữ mã đang yếu chẳng khác nào cắt hoa và tưới cỏ dại.</w:t>
      </w:r>
    </w:p>
    <w:p>
      <w:pPr>
        <w:pStyle w:val="Heading1"/>
      </w:pPr>
      <w:r>
        <w:t>2. Chính sách đầu tư</w:t>
      </w:r>
    </w:p>
    <w:p>
      <w:r>
        <w:rPr>
          <w:b w:val="0"/>
          <w:i w:val="0"/>
        </w:rPr>
        <w:t>Đối tượng đầu tư: Medici Fund là một quỹ đầu tư kết hợp đà tăng trưởng và giá trị, nắm giữ theo kỳ hạn dài. Đặc điểm đó khiến Quỹ phù hợp với một số nhà đầu tư và không phù hợp với số còn lại. Quỹ hướng tới cá nhân và tổ chức được pháp luật Việt Nam công nhận, có tỷ suất sinh lời đòi hỏi và khả năng chịu rủi ro phù hợp với mục tiêu của Quỹ, đồng thời có 3 đặc điểm sau:</w:t>
      </w:r>
    </w:p>
    <w:p>
      <w:pPr>
        <w:pStyle w:val="ListBullet"/>
      </w:pPr>
      <w:r>
        <w:t>Có mục tiêu tài chính dài hạn. Triết lý của Quỹ chỉ phát huy hiệu quả khi thị trường có đủ thời gian để phản ánh giá trị thật của doanh nghiệp và để một xu hướng hình thành trọn vẹn. Nhà đầu tư cần nguồn tiền trong vòng vài tháng sẽ không tìm thấy điều mình cần ở đây.</w:t>
      </w:r>
    </w:p>
    <w:p>
      <w:pPr>
        <w:pStyle w:val="ListBullet"/>
      </w:pPr>
      <w:r>
        <w:t>Chấp nhận Quỹ có những giai đoạn đi chậm hơn thị trường. Vì Quỹ chỉ giải ngân khi cả yếu tố doanh nghiệp lẫn xu hướng giá cùng thỏa mãn, Quỹ sẽ vào chậm hơn trong những đợt phục hồi mạnh và bỏ qua nhiều cơ hội mà thị trường chung đang hưởng. Đổi lại, Quỹ tránh được việc nắm giữ những doanh nghiệp đang suy yếu chỉ vì chúng có vẻ rẻ.</w:t>
      </w:r>
    </w:p>
    <w:p>
      <w:pPr>
        <w:pStyle w:val="ListBullet"/>
      </w:pPr>
      <w:r>
        <w:t>Chấp nhận Quỹ nắm giữ tiền mặt. Khi không có cơ hội nào đạt chuẩn, Quỹ để vốn ở dạng tiền mặt thay vì hạ tiêu chuẩn để giải ngân cho đủ. Tiền mặt trong danh mục là kết quả của kỷ luật, không phải một dự báo về thị trường.</w:t>
      </w:r>
    </w:p>
    <w:p>
      <w:r>
        <w:rPr>
          <w:b w:val="0"/>
          <w:i w:val="0"/>
        </w:rPr>
        <w:t>Thời gian đầu tư: Quỹ áp dụng thời gian không rút vốn trong 12 tháng đầu và khuyến nghị nhà đầu tư gắn bó từ 3 năm trở lên.</w:t>
      </w:r>
    </w:p>
    <w:p>
      <w:r>
        <w:rPr>
          <w:b w:val="0"/>
          <w:i w:val="0"/>
        </w:rPr>
        <w:t>Ràng buộc 12 tháng không nhằm giữ chân nhà đầu tư. Nó bảo vệ chính kỷ luật bán của Quỹ. Lệnh rút vốn thường dồn về đúng những lúc thị trường xấu nhất và nếu phải đáp ứng ngay, Quỹ sẽ buộc phải bán những vị thế vẫn còn đạt tiêu chí, ở mức giá do người khác quyết định. Sau thời hạn này, lệnh rút được xử lý theo lịch định kỳ trùng với kỳ rà soát danh mục để việc rút vốn và tái cơ cấu diễn ra trong cùng 1 lần giao dịch</w:t>
      </w:r>
    </w:p>
    <w:p>
      <w:r>
        <w:rPr>
          <w:b w:val="0"/>
          <w:i w:val="0"/>
        </w:rPr>
        <w:t>Với từng cổ phiếu trong danh mục, Quỹ không đặt thời hạn nắm giữ. Một vị thế được giữ chừng nào doanh nghiệp còn tốt và xu hướng còn ủng hộ, và được bán khi một trong hai điều đó không còn đúng bất kể nắm giữ bao lâu.</w:t>
      </w:r>
    </w:p>
    <w:p>
      <w:r>
        <w:rPr>
          <w:b w:val="0"/>
          <w:i w:val="0"/>
        </w:rPr>
        <w:t>Mục tiêu của Quỹ:</w:t>
      </w:r>
    </w:p>
    <w:p>
      <w:r>
        <w:rPr>
          <w:b w:val="0"/>
          <w:i w:val="0"/>
        </w:rPr>
        <w:t>Mục tiêu của Medici Fund là gia tăng giá trị tài sản ròng cho nhà đầu tư trong dài hạn, thông qua việc lựa chọn những doanh nghiệp tốt, mua ở mức giá hợp lý và nắm giữ khi xu hướng còn ủng hộ.</w:t>
      </w:r>
    </w:p>
    <w:p>
      <w:r>
        <w:rPr>
          <w:b w:val="0"/>
          <w:i w:val="0"/>
        </w:rPr>
        <w:t>Chúng tôi đặt mục tiêu vượt VN-Index tính theo tỷ suất sinh lời bình quân gộp qua nhiều năm. Chúng tôi không cam kết vượt VN-Index trong từng tháng hay từng quý và cũng không xem một kỳ thắng thị trường là bằng chứng cho năng lực hay một kỳ thua là bằng chứng cho phương pháp đã hỏng.</w:t>
      </w:r>
    </w:p>
    <w:p>
      <w:r>
        <w:rPr>
          <w:b w:val="0"/>
          <w:i w:val="0"/>
        </w:rPr>
        <w:t>Thứ tự ưu tiên của Quỹ là bảo toàn vốn trước, tăng trưởng sau. Trong những giai đoạn bất lợi, Quỹ giữ mức sụt giảm trong phạm vi cho phép vốn phục hồi, bởi một khoản lỗ sâu đòi hỏi mức lãi lớn hơn nhiều để trở về điểm hòa vốn. Quỹ làm điều đó bằng các quy tắc thoát định sẵn trước khi vào lệnh, không bằng việc dự báo thị trường.</w:t>
      </w:r>
    </w:p>
    <w:p>
      <w:r>
        <w:rPr>
          <w:b w:val="0"/>
          <w:i w:val="0"/>
        </w:rPr>
        <w:t>Tỷ suất sinh lời đòi hỏi của danh mục được tham chiếu theo mô hình Fama–French năm nhân tố phiên bản Việt Nam, thay cho CAPM. Việc thay thế này không nhằm làm cho con số đẹp hơn mà nhằm cho nó nói đúng thứ nó đang đo.</w:t>
      </w:r>
    </w:p>
    <w:p>
      <w:r>
        <w:rPr>
          <w:b w:val="0"/>
          <w:i w:val="0"/>
        </w:rPr>
        <w:t>Lý do nằm ở chính quy trình chọn cổ phiếu của Quỹ. Bộ lọc và bảng xếp hạng ở Phần 3 sàng cổ phiếu theo quy mô, mức định giá so với giá trị sổ sách, khả năng sinh lời và tốc độ mở rộng tài sản. Đó đúng là bốn đặc điểm mà Fama và French chứng minh được là mang phần bù rủi ro riêng, và cũng đúng là bốn đặc điểm mà CAPM không có chỗ để ghi nhận. Một mô hình chỉ có một hệ số beta buộc phải đẩy toàn bộ phần chênh lệch do bốn đặc điểm đó tạo ra vào ô alpha. Quỹ sẽ tự khen mình vì những thứ vốn chỉ là phơi nhiễm rủi ro, và đó là loại nhầm lẫn khó phát hiện nhất vì nó luôn nhầm theo hướng có lợi cho người đo.</w:t>
      </w:r>
    </w:p>
    <w:p>
      <w:r>
        <w:rPr>
          <w:b w:val="0"/>
          <w:i w:val="0"/>
        </w:rPr>
        <w:t>Công thức áp dụng:</w:t>
      </w:r>
    </w:p>
    <w:p>
      <w:r>
        <w:rPr>
          <w:b w:val="0"/>
          <w:i w:val="0"/>
        </w:rPr>
        <w:t>Re = Rf + b_MKT × MRP + b_SMB × λ_SMB + b_HML × λ_HML + b_RMW × λ_RMW + b_CMA × λ_CMA</w:t>
      </w:r>
    </w:p>
    <w:p>
      <w:r>
        <w:rPr>
          <w:b w:val="0"/>
          <w:i w:val="0"/>
        </w:rPr>
        <w:t>Trong đó Rf là lợi suất trái phiếu Chính phủ kỳ hạn 10 năm; MRP là phần bù rủi ro thị trường Việt Nam theo Damodaran; bốn λ còn lại là phần bù kỳ vọng của từng nhân tố, lấy trung bình ba nguồn thực nghiệm cho thị trường Việt Nam rồi thu hẹp một nửa về 0 vì không nhân tố nào trong số đó có ý nghĩa thống kê vững ở mức thông thường. Các hệ số tải được suy từ đặc điểm thực tế của từng vị thế, theo bảng quy đổi công bố trong phụ lục phương pháp.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E8E8E8"/>
          </w:tcPr>
          <w:p>
            <w:r/>
            <w:r>
              <w:rPr>
                <w:b/>
                <w:sz w:val="20"/>
              </w:rPr>
              <w:t>Thành phần</w:t>
            </w:r>
          </w:p>
        </w:tc>
        <w:tc>
          <w:tcPr>
            <w:tcW w:type="dxa" w:w="2351"/>
            <w:shd w:fill="E8E8E8"/>
          </w:tcPr>
          <w:p>
            <w:r/>
            <w:r>
              <w:rPr>
                <w:b/>
                <w:sz w:val="20"/>
              </w:rPr>
              <w:t>Hệ số tải</w:t>
            </w:r>
          </w:p>
        </w:tc>
        <w:tc>
          <w:tcPr>
            <w:tcW w:type="dxa" w:w="2351"/>
            <w:shd w:fill="E8E8E8"/>
          </w:tcPr>
          <w:p>
            <w:r/>
            <w:r>
              <w:rPr>
                <w:b/>
                <w:sz w:val="20"/>
              </w:rPr>
              <w:t>Phần bù (%/năm)</w:t>
            </w:r>
          </w:p>
        </w:tc>
        <w:tc>
          <w:tcPr>
            <w:tcW w:type="dxa" w:w="2351"/>
            <w:shd w:fill="E8E8E8"/>
          </w:tcPr>
          <w:p>
            <w:r/>
            <w:r>
              <w:rPr>
                <w:b/>
                <w:sz w:val="20"/>
              </w:rPr>
              <w:t>Đóng góp (điểm %)</w:t>
            </w:r>
          </w:p>
        </w:tc>
      </w:tr>
      <w:tr>
        <w:tc>
          <w:tcPr>
            <w:tcW w:type="dxa" w:w="2351"/>
          </w:tcPr>
          <w:p>
            <w:r/>
            <w:r>
              <w:rPr>
                <w:b/>
                <w:sz w:val="20"/>
              </w:rPr>
              <w:t>Lãi suất phi rủi ro — TPCP 10 năm, 21/08/2026</w:t>
            </w:r>
          </w:p>
        </w:tc>
        <w:tc>
          <w:tcPr>
            <w:tcW w:type="dxa" w:w="2351"/>
          </w:tcPr>
          <w:p>
            <w:r/>
            <w:r>
              <w:rPr>
                <w:sz w:val="20"/>
              </w:rPr>
              <w:t>—</w:t>
            </w:r>
          </w:p>
        </w:tc>
        <w:tc>
          <w:tcPr>
            <w:tcW w:type="dxa" w:w="2351"/>
          </w:tcPr>
          <w:p>
            <w:r/>
            <w:r>
              <w:rPr>
                <w:sz w:val="20"/>
              </w:rPr>
              <w:t>—</w:t>
            </w:r>
          </w:p>
        </w:tc>
        <w:tc>
          <w:tcPr>
            <w:tcW w:type="dxa" w:w="2351"/>
          </w:tcPr>
          <w:p>
            <w:r/>
            <w:r>
              <w:rPr>
                <w:sz w:val="20"/>
              </w:rPr>
              <w:t>4,56</w:t>
            </w:r>
          </w:p>
        </w:tc>
      </w:tr>
      <w:tr>
        <w:tc>
          <w:tcPr>
            <w:tcW w:type="dxa" w:w="2351"/>
          </w:tcPr>
          <w:p>
            <w:r/>
            <w:r>
              <w:rPr>
                <w:b/>
                <w:sz w:val="20"/>
              </w:rPr>
              <w:t>MKT — rủi ro thị trường</w:t>
            </w:r>
          </w:p>
        </w:tc>
        <w:tc>
          <w:tcPr>
            <w:tcW w:type="dxa" w:w="2351"/>
          </w:tcPr>
          <w:p>
            <w:r/>
            <w:r>
              <w:rPr>
                <w:sz w:val="20"/>
              </w:rPr>
              <w:t>0,682</w:t>
            </w:r>
          </w:p>
        </w:tc>
        <w:tc>
          <w:tcPr>
            <w:tcW w:type="dxa" w:w="2351"/>
          </w:tcPr>
          <w:p>
            <w:r/>
            <w:r>
              <w:rPr>
                <w:sz w:val="20"/>
              </w:rPr>
              <w:t>8,13</w:t>
            </w:r>
          </w:p>
        </w:tc>
        <w:tc>
          <w:tcPr>
            <w:tcW w:type="dxa" w:w="2351"/>
          </w:tcPr>
          <w:p>
            <w:r/>
            <w:r>
              <w:rPr>
                <w:sz w:val="20"/>
              </w:rPr>
              <w:t>+5,55</w:t>
            </w:r>
          </w:p>
        </w:tc>
      </w:tr>
      <w:tr>
        <w:tc>
          <w:tcPr>
            <w:tcW w:type="dxa" w:w="2351"/>
          </w:tcPr>
          <w:p>
            <w:r/>
            <w:r>
              <w:rPr>
                <w:b/>
                <w:sz w:val="20"/>
              </w:rPr>
              <w:t>SMB — quy mô</w:t>
            </w:r>
          </w:p>
        </w:tc>
        <w:tc>
          <w:tcPr>
            <w:tcW w:type="dxa" w:w="2351"/>
          </w:tcPr>
          <w:p>
            <w:r/>
            <w:r>
              <w:rPr>
                <w:sz w:val="20"/>
              </w:rPr>
              <w:t>−0,131</w:t>
            </w:r>
          </w:p>
        </w:tc>
        <w:tc>
          <w:tcPr>
            <w:tcW w:type="dxa" w:w="2351"/>
          </w:tcPr>
          <w:p>
            <w:r/>
            <w:r>
              <w:rPr>
                <w:sz w:val="20"/>
              </w:rPr>
              <w:t>1,71</w:t>
            </w:r>
          </w:p>
        </w:tc>
        <w:tc>
          <w:tcPr>
            <w:tcW w:type="dxa" w:w="2351"/>
          </w:tcPr>
          <w:p>
            <w:r/>
            <w:r>
              <w:rPr>
                <w:sz w:val="20"/>
              </w:rPr>
              <w:t>−0,22</w:t>
            </w:r>
          </w:p>
        </w:tc>
      </w:tr>
      <w:tr>
        <w:tc>
          <w:tcPr>
            <w:tcW w:type="dxa" w:w="2351"/>
          </w:tcPr>
          <w:p>
            <w:r/>
            <w:r>
              <w:rPr>
                <w:b/>
                <w:sz w:val="20"/>
              </w:rPr>
              <w:t>HML — giá trị</w:t>
            </w:r>
          </w:p>
        </w:tc>
        <w:tc>
          <w:tcPr>
            <w:tcW w:type="dxa" w:w="2351"/>
          </w:tcPr>
          <w:p>
            <w:r/>
            <w:r>
              <w:rPr>
                <w:sz w:val="20"/>
              </w:rPr>
              <w:t>−0,116</w:t>
            </w:r>
          </w:p>
        </w:tc>
        <w:tc>
          <w:tcPr>
            <w:tcW w:type="dxa" w:w="2351"/>
          </w:tcPr>
          <w:p>
            <w:r/>
            <w:r>
              <w:rPr>
                <w:sz w:val="20"/>
              </w:rPr>
              <w:t>3,49</w:t>
            </w:r>
          </w:p>
        </w:tc>
        <w:tc>
          <w:tcPr>
            <w:tcW w:type="dxa" w:w="2351"/>
          </w:tcPr>
          <w:p>
            <w:r/>
            <w:r>
              <w:rPr>
                <w:sz w:val="20"/>
              </w:rPr>
              <w:t>−0,41</w:t>
            </w:r>
          </w:p>
        </w:tc>
      </w:tr>
      <w:tr>
        <w:tc>
          <w:tcPr>
            <w:tcW w:type="dxa" w:w="2351"/>
          </w:tcPr>
          <w:p>
            <w:r/>
            <w:r>
              <w:rPr>
                <w:b/>
                <w:sz w:val="20"/>
              </w:rPr>
              <w:t>RMW — khả năng sinh lời</w:t>
            </w:r>
          </w:p>
        </w:tc>
        <w:tc>
          <w:tcPr>
            <w:tcW w:type="dxa" w:w="2351"/>
          </w:tcPr>
          <w:p>
            <w:r/>
            <w:r>
              <w:rPr>
                <w:sz w:val="20"/>
              </w:rPr>
              <w:t>+0,118</w:t>
            </w:r>
          </w:p>
        </w:tc>
        <w:tc>
          <w:tcPr>
            <w:tcW w:type="dxa" w:w="2351"/>
          </w:tcPr>
          <w:p>
            <w:r/>
            <w:r>
              <w:rPr>
                <w:sz w:val="20"/>
              </w:rPr>
              <w:t>3,47</w:t>
            </w:r>
          </w:p>
        </w:tc>
        <w:tc>
          <w:tcPr>
            <w:tcW w:type="dxa" w:w="2351"/>
          </w:tcPr>
          <w:p>
            <w:r/>
            <w:r>
              <w:rPr>
                <w:sz w:val="20"/>
              </w:rPr>
              <w:t>+0,41</w:t>
            </w:r>
          </w:p>
        </w:tc>
      </w:tr>
      <w:tr>
        <w:tc>
          <w:tcPr>
            <w:tcW w:type="dxa" w:w="2351"/>
          </w:tcPr>
          <w:p>
            <w:r/>
            <w:r>
              <w:rPr>
                <w:b/>
                <w:sz w:val="20"/>
              </w:rPr>
              <w:t>CMA — cường độ đầu tư</w:t>
            </w:r>
          </w:p>
        </w:tc>
        <w:tc>
          <w:tcPr>
            <w:tcW w:type="dxa" w:w="2351"/>
          </w:tcPr>
          <w:p>
            <w:r/>
            <w:r>
              <w:rPr>
                <w:sz w:val="20"/>
              </w:rPr>
              <w:t>−0,170</w:t>
            </w:r>
          </w:p>
        </w:tc>
        <w:tc>
          <w:tcPr>
            <w:tcW w:type="dxa" w:w="2351"/>
          </w:tcPr>
          <w:p>
            <w:r/>
            <w:r>
              <w:rPr>
                <w:sz w:val="20"/>
              </w:rPr>
              <w:t>1,26</w:t>
            </w:r>
          </w:p>
        </w:tc>
        <w:tc>
          <w:tcPr>
            <w:tcW w:type="dxa" w:w="2351"/>
          </w:tcPr>
          <w:p>
            <w:r/>
            <w:r>
              <w:rPr>
                <w:sz w:val="20"/>
              </w:rPr>
              <w:t>−0,21</w:t>
            </w:r>
          </w:p>
        </w:tc>
      </w:tr>
      <w:tr>
        <w:tc>
          <w:tcPr>
            <w:tcW w:type="dxa" w:w="2351"/>
          </w:tcPr>
          <w:p>
            <w:r/>
            <w:r>
              <w:rPr>
                <w:b/>
                <w:sz w:val="20"/>
              </w:rPr>
              <w:t>Tỷ suất sinh lời đòi hỏi của danh mục</w:t>
            </w:r>
          </w:p>
        </w:tc>
        <w:tc>
          <w:tcPr>
            <w:tcW w:type="dxa" w:w="2351"/>
          </w:tcPr>
          <w:p>
            <w:r/>
            <w:r>
              <w:rPr>
                <w:sz w:val="20"/>
              </w:rPr>
            </w:r>
          </w:p>
        </w:tc>
        <w:tc>
          <w:tcPr>
            <w:tcW w:type="dxa" w:w="2351"/>
          </w:tcPr>
          <w:p>
            <w:r/>
            <w:r>
              <w:rPr>
                <w:sz w:val="20"/>
              </w:rPr>
            </w:r>
          </w:p>
        </w:tc>
        <w:tc>
          <w:tcPr>
            <w:tcW w:type="dxa" w:w="2351"/>
          </w:tcPr>
          <w:p>
            <w:r/>
            <w:r>
              <w:rPr>
                <w:sz w:val="20"/>
              </w:rPr>
              <w:t>9,67</w:t>
            </w:r>
          </w:p>
        </w:tc>
      </w:tr>
    </w:tbl>
    <w:p>
      <w:pPr>
        <w:pStyle w:val="Chuthichbang"/>
      </w:pPr>
      <w:r>
        <w:t>Bảng CS.1 — Tỷ suất sinh lời đòi hỏi của danh mục theo Fama–French 5 nhân tố Việt Nam, 24/08/2026</w:t>
      </w:r>
    </w:p>
    <w:p>
      <w:r>
        <w:rPr>
          <w:b w:val="0"/>
          <w:i w:val="0"/>
        </w:rPr>
        <w:t>Con số 9,67%/năm tương đương 1,79% cho mười tuần của kỳ đầu tư. Đối chiếu, CAPM với cùng bộ Rf và cùng phần bù thị trường cho 10,11%/năm, tức 1,87%. Chênh lệch nhỏ, và Quỹ nói rõ vì sao nó nhỏ: bốn độ nghiêng nhân tố của danh mục gần như triệt tiêu lẫn nhau, phần thưởng cho khả năng sinh lời cao bù lại phần phạt cho quy mô lớn, định giá đắt và cường độ đầu tư mạnh. Giá trị của việc đổi mô hình vì vậy không nằm ở mức hạ ngưỡng mà nằm ở chỗ Quỹ biết mình đang cầm loại rủi ro gì.</w:t>
      </w:r>
    </w:p>
    <w:p>
      <w:r>
        <w:rPr>
          <w:b w:val="0"/>
          <w:i w:val="0"/>
        </w:rPr>
        <w:t>Bốn hệ số tải đó đồng thời là bốn phát biểu kiểm chứng được về danh mục: đây là một danh mục vốn hoá lớn, hơi nghiêng về tăng trưởng chứ không phải giá trị, nghiêng nhẹ về doanh nghiệp sinh lời tốt, và nghiêng rõ về nhóm mở rộng tài sản nhanh. Phát biểu cuối cùng là điều Quỹ phải theo dõi, vì nó mâu thuẫn với lớp giá trị trong triết lý và là hệ quả trực tiếp của việc ba trong bảy vị thế là ngân hàng trong một năm tăng trưởng tín dụng cao.</w:t>
      </w:r>
    </w:p>
    <w:p>
      <w:r>
        <w:rPr>
          <w:b w:val="0"/>
          <w:i w:val="0"/>
        </w:rPr>
        <w:t>Quỹ ghi nhận hai giới hạn của con số này. Thứ nhất, chưa tồn tại chuỗi nhân tố Việt Nam công khai chạy tới năm 2026; bộ dài nhất công bố được dừng ở tháng 7/2021, nên phần bù kỳ vọng là ước lượng từ quá khứ chứ không phải đo trên kỳ đầu tư. Thứ hai, hệ số tải được suy từ đặc điểm doanh nghiệp chứ chưa hồi quy trên chuỗi nhân tố thật, vì năm trong bảy vị thế chưa đủ độ dài lịch sử niêm yết để hồi quy. Cả hai giới hạn sẽ được khép lại khi Quỹ tự dựng xong chuỗi nhân tố; quy trình dựng đã được viết thành mã và nêu ở phụ lục phương pháp.</w:t>
      </w:r>
    </w:p>
    <w:p>
      <w:r>
        <w:rPr>
          <w:b w:val="0"/>
          <w:i w:val="0"/>
        </w:rPr>
        <w:t>Các chỉ tiêu định lượng của mục tiêu và ngưỡng rủi ro Quỹ chấp nhận được trình bày đầy đủ ở phần sau.</w:t>
      </w:r>
    </w:p>
    <w:p>
      <w:pPr>
        <w:pStyle w:val="Heading1"/>
      </w:pPr>
      <w:r>
        <w:t>3. Chiến lược đầu tư</w:t>
      </w:r>
    </w:p>
    <w:p>
      <w:r>
        <w:rPr>
          <w:b w:val="0"/>
          <w:i w:val="0"/>
        </w:rPr>
        <w:t>Phần này trả lời một câu hỏi duy nhất: từ toàn bộ cổ phiếu đang niêm yết, bằng cách nào Quỹ đi tới đúng những mã đang nắm giữ và bằng cách nào Quỹ quyết định rời khỏi chúng. Toàn bộ nội dung dưới đây là hệ quả trực tiếp của ba trụ cột đã nêu ở Phần 1. Chỗ nào quy trình không phục vụ triết lý, chỗ đó là lỗi thiết kế.</w:t>
      </w:r>
    </w:p>
    <w:p>
      <w:pPr>
        <w:pStyle w:val="Heading2"/>
      </w:pPr>
      <w:r>
        <w:t>Vì sao Quỹ đi từ dưới lên</w:t>
      </w:r>
    </w:p>
    <w:p>
      <w:r>
        <w:rPr>
          <w:b w:val="0"/>
          <w:i w:val="0"/>
        </w:rPr>
        <w:t>Phần lớn báo cáo chiến lược bắt đầu bằng vĩ mô, chọn ra vài ngành hưởng lợi, rồi chọn mã trong những ngành đó. Quỹ làm ngược lại. Chúng tôi bắt đầu bằng một bộ lọc chạy trên toàn thị trường, rồi đi từ doanh nghiệp lên ngành, và chỉ đến vĩ mô ở bước cuối.</w:t>
      </w:r>
    </w:p>
    <w:p>
      <w:r>
        <w:rPr>
          <w:b w:val="0"/>
          <w:i w:val="0"/>
        </w:rPr>
        <w:t>Lý do không phải vì chúng tôi coi nhẹ vĩ mô. Lý do là chúng tôi đã thử và thấy mình không dự báo được nó. Trước khi chốt quy trình này, nhóm có xây một bộ lọc điều kiện thị trường: chỉ giải ngân khi chỉ số chung còn nằm trên đường trung bình của chính nó. Kiểm tra lại trên dữ liệu quá khứ, tín hiệu đó không nói được điều gì về hướng đi tiếp theo của chỉ số. Một đội không dự báo được vĩ mô mà vẫn đặt vĩ mô ở bước một thì bước một chỉ là trang trí, và mọi bước sau nó thừa hưởng một nền móng rỗng.</w:t>
      </w:r>
    </w:p>
    <w:p>
      <w:r>
        <w:rPr>
          <w:b w:val="0"/>
          <w:i w:val="0"/>
        </w:rPr>
        <w:t>Đặt vĩ mô ở bước cuối làm thay đổi vai trò của nó. Ở vị trí đó, vĩ mô không còn là công cụ chọn ngành mà là công cụ tìm rủi ro: với một doanh nghiệp cụ thể đã lọt qua ba bước trước, yếu tố vĩ mô nào có thể phá vỡ luận điểm nắm giữ. Câu hỏi này chúng tôi trả lời được, vì nó neo vào một doanh nghiệp cụ thể chứ không đòi hỏi một dự báo về nền kinh tế.</w:t>
      </w:r>
    </w:p>
    <w:p>
      <w:r>
        <w:rPr>
          <w:b w:val="0"/>
          <w:i w:val="0"/>
        </w:rPr>
        <w:t>Cách làm này có một điểm yếu mà chúng tôi phải bù lại. Đi từ dưới lên, danh mục dễ vô tình gom nhiều mã cùng phụ thuộc vào một yếu tố vĩ mô trong khi nhãn ngành của chúng khác nhau, khiến trần ngành trông như đã được tuân thủ nhưng rủi ro thật thì không được kiểm soát. Vì vậy, sau khi danh mục hình thành, Quỹ chạy thêm một bước kiểm tra: nhóm các vị thế lại theo yếu tố rủi ro chung thay vì theo tên ngành. Nội dung bước này được trình bày ở phần thiết lập danh mục.</w:t>
      </w:r>
    </w:p>
    <w:p>
      <w:pPr>
        <w:pStyle w:val="Heading2"/>
      </w:pPr>
      <w:r>
        <w:t>Quy trình bốn bước</w:t>
      </w:r>
    </w:p>
    <w:p>
      <w:r>
        <w:rPr>
          <w:b w:val="0"/>
          <w:i w:val="0"/>
        </w:rPr>
        <w:t>Quy trình gồm bốn cửa kiểm tra nối tiếp. Mỗi cửa có tiêu chí riêng, và một mã phải qua được cửa trước mới được xét ở cửa sau. Không có cơ chế cho điểm bù trừ giữa các cửa.</w:t>
      </w:r>
    </w:p>
    <w:p>
      <w:pPr>
        <w:pStyle w:val="Chuthichbang"/>
      </w:pPr>
      <w:r>
        <w:t>Nguồn: Quy trình vận hành của Quỹ</w:t>
      </w:r>
    </w:p>
    <w:p>
      <w:pPr>
        <w:pStyle w:val="Heading2"/>
      </w:pPr>
      <w:r>
        <w:t>Bước 1 — Bộ lọc cứng: mã này có được phép mua không</w:t>
      </w:r>
    </w:p>
    <w:p>
      <w:r>
        <w:rPr>
          <w:b w:val="0"/>
          <w:i w:val="0"/>
        </w:rPr>
        <w:t>Bộ lọc trả lời một câu hỏi nhị phân. Nó không xếp hạng, không cho điểm, chỉ tách rổ cổ phiếu thành hai nhóm: được phép xét tiếp và không.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8E8E8"/>
          </w:tcPr>
          <w:p>
            <w:r/>
            <w:r>
              <w:rPr>
                <w:b/>
                <w:sz w:val="20"/>
              </w:rPr>
              <w:t>Điều kiện</w:t>
            </w:r>
          </w:p>
        </w:tc>
        <w:tc>
          <w:tcPr>
            <w:tcW w:type="dxa" w:w="3135"/>
            <w:shd w:fill="E8E8E8"/>
          </w:tcPr>
          <w:p>
            <w:r/>
            <w:r>
              <w:rPr>
                <w:b/>
                <w:sz w:val="20"/>
              </w:rPr>
              <w:t>Ngưỡng</w:t>
            </w:r>
          </w:p>
        </w:tc>
        <w:tc>
          <w:tcPr>
            <w:tcW w:type="dxa" w:w="3135"/>
            <w:shd w:fill="E8E8E8"/>
          </w:tcPr>
          <w:p>
            <w:r/>
            <w:r>
              <w:rPr>
                <w:b/>
                <w:sz w:val="20"/>
              </w:rPr>
              <w:t>Vì sao điều kiện này tồn tại</w:t>
            </w:r>
          </w:p>
        </w:tc>
      </w:tr>
      <w:tr>
        <w:tc>
          <w:tcPr>
            <w:tcW w:type="dxa" w:w="3135"/>
          </w:tcPr>
          <w:p>
            <w:r/>
            <w:r>
              <w:rPr>
                <w:b/>
                <w:sz w:val="20"/>
              </w:rPr>
              <w:t>Thanh khoản</w:t>
            </w:r>
          </w:p>
        </w:tc>
        <w:tc>
          <w:tcPr>
            <w:tcW w:type="dxa" w:w="3135"/>
          </w:tcPr>
          <w:p>
            <w:r/>
            <w:r>
              <w:rPr>
                <w:sz w:val="20"/>
              </w:rPr>
              <w:t>Giá trị giao dịch bình quân 20 phiên từ 10 tỷ đồng trở lên</w:t>
            </w:r>
          </w:p>
        </w:tc>
        <w:tc>
          <w:tcPr>
            <w:tcW w:type="dxa" w:w="3135"/>
          </w:tcPr>
          <w:p>
            <w:r/>
            <w:r>
              <w:rPr>
                <w:sz w:val="20"/>
              </w:rPr>
              <w:t>Quỹ phải vào và ra được một vị thế mà không tự làm lệch giá của chính mình</w:t>
            </w:r>
          </w:p>
        </w:tc>
      </w:tr>
      <w:tr>
        <w:tc>
          <w:tcPr>
            <w:tcW w:type="dxa" w:w="3135"/>
          </w:tcPr>
          <w:p>
            <w:r/>
            <w:r>
              <w:rPr>
                <w:b/>
                <w:sz w:val="20"/>
              </w:rPr>
              <w:t>Xu hướng dài hạn</w:t>
            </w:r>
          </w:p>
        </w:tc>
        <w:tc>
          <w:tcPr>
            <w:tcW w:type="dxa" w:w="3135"/>
          </w:tcPr>
          <w:p>
            <w:r/>
            <w:r>
              <w:rPr>
                <w:sz w:val="20"/>
              </w:rPr>
              <w:t>Giá đóng cửa nằm trên đường trung bình 200 phiên</w:t>
            </w:r>
          </w:p>
        </w:tc>
        <w:tc>
          <w:tcPr>
            <w:tcW w:type="dxa" w:w="3135"/>
          </w:tcPr>
          <w:p>
            <w:r/>
            <w:r>
              <w:rPr>
                <w:sz w:val="20"/>
              </w:rPr>
              <w:t>Quỹ chỉ nắm giữ cổ phiếu đang ở pha tăng, không mua vào một xu hướng giảm dù giá đã rẻ</w:t>
            </w:r>
          </w:p>
        </w:tc>
      </w:tr>
      <w:tr>
        <w:tc>
          <w:tcPr>
            <w:tcW w:type="dxa" w:w="3135"/>
          </w:tcPr>
          <w:p>
            <w:r/>
            <w:r>
              <w:rPr>
                <w:b/>
                <w:sz w:val="20"/>
              </w:rPr>
              <w:t>Cấu trúc xu hướng</w:t>
            </w:r>
          </w:p>
        </w:tc>
        <w:tc>
          <w:tcPr>
            <w:tcW w:type="dxa" w:w="3135"/>
          </w:tcPr>
          <w:p>
            <w:r/>
            <w:r>
              <w:rPr>
                <w:sz w:val="20"/>
              </w:rPr>
              <w:t>Trung bình 50 phiên nằm trên trung bình 200 phiên</w:t>
            </w:r>
          </w:p>
        </w:tc>
        <w:tc>
          <w:tcPr>
            <w:tcW w:type="dxa" w:w="3135"/>
          </w:tcPr>
          <w:p>
            <w:r/>
            <w:r>
              <w:rPr>
                <w:sz w:val="20"/>
              </w:rPr>
              <w:t>Loại những mã mới chỉ hồi kỹ thuật trong lòng một xu hướng giảm dài hạn</w:t>
            </w:r>
          </w:p>
        </w:tc>
      </w:tr>
      <w:tr>
        <w:tc>
          <w:tcPr>
            <w:tcW w:type="dxa" w:w="3135"/>
          </w:tcPr>
          <w:p>
            <w:r/>
            <w:r>
              <w:rPr>
                <w:b/>
                <w:sz w:val="20"/>
              </w:rPr>
              <w:t>Sức mạnh tương đối</w:t>
            </w:r>
          </w:p>
        </w:tc>
        <w:tc>
          <w:tcPr>
            <w:tcW w:type="dxa" w:w="3135"/>
          </w:tcPr>
          <w:p>
            <w:r/>
            <w:r>
              <w:rPr>
                <w:sz w:val="20"/>
              </w:rPr>
              <w:t>Sinh lời 12 tháng, bỏ tháng gần nhất, cao hơn VN-Index</w:t>
            </w:r>
          </w:p>
        </w:tc>
        <w:tc>
          <w:tcPr>
            <w:tcW w:type="dxa" w:w="3135"/>
          </w:tcPr>
          <w:p>
            <w:r/>
            <w:r>
              <w:rPr>
                <w:sz w:val="20"/>
              </w:rPr>
              <w:t>Đây là điều kiện mạnh hơn thị trường. Không đạt nghĩa là dòng tiền chưa chọn mã này</w:t>
            </w:r>
          </w:p>
        </w:tc>
      </w:tr>
      <w:tr>
        <w:tc>
          <w:tcPr>
            <w:tcW w:type="dxa" w:w="3135"/>
          </w:tcPr>
          <w:p>
            <w:r/>
            <w:r>
              <w:rPr>
                <w:b/>
                <w:sz w:val="20"/>
              </w:rPr>
              <w:t>Biến động</w:t>
            </w:r>
          </w:p>
        </w:tc>
        <w:tc>
          <w:tcPr>
            <w:tcW w:type="dxa" w:w="3135"/>
          </w:tcPr>
          <w:p>
            <w:r/>
            <w:r>
              <w:rPr>
                <w:sz w:val="20"/>
              </w:rPr>
              <w:t>Biên độ dao động ngày không vượt ngưỡng đầu cơ đã đặt</w:t>
            </w:r>
          </w:p>
        </w:tc>
        <w:tc>
          <w:tcPr>
            <w:tcW w:type="dxa" w:w="3135"/>
          </w:tcPr>
          <w:p>
            <w:r/>
            <w:r>
              <w:rPr>
                <w:sz w:val="20"/>
              </w:rPr>
              <w:t>Loại nhóm cổ phiếu biến động cực đoan, nơi tỷ trọng nhỏ vẫn tạo rủi ro lớn</w:t>
            </w:r>
          </w:p>
        </w:tc>
      </w:tr>
    </w:tbl>
    <w:p>
      <w:pPr>
        <w:pStyle w:val="Chuthichbang"/>
      </w:pPr>
      <w:r>
        <w:t>Bảng CL.1 — Năm điều kiện của bộ lọc cứng</w:t>
      </w:r>
    </w:p>
    <w:p>
      <w:r>
        <w:rPr>
          <w:b w:val="0"/>
          <w:i w:val="0"/>
        </w:rPr>
        <w:t>Hai lựa chọn thiết kế cần giải thích.</w:t>
      </w:r>
    </w:p>
    <w:p>
      <w:r>
        <w:rPr>
          <w:b w:val="0"/>
          <w:i w:val="0"/>
        </w:rPr>
        <w:t>Thứ nhất, đây là bộ lọc theo phép hội, không phải bảng điểm. Một cổ phiếu mạnh gấp đôi thị trường nhưng nằm dưới đường trung bình dài hạn vẫn bị loại như mọi mã khác. Chúng tôi cố tình thiết kế như vậy, vì một cơ chế cho điểm bù trừ luôn tìm được cách đưa mã mà người phân tích đã thích sẵn vào danh mục.</w:t>
      </w:r>
    </w:p>
    <w:p>
      <w:r>
        <w:rPr>
          <w:b w:val="0"/>
          <w:i w:val="0"/>
        </w:rPr>
        <w:t>Thứ hai, khi đo sức mạnh 12 tháng, Quỹ bỏ tháng gần nhất ra khỏi phép tính. Giá cổ phiếu có xu hướng đảo chiều trong khung một tháng, nên phần dữ liệu đó làm nhiễu tín hiệu xu hướng thay vì bổ sung thông tin cho nó.</w:t>
      </w:r>
    </w:p>
    <w:p>
      <w:pPr>
        <w:pStyle w:val="Heading2"/>
      </w:pPr>
      <w:r>
        <w:t>Bước 2 — Xếp hạng: trong số các mã đạt chuẩn, chọn mã nào trước</w:t>
      </w:r>
    </w:p>
    <w:p>
      <w:r>
        <w:rPr>
          <w:b w:val="0"/>
          <w:i w:val="0"/>
        </w:rPr>
        <w:t>Những mã qua được bộ lọc thường vẫn nhiều hơn số vị thế Quỹ có thể mở. Bước hai sắp thứ tự ưu tiên bằng một thang điểm gồm bốn thành phần: sức mạnh tương đối ở khung 12 tháng chiếm trọng số lớn nhất, tiếp đến là khung 6 tháng và khung 3 tháng, phần còn lại dành cho chất lượng xu hướng.</w:t>
      </w:r>
    </w:p>
    <w:p>
      <w:r>
        <w:rPr>
          <w:b w:val="0"/>
          <w:i w:val="0"/>
        </w:rPr>
        <w:t>Trọng số dồn về khung dài nhất vì Quỹ nắm giữ theo tháng chứ không theo tuần. Hai khung ngắn hơn có mặt để một cổ phiếu đã mạnh suốt một năm nhưng đang mất đà trong vài tháng gần đây không giữ được thứ hạng cao chỉ nhờ quá khứ.</w:t>
      </w:r>
    </w:p>
    <w:p>
      <w:r>
        <w:rPr>
          <w:b w:val="0"/>
          <w:i w:val="0"/>
        </w:rPr>
        <w:t>Chất lượng xu hướng đo mức độ giá bám sát một đường tăng đều, thay vì đi lên bằng vài phiên nhảy vọt rồi đứng im. Hai cổ phiếu có thể cho cùng một mức sinh lời trong một năm, nhưng loại tăng đều đặn dễ nắm giữ hơn và ít đảo chiều đột ngột hơn loại tăng giật cục.</w:t>
      </w:r>
    </w:p>
    <w:p>
      <w:r>
        <w:rPr>
          <w:b w:val="0"/>
          <w:i w:val="0"/>
        </w:rPr>
        <w:t>Toàn bộ thang điểm tính theo phân vị trong rổ đã qua bộ lọc, không dùng giá trị tuyệt đối. Mức tăng ba mươi phần trăm trong một năm thị trường bùng nổ không mang cùng ý nghĩa với ba mươi phần trăm trong một năm thị trường đi ngang, và phân vị đưa hai con số đó về cùng một bối cảnh so sánh.</w:t>
      </w:r>
    </w:p>
    <w:tbl>
      <w:tblPr>
        <w:tblStyle w:val="TableGrid"/>
        <w:tblW w:type="auto" w:w="0"/>
        <w:tblLook w:firstColumn="1" w:firstRow="1" w:lastColumn="0" w:lastRow="0" w:noHBand="0" w:noVBand="1" w:val="04A0"/>
      </w:tblPr>
      <w:tblGrid>
        <w:gridCol w:w="9406"/>
      </w:tblGrid>
      <w:tr>
        <w:tc>
          <w:tcPr>
            <w:tcW w:type="dxa" w:w="9406"/>
            <w:shd w:fill="F4F4F4"/>
          </w:tcPr>
          <w:p>
            <w:r/>
            <w:r>
              <w:rPr>
                <w:b/>
                <w:sz w:val="22"/>
              </w:rPr>
              <w:t xml:space="preserve">Điểm cần nhấn  </w:t>
            </w:r>
            <w:r>
              <w:rPr>
                <w:sz w:val="22"/>
              </w:rPr>
              <w:t>Thứ hạng quyết định mã nào được chọn trước, không quyết định mua bao nhiêu. Quỹ tách rời hai việc này để mã có điểm cao nhất không tự động trở thành vị thế lớn nhất. Cách tính tỷ trọng được trình bày ở Bước 4.</w:t>
            </w:r>
          </w:p>
        </w:tc>
      </w:tr>
    </w:tbl>
    <w:p/>
    <w:p>
      <w:pPr>
        <w:pStyle w:val="Heading2"/>
      </w:pPr>
      <w:r>
        <w:t>Bước 3 — Thẩm định từ dưới lên: lớp có quyền phủ quyết</w:t>
      </w:r>
    </w:p>
    <w:p>
      <w:r>
        <w:rPr>
          <w:b w:val="0"/>
          <w:i w:val="0"/>
        </w:rPr>
        <w:t>Hai bước đầu hoàn toàn cơ học và chỉ đọc dữ liệu giá. Bước ba là nơi con người vào cuộc, và là nơi lớp giá trị trong triết lý của Quỹ chặn lớp đà tăng trưởng lại. Thứ tự thẩm định đi từ doanh nghiệp lên ngành rồi mới tới vĩ mô.</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8E8E8"/>
          </w:tcPr>
          <w:p>
            <w:r/>
            <w:r>
              <w:rPr>
                <w:b/>
                <w:sz w:val="20"/>
              </w:rPr>
              <w:t>Lớp</w:t>
            </w:r>
          </w:p>
        </w:tc>
        <w:tc>
          <w:tcPr>
            <w:tcW w:type="dxa" w:w="3135"/>
            <w:shd w:fill="E8E8E8"/>
          </w:tcPr>
          <w:p>
            <w:r/>
            <w:r>
              <w:rPr>
                <w:b/>
                <w:sz w:val="20"/>
              </w:rPr>
              <w:t>Câu hỏi phải trả lời được</w:t>
            </w:r>
          </w:p>
        </w:tc>
        <w:tc>
          <w:tcPr>
            <w:tcW w:type="dxa" w:w="3135"/>
            <w:shd w:fill="E8E8E8"/>
          </w:tcPr>
          <w:p>
            <w:r/>
            <w:r>
              <w:rPr>
                <w:b/>
                <w:sz w:val="20"/>
              </w:rPr>
              <w:t>Căn cứ loại bỏ</w:t>
            </w:r>
          </w:p>
        </w:tc>
      </w:tr>
      <w:tr>
        <w:tc>
          <w:tcPr>
            <w:tcW w:type="dxa" w:w="3135"/>
          </w:tcPr>
          <w:p>
            <w:r/>
            <w:r>
              <w:rPr>
                <w:b/>
                <w:sz w:val="20"/>
              </w:rPr>
              <w:t>Doanh nghiệp</w:t>
            </w:r>
          </w:p>
        </w:tc>
        <w:tc>
          <w:tcPr>
            <w:tcW w:type="dxa" w:w="3135"/>
          </w:tcPr>
          <w:p>
            <w:r/>
            <w:r>
              <w:rPr>
                <w:sz w:val="20"/>
              </w:rPr>
              <w:t>Doanh nghiệp kiếm tiền bằng cách nào, giải thích trong hai phút? Lợi nhuận có chuyển thành dòng tiền không? Hiệu quả sinh lời trên vốn có ổn định qua chu kỳ không? Cơ cấu sở hữu và quản trị có đọc được không?</w:t>
            </w:r>
          </w:p>
        </w:tc>
        <w:tc>
          <w:tcPr>
            <w:tcW w:type="dxa" w:w="3135"/>
          </w:tcPr>
          <w:p>
            <w:r/>
            <w:r>
              <w:rPr>
                <w:sz w:val="20"/>
              </w:rPr>
              <w:t>Lợi nhuận đến từ đánh giá lại tài sản, từ giao dịch với bên liên quan, hoặc từ những mảng kinh doanh mà chính báo cáo thường niên cũng mô tả mơ hồ</w:t>
            </w:r>
          </w:p>
        </w:tc>
      </w:tr>
      <w:tr>
        <w:tc>
          <w:tcPr>
            <w:tcW w:type="dxa" w:w="3135"/>
          </w:tcPr>
          <w:p>
            <w:r/>
            <w:r>
              <w:rPr>
                <w:b/>
                <w:sz w:val="20"/>
              </w:rPr>
              <w:t>Ngành</w:t>
            </w:r>
          </w:p>
        </w:tc>
        <w:tc>
          <w:tcPr>
            <w:tcW w:type="dxa" w:w="3135"/>
          </w:tcPr>
          <w:p>
            <w:r/>
            <w:r>
              <w:rPr>
                <w:sz w:val="20"/>
              </w:rPr>
              <w:t>Đà tăng của mã này đến từ chính doanh nghiệp hay chỉ từ một con sóng ngành? Động lực tăng trưởng của ngành còn phía trước hay đã phản ánh hết vào giá? Ngành đang ở đâu trong chu kỳ của nó?</w:t>
            </w:r>
          </w:p>
        </w:tc>
        <w:tc>
          <w:tcPr>
            <w:tcW w:type="dxa" w:w="3135"/>
          </w:tcPr>
          <w:p>
            <w:r/>
            <w:r>
              <w:rPr>
                <w:sz w:val="20"/>
              </w:rPr>
              <w:t>Doanh nghiệp chỉ mạnh nhờ ngành đang thuận, không có gì riêng để giữ được vị thế khi sóng ngành đi qua</w:t>
            </w:r>
          </w:p>
        </w:tc>
      </w:tr>
      <w:tr>
        <w:tc>
          <w:tcPr>
            <w:tcW w:type="dxa" w:w="3135"/>
          </w:tcPr>
          <w:p>
            <w:r/>
            <w:r>
              <w:rPr>
                <w:b/>
                <w:sz w:val="20"/>
              </w:rPr>
              <w:t>Vĩ mô</w:t>
            </w:r>
          </w:p>
        </w:tc>
        <w:tc>
          <w:tcPr>
            <w:tcW w:type="dxa" w:w="3135"/>
          </w:tcPr>
          <w:p>
            <w:r/>
            <w:r>
              <w:rPr>
                <w:sz w:val="20"/>
              </w:rPr>
              <w:t>Yếu tố vĩ mô nào có thể phá vỡ luận điểm này? Doanh nghiệp chịu tác động ra sao nếu lãi suất, tỷ giá, chính sách hoặc giá đầu vào đổi chiều? Dấu hiệu sớm nào cho thấy điều đó đang xảy ra?</w:t>
            </w:r>
          </w:p>
        </w:tc>
        <w:tc>
          <w:tcPr>
            <w:tcW w:type="dxa" w:w="3135"/>
          </w:tcPr>
          <w:p>
            <w:r/>
            <w:r>
              <w:rPr>
                <w:sz w:val="20"/>
              </w:rPr>
              <w:t>Luận điểm phụ thuộc hoàn toàn vào một biến vĩ mô mà Quỹ không có khả năng theo dõi hoặc dự báo</w:t>
            </w:r>
          </w:p>
        </w:tc>
      </w:tr>
    </w:tbl>
    <w:p>
      <w:pPr>
        <w:pStyle w:val="Chuthichbang"/>
      </w:pPr>
      <w:r>
        <w:t>Bảng CL.2 — Ba lớp thẩm định từ dưới lên</w:t>
      </w:r>
    </w:p>
    <w:p>
      <w:r>
        <w:rPr>
          <w:b w:val="0"/>
          <w:i w:val="0"/>
        </w:rPr>
        <w:t>Đây là bước duy nhất trong bốn bước có quyền phủ quyết. Một mã đứng đầu bảng xếp hạng vẫn bị loại nếu không qua được lớp này, và quyết định loại không cần biện minh bằng bất cứ chỉ báo giá nào.</w:t>
      </w:r>
    </w:p>
    <w:p>
      <w:r>
        <w:rPr>
          <w:b w:val="0"/>
          <w:i w:val="0"/>
        </w:rPr>
        <w:t>Mọi mã bị loại ở bước ba được ghi vào sổ kèm lý do cụ thể. Việc này có hai công dụng. Nó tạo ra bằng chứng rằng lớp thẩm định thực sự hoạt động chứ không phải một thủ tục hình thức, và nó cho phép Quỹ đối chiếu về sau: nếu một mã bị loại rồi tăng mạnh, lý do loại khi đó có còn đứng vững không.</w:t>
      </w:r>
    </w:p>
    <w:tbl>
      <w:tblPr>
        <w:tblStyle w:val="TableGrid"/>
        <w:tblW w:type="auto" w:w="0"/>
        <w:tblLook w:firstColumn="1" w:firstRow="1" w:lastColumn="0" w:lastRow="0" w:noHBand="0" w:noVBand="1" w:val="04A0"/>
      </w:tblPr>
      <w:tblGrid>
        <w:gridCol w:w="9406"/>
      </w:tblGrid>
      <w:tr>
        <w:tc>
          <w:tcPr>
            <w:tcW w:type="dxa" w:w="9406"/>
            <w:shd w:fill="F4F4F4"/>
          </w:tcPr>
          <w:p>
            <w:r/>
            <w:r>
              <w:rPr>
                <w:b/>
                <w:sz w:val="22"/>
              </w:rPr>
              <w:t xml:space="preserve">Tự kiểm tra bắt buộc  </w:t>
            </w:r>
            <w:r>
              <w:rPr>
                <w:sz w:val="22"/>
              </w:rPr>
              <w:t>Nếu trong một kỳ rà soát, lớp thẩm định không loại được mã nào, Quỹ ghi nhận điều đó như một cảnh báo. Một lớp phủ quyết không bao giờ phủ quyết thì trên thực tế không tồn tại.</w:t>
            </w:r>
          </w:p>
        </w:tc>
      </w:tr>
    </w:tbl>
    <w:p/>
    <w:p>
      <w:pPr>
        <w:pStyle w:val="Heading2"/>
      </w:pPr>
      <w:r>
        <w:t>Bước 4 — Định giá và điểm mua</w:t>
      </w:r>
    </w:p>
    <w:p>
      <w:r>
        <w:rPr>
          <w:b w:val="0"/>
          <w:i w:val="0"/>
        </w:rPr>
        <w:t>Đến bước này, mã đã đạt về xu hướng và đạt về doanh nghiệp. Câu hỏi còn lại là giá.</w:t>
      </w:r>
    </w:p>
    <w:p>
      <w:r>
        <w:rPr>
          <w:b w:val="0"/>
          <w:i w:val="0"/>
        </w:rPr>
        <w:t>Quỹ so sánh mức giá hiện tại với năng lực sinh lời và tốc độ tăng trưởng chứng minh được của doanh nghiệp, đối chiếu cả với chính doanh nghiệp đó trong quá khứ và với nhóm cùng ngành. Một mã đạt toàn bộ tiêu chí cơ bản nhưng đang giao dịch ở mức giá đòi hỏi mọi giả định đều đúng thì không được mua, mà được đưa vào danh sách chờ và theo dõi tiếp.</w:t>
      </w:r>
    </w:p>
    <w:p>
      <w:r>
        <w:rPr>
          <w:b w:val="0"/>
          <w:i w:val="0"/>
        </w:rPr>
        <w:t>Về điểm mua, Quỹ áp dụng ba nguyên tắc.</w:t>
      </w:r>
    </w:p>
    <w:p>
      <w:r>
        <w:rPr>
          <w:b w:val="0"/>
          <w:i w:val="0"/>
        </w:rPr>
        <w:t>Mua ở vùng giá đang củng cố, gần vùng hỗ trợ hoặc gần đường trung bình trung hạn. Quỹ không mua đuổi ngay sau một nhịp tăng dốc, vì điểm vào đó khiến ngưỡng dừng lỗ bị đẩy ra quá xa và làm hỏng cấu trúc rủi ro của vị thế.</w:t>
      </w:r>
    </w:p>
    <w:p>
      <w:r>
        <w:rPr>
          <w:b w:val="0"/>
          <w:i w:val="0"/>
        </w:rPr>
        <w:t>Chia lệnh làm hai phần. Phần thứ nhất giải ngân khi đủ tín hiệu, phần thứ hai chỉ giải ngân khi giá xác nhận bằng việc giữ được vùng vừa mua. Cách này đánh đổi một phần lợi nhuận lấy việc giảm thiệt hại khi tín hiệu sai.</w:t>
      </w:r>
    </w:p>
    <w:p>
      <w:r>
        <w:rPr>
          <w:b w:val="0"/>
          <w:i w:val="0"/>
        </w:rPr>
        <w:t>Không đặt lệnh trong phiên có khối lượng đột biến mà chưa xác định được nguyên nhân.</w:t>
      </w:r>
    </w:p>
    <w:p>
      <w:r>
        <w:rPr>
          <w:b w:val="0"/>
          <w:i w:val="0"/>
        </w:rPr>
        <w:t>Về tỷ trọng, Quỹ phân bổ nghịch với biến động: mã dao động mạnh hơn nhận tỷ trọng nhỏ hơn, để mỗi vị thế đóng góp một lượng rủi ro tương đương vào danh mục. Trên nền đó, Quỹ áp trần cho từng mã và từng ngành theo đúng ràng buộc đã công bố trong chính sách đầu tư. Danh mục được chia thành một số ô cố định; ô nào không tìm được mã đạt chuẩn thì ô đó nằm tiền, và đó là toàn bộ cơ chế sinh ra tiền mặt trong danh mục.</w:t>
      </w:r>
    </w:p>
    <w:p>
      <w:pPr>
        <w:pStyle w:val="Heading2"/>
      </w:pPr>
      <w:r>
        <w:t>Quy tắc bán</w:t>
      </w:r>
    </w:p>
    <w:p>
      <w:r>
        <w:rPr>
          <w:b w:val="0"/>
          <w:i w:val="0"/>
        </w:rPr>
        <w:t>Quỹ rà soát toàn bộ danh mục vào đầu mỗi tháng. Trong tháng, Quỹ không can thiệp, trừ một ngoại lệ duy nhất được nêu ở cuối mục này. Lý do của nhịp rà soát cố định là kinh nghiệm rằng phần lớn quyết định tệ được đưa ra trong lúc giá đang chạy và người ra quyết định đang nhìn bảng điện.</w:t>
      </w:r>
    </w:p>
    <w:p>
      <w:pPr>
        <w:pStyle w:val="Chuthichbang"/>
      </w:pPr>
      <w:r>
        <w:t>Nguồn: Quy trình vận hành của Quỹ</w:t>
      </w:r>
    </w:p>
    <w:p>
      <w:pPr>
        <w:pStyle w:val="Heading2"/>
      </w:pPr>
      <w:r>
        <w:t>Bốn quy tắc thoát</w:t>
      </w:r>
    </w:p>
    <w:p>
      <w:r>
        <w:rPr>
          <w:b w:val="0"/>
          <w:i w:val="0"/>
        </w:rPr>
        <w:t>Mỗi vị thế được rà soát bằng bốn câu hỏi. Chỉ cần một câu trả lời phủ định, vị thế được bán toàn bộ ngay trong kỳ rà soát đó.</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8E8E8"/>
          </w:tcPr>
          <w:p>
            <w:r/>
            <w:r>
              <w:rPr>
                <w:b/>
                <w:sz w:val="20"/>
              </w:rPr>
              <w:t>#</w:t>
            </w:r>
          </w:p>
        </w:tc>
        <w:tc>
          <w:tcPr>
            <w:tcW w:type="dxa" w:w="3135"/>
            <w:shd w:fill="E8E8E8"/>
          </w:tcPr>
          <w:p>
            <w:r/>
            <w:r>
              <w:rPr>
                <w:b/>
                <w:sz w:val="20"/>
              </w:rPr>
              <w:t>Câu hỏi</w:t>
            </w:r>
          </w:p>
        </w:tc>
        <w:tc>
          <w:tcPr>
            <w:tcW w:type="dxa" w:w="3135"/>
            <w:shd w:fill="E8E8E8"/>
          </w:tcPr>
          <w:p>
            <w:r/>
            <w:r>
              <w:rPr>
                <w:b/>
                <w:sz w:val="20"/>
              </w:rPr>
              <w:t>Ý nghĩa của câu trả lời phủ định</w:t>
            </w:r>
          </w:p>
        </w:tc>
      </w:tr>
      <w:tr>
        <w:tc>
          <w:tcPr>
            <w:tcW w:type="dxa" w:w="3135"/>
          </w:tcPr>
          <w:p>
            <w:r/>
            <w:r>
              <w:rPr>
                <w:b/>
                <w:sz w:val="20"/>
              </w:rPr>
              <w:t>1</w:t>
            </w:r>
          </w:p>
        </w:tc>
        <w:tc>
          <w:tcPr>
            <w:tcW w:type="dxa" w:w="3135"/>
          </w:tcPr>
          <w:p>
            <w:r/>
            <w:r>
              <w:rPr>
                <w:sz w:val="20"/>
              </w:rPr>
              <w:t>Giá còn giữ trên vùng trung bình dài hạn, sau khi đã trừ một khoảng đệm chống nhiễu?</w:t>
            </w:r>
          </w:p>
        </w:tc>
        <w:tc>
          <w:tcPr>
            <w:tcW w:type="dxa" w:w="3135"/>
          </w:tcPr>
          <w:p>
            <w:r/>
            <w:r>
              <w:rPr>
                <w:sz w:val="20"/>
              </w:rPr>
              <w:t>Xu hướng dài hạn đã gãy. Khoảng đệm tồn tại để một phiên xuyên thủng rồi hồi ngay không kích hoạt lệnh bán</w:t>
            </w:r>
          </w:p>
        </w:tc>
      </w:tr>
      <w:tr>
        <w:tc>
          <w:tcPr>
            <w:tcW w:type="dxa" w:w="3135"/>
          </w:tcPr>
          <w:p>
            <w:r/>
            <w:r>
              <w:rPr>
                <w:b/>
                <w:sz w:val="20"/>
              </w:rPr>
              <w:t>2</w:t>
            </w:r>
          </w:p>
        </w:tc>
        <w:tc>
          <w:tcPr>
            <w:tcW w:type="dxa" w:w="3135"/>
          </w:tcPr>
          <w:p>
            <w:r/>
            <w:r>
              <w:rPr>
                <w:sz w:val="20"/>
              </w:rPr>
              <w:t>Cổ phiếu còn mạnh hơn VN-Index trong khung 12 tháng?</w:t>
            </w:r>
          </w:p>
        </w:tc>
        <w:tc>
          <w:tcPr>
            <w:tcW w:type="dxa" w:w="3135"/>
          </w:tcPr>
          <w:p>
            <w:r/>
            <w:r>
              <w:rPr>
                <w:sz w:val="20"/>
              </w:rPr>
              <w:t>Lý do mua ban đầu đã mất. Quỹ cho phép một khoảng suy yếu nhất định trước khi bán, để tránh bán ở đúng nhịp điều chỉnh của thị trường chung</w:t>
            </w:r>
          </w:p>
        </w:tc>
      </w:tr>
      <w:tr>
        <w:tc>
          <w:tcPr>
            <w:tcW w:type="dxa" w:w="3135"/>
          </w:tcPr>
          <w:p>
            <w:r/>
            <w:r>
              <w:rPr>
                <w:b/>
                <w:sz w:val="20"/>
              </w:rPr>
              <w:t>3</w:t>
            </w:r>
          </w:p>
        </w:tc>
        <w:tc>
          <w:tcPr>
            <w:tcW w:type="dxa" w:w="3135"/>
          </w:tcPr>
          <w:p>
            <w:r/>
            <w:r>
              <w:rPr>
                <w:sz w:val="20"/>
              </w:rPr>
              <w:t>Còn nằm trong nhóm dẫn đầu bảng xếp hạng?</w:t>
            </w:r>
          </w:p>
        </w:tc>
        <w:tc>
          <w:tcPr>
            <w:tcW w:type="dxa" w:w="3135"/>
          </w:tcPr>
          <w:p>
            <w:r/>
            <w:r>
              <w:rPr>
                <w:sz w:val="20"/>
              </w:rPr>
              <w:t>Có cơ hội tốt hơn đang chờ. Đây là quy tắc thay thế, không phải quy tắc cắt lỗ</w:t>
            </w:r>
          </w:p>
        </w:tc>
      </w:tr>
      <w:tr>
        <w:tc>
          <w:tcPr>
            <w:tcW w:type="dxa" w:w="3135"/>
          </w:tcPr>
          <w:p>
            <w:r/>
            <w:r>
              <w:rPr>
                <w:b/>
                <w:sz w:val="20"/>
              </w:rPr>
              <w:t>4</w:t>
            </w:r>
          </w:p>
        </w:tc>
        <w:tc>
          <w:tcPr>
            <w:tcW w:type="dxa" w:w="3135"/>
          </w:tcPr>
          <w:p>
            <w:r/>
            <w:r>
              <w:rPr>
                <w:sz w:val="20"/>
              </w:rPr>
              <w:t>Luận điểm doanh nghiệp còn nguyên vẹn như khi mua?</w:t>
            </w:r>
          </w:p>
        </w:tc>
        <w:tc>
          <w:tcPr>
            <w:tcW w:type="dxa" w:w="3135"/>
          </w:tcPr>
          <w:p>
            <w:r/>
            <w:r>
              <w:rPr>
                <w:sz w:val="20"/>
              </w:rPr>
              <w:t>Lớp thẩm định ở Bước 3 đã đổi kết luận. Đây là quy tắc duy nhất không đọc dữ liệu giá</w:t>
            </w:r>
          </w:p>
        </w:tc>
      </w:tr>
    </w:tbl>
    <w:p>
      <w:pPr>
        <w:pStyle w:val="Chuthichbang"/>
      </w:pPr>
      <w:r>
        <w:t>Bảng CL.3 — Bốn quy tắc thoát, rà soát đầu mỗi tháng</w:t>
      </w:r>
    </w:p>
    <w:p>
      <w:r>
        <w:rPr>
          <w:b w:val="0"/>
          <w:i w:val="0"/>
        </w:rPr>
        <w:t>Vốn thu về từ lệnh bán được chuyển sang mã đứng đầu danh sách chờ. Nếu danh sách chờ rỗng, phần vốn đó nằm tiền cho tới kỳ rà soát sau.</w:t>
      </w:r>
    </w:p>
    <w:p>
      <w:pPr>
        <w:pStyle w:val="Heading2"/>
      </w:pPr>
      <w:r>
        <w:t>Quy tắc thứ năm: bán bớt khi giá quá nóng</w:t>
      </w:r>
    </w:p>
    <w:p>
      <w:r>
        <w:rPr>
          <w:b w:val="0"/>
          <w:i w:val="0"/>
        </w:rPr>
        <w:t>Bốn quy tắc trên đều bán vì cổ phiếu yếu đi. Quy tắc thứ năm bán vì lý do ngược lại, và nó tồn tại chính vì triết lý của Quỹ có hai lớp.</w:t>
      </w:r>
    </w:p>
    <w:p>
      <w:r>
        <w:rPr>
          <w:b w:val="0"/>
          <w:i w:val="0"/>
        </w:rPr>
        <w:t>Đà tăng là lý do Quỹ tiếp tục nắm giữ, nhưng giá trị mới là lý do Quỹ đã mua. Khi giá chạy quá xa cả nền giá kỹ thuật lẫn năng lực sinh lời của doanh nghiệp, phần vượt trội đó không còn được lớp giá trị đỡ nữa. Nó chỉ còn được đỡ bởi kỳ vọng, và kỳ vọng thì rút đi nhanh hơn nhiều so với lợi nhuận.</w:t>
      </w:r>
    </w:p>
    <w:p>
      <w:r>
        <w:rPr>
          <w:b w:val="0"/>
          <w:i w:val="0"/>
        </w:rPr>
        <w:t>Quỹ nhận diện trạng thái quá nóng bằng ba dấu hiệu, và chỉ hành động khi cả ba cùng xuất hiện:</w:t>
      </w:r>
    </w:p>
    <w:p>
      <w:r>
        <w:rPr>
          <w:b w:val="0"/>
          <w:i w:val="0"/>
        </w:rPr>
        <w:t>Khoảng cách giữa giá và đường trung bình trung hạn giãn tới vùng rộng nhất mà chính cổ phiếu đó từng ghi nhận trong hai năm gần đây.</w:t>
      </w:r>
    </w:p>
    <w:p>
      <w:r>
        <w:rPr>
          <w:b w:val="0"/>
          <w:i w:val="0"/>
        </w:rPr>
        <w:t>Mức định giá vượt lên trên vùng cao nhất của chính doanh nghiệp trong vài năm gần nhất, mà không có thay đổi tương ứng trong năng lực sinh lời.</w:t>
      </w:r>
    </w:p>
    <w:p>
      <w:r>
        <w:rPr>
          <w:b w:val="0"/>
          <w:i w:val="0"/>
        </w:rPr>
        <w:t>Nhịp tăng đi kèm khối lượng đột biến rồi cạn dần, trong khi giá vẫn tiếp tục đi lên.</w:t>
      </w:r>
    </w:p>
    <w:p>
      <w:r>
        <w:rPr>
          <w:b w:val="0"/>
          <w:i w:val="0"/>
        </w:rPr>
        <w:t>Khi đủ ba dấu hiệu, Quỹ giảm tỷ trọng vị thế xuống một nửa. Phần giữ lại tiếp tục chịu bốn quy tắc thoát thông thường.</w:t>
      </w:r>
    </w:p>
    <w:tbl>
      <w:tblPr>
        <w:tblStyle w:val="TableGrid"/>
        <w:tblW w:type="auto" w:w="0"/>
        <w:tblLook w:firstColumn="1" w:firstRow="1" w:lastColumn="0" w:lastRow="0" w:noHBand="0" w:noVBand="1" w:val="04A0"/>
      </w:tblPr>
      <w:tblGrid>
        <w:gridCol w:w="9406"/>
      </w:tblGrid>
      <w:tr>
        <w:tc>
          <w:tcPr>
            <w:tcW w:type="dxa" w:w="9406"/>
            <w:shd w:fill="F4F4F4"/>
          </w:tcPr>
          <w:p>
            <w:r/>
            <w:r>
              <w:rPr>
                <w:b/>
                <w:sz w:val="22"/>
              </w:rPr>
              <w:t xml:space="preserve">Giới hạn tự đặt cho quy tắc này  </w:t>
            </w:r>
            <w:r>
              <w:rPr>
                <w:sz w:val="22"/>
              </w:rPr>
              <w:t>Quy tắc thứ năm mang tính xét đoán nhiều hơn bốn quy tắc trên, và nó chưa được kiểm chứng trên dữ liệu quá khứ như phần còn lại của hệ thống. Vì vậy Quỹ giới hạn nó ở việc giảm tỷ trọng, không cho phép nó đóng hoàn toàn một vị thế. Ranh giới này được đặt ra để một quy tắc chưa được kiểm chứng không thể vô hiệu hoá những quy tắc đã được kiểm chứng.</w:t>
            </w:r>
          </w:p>
        </w:tc>
      </w:tr>
    </w:tbl>
    <w:p/>
    <w:p>
      <w:pPr>
        <w:pStyle w:val="Heading2"/>
      </w:pPr>
      <w:r>
        <w:t>Vì sao Quỹ không đặt giá mục tiêu để chốt lời</w:t>
      </w:r>
    </w:p>
    <w:p>
      <w:r>
        <w:rPr>
          <w:b w:val="0"/>
          <w:i w:val="0"/>
        </w:rPr>
        <w:t>Quỹ không đặt mức giá chốt lời định trước cho bất kỳ vị thế nào. Trong một hệ thống nắm giữ theo xu hướng, phần lớn lợi nhuận của cả danh mục đến từ một số ít vị thế chạy rất xa, còn phần đông vị thế chỉ hoà hoặc lỗ nhẹ. Đặt một mức giá mục tiêu đồng nghĩa với việc tự cắt cụt đúng nhóm thiểu số tạo ra phần lớn kết quả, trong khi vẫn phải chịu đủ nhóm đa số thua lỗ.</w:t>
      </w:r>
    </w:p>
    <w:p>
      <w:r>
        <w:rPr>
          <w:b w:val="0"/>
          <w:i w:val="0"/>
        </w:rPr>
        <w:t>Quy tắc thứ năm ở trên không mâu thuẫn với nguyên tắc này. Nó không đặt một mức giá định trước, mà phản ứng với trạng thái của thị trường tại thời điểm rà soát, và nó chỉ giảm tỷ trọng chứ không đóng vị thế.</w:t>
      </w:r>
    </w:p>
    <w:p>
      <w:pPr>
        <w:pStyle w:val="Heading2"/>
      </w:pPr>
      <w:r>
        <w:t>Chặn cứng và biên không giao dịch</w:t>
      </w:r>
    </w:p>
    <w:p>
      <w:r>
        <w:rPr>
          <w:b w:val="0"/>
          <w:i w:val="0"/>
        </w:rPr>
        <w:t>Ngoại lệ duy nhất được phép kích hoạt giữa hai kỳ rà soát là chặn cứng theo giá vốn. Một vị thế lỗ quá ngưỡng kỷ luật đã đặt được bán ngay, không chờ đến đầu tháng. Đây cũng là quy tắc duy nhất trong toàn bộ hệ thống có tham chiếu tới giá vốn.</w:t>
      </w:r>
    </w:p>
    <w:p>
      <w:r>
        <w:rPr>
          <w:b w:val="0"/>
          <w:i w:val="0"/>
        </w:rPr>
        <w:t>Ở chiều ngược lại, khi tỷ trọng thực tế của một vị thế lệch khỏi tỷ trọng mục tiêu một khoảng nhỏ, Quỹ không điều chỉnh. Mỗi lần cân lại đều mất phí và thuế, và với biên độ lệch nhỏ thì chi phí đó lớn hơn lợi ích của việc cân chính xác.</w:t>
      </w:r>
    </w:p>
    <w:p>
      <w:pPr>
        <w:pStyle w:val="Heading2"/>
      </w:pPr>
      <w:r>
        <w:t>Kỷ luật khi giá đi ngược kỳ vọng</w:t>
      </w:r>
    </w:p>
    <w:p>
      <w:r>
        <w:rPr>
          <w:b w:val="0"/>
          <w:i w:val="0"/>
        </w:rPr>
        <w:t>Mục này mô tả điều Quỹ làm trong tình huống khó nhất: vị thế đang lỗ, và mọi thứ trong người phân tích đều muốn hành động.</w:t>
      </w:r>
    </w:p>
    <w:p>
      <w:r>
        <w:rPr>
          <w:b w:val="0"/>
          <w:i w:val="0"/>
        </w:rPr>
        <w:t>Nguyên tắc gốc là giá giảm tự nó không phải căn cứ để bán, và cũng không phải căn cứ để mua thêm. Căn cứ duy nhất là bốn câu hỏi ở Bảng CL.3. Một cổ phiếu lỗ hai mươi phần trăm nhưng vẫn trả lời có cho cả bốn câu thì được giữ nguyên. Một cổ phiếu đang lãi nhưng trả lời không cho một câu thì bị bán.</w:t>
      </w:r>
    </w:p>
    <w:p>
      <w:r>
        <w:rPr>
          <w:b w:val="0"/>
          <w:i w:val="0"/>
        </w:rPr>
        <w:t>Từ nguyên tắc đó, Quỹ rút ra bốn quy định cụ thể.</w:t>
      </w:r>
    </w:p>
    <w:tbl>
      <w:tblPr>
        <w:tblStyle w:val="TableGrid"/>
        <w:tblW w:type="auto" w:w="0"/>
        <w:jc w:val="center"/>
        <w:tblLook w:firstColumn="1" w:firstRow="1" w:lastColumn="0" w:lastRow="0" w:noHBand="0" w:noVBand="1" w:val="04A0"/>
      </w:tblPr>
      <w:tblGrid>
        <w:gridCol w:w="4703"/>
        <w:gridCol w:w="4703"/>
      </w:tblGrid>
      <w:tr>
        <w:tc>
          <w:tcPr>
            <w:tcW w:type="dxa" w:w="4703"/>
            <w:shd w:fill="E8E8E8"/>
          </w:tcPr>
          <w:p>
            <w:r/>
            <w:r>
              <w:rPr>
                <w:b/>
                <w:sz w:val="20"/>
              </w:rPr>
              <w:t>Quy định</w:t>
            </w:r>
          </w:p>
        </w:tc>
        <w:tc>
          <w:tcPr>
            <w:tcW w:type="dxa" w:w="4703"/>
            <w:shd w:fill="E8E8E8"/>
          </w:tcPr>
          <w:p>
            <w:r/>
            <w:r>
              <w:rPr>
                <w:b/>
                <w:sz w:val="20"/>
              </w:rPr>
              <w:t>Nội dung và lý do</w:t>
            </w:r>
          </w:p>
        </w:tc>
      </w:tr>
      <w:tr>
        <w:tc>
          <w:tcPr>
            <w:tcW w:type="dxa" w:w="4703"/>
          </w:tcPr>
          <w:p>
            <w:r/>
            <w:r>
              <w:rPr>
                <w:b/>
                <w:sz w:val="20"/>
              </w:rPr>
              <w:t>Không bình quân giá xuống</w:t>
            </w:r>
          </w:p>
        </w:tc>
        <w:tc>
          <w:tcPr>
            <w:tcW w:type="dxa" w:w="4703"/>
          </w:tcPr>
          <w:p>
            <w:r/>
            <w:r>
              <w:rPr>
                <w:sz w:val="20"/>
              </w:rPr>
              <w:t>Quỹ không mua thêm một vị thế đang lỗ để hạ giá vốn. Mua thêm mã đang yếu là đặt cược rằng thị trường đang sai, trong khi triết lý của Quỹ nói rằng khi cơ bản và xu hướng bất đồng thì Quỹ đứng ngoài. Vốn dành cho việc mua thêm luôn có một lựa chọn thay thế tốt hơn: một mã đang đứng đầu danh sách chờ và đạt cả bốn tiêu chí</w:t>
            </w:r>
          </w:p>
        </w:tc>
      </w:tr>
      <w:tr>
        <w:tc>
          <w:tcPr>
            <w:tcW w:type="dxa" w:w="4703"/>
          </w:tcPr>
          <w:p>
            <w:r/>
            <w:r>
              <w:rPr>
                <w:b/>
                <w:sz w:val="20"/>
              </w:rPr>
              <w:t>Không hành động trong tháng</w:t>
            </w:r>
          </w:p>
        </w:tc>
        <w:tc>
          <w:tcPr>
            <w:tcW w:type="dxa" w:w="4703"/>
          </w:tcPr>
          <w:p>
            <w:r/>
            <w:r>
              <w:rPr>
                <w:sz w:val="20"/>
              </w:rPr>
              <w:t>Giữa hai kỳ rà soát, Quỹ không bán, không mua thêm, không đổi tỷ trọng, trừ khi chạm chặn cứng. Quy định này bảo vệ hệ thống khỏi chính người vận hành nó trong những phiên biến động mạnh</w:t>
            </w:r>
          </w:p>
        </w:tc>
      </w:tr>
      <w:tr>
        <w:tc>
          <w:tcPr>
            <w:tcW w:type="dxa" w:w="4703"/>
          </w:tcPr>
          <w:p>
            <w:r/>
            <w:r>
              <w:rPr>
                <w:b/>
                <w:sz w:val="20"/>
              </w:rPr>
              <w:t>Không dùng giá vốn làm căn cứ</w:t>
            </w:r>
          </w:p>
        </w:tc>
        <w:tc>
          <w:tcPr>
            <w:tcW w:type="dxa" w:w="4703"/>
          </w:tcPr>
          <w:p>
            <w:r/>
            <w:r>
              <w:rPr>
                <w:sz w:val="20"/>
              </w:rPr>
              <w:t>Quỹ không giữ một vị thế để chờ về giá vốn, và cũng không bán một vị thế chỉ vì vừa vượt giá vốn. Thị trường không biết Quỹ đã mua ở giá nào, nên giá vốn không mang thông tin nào về tương lai của cổ phiếu. Ngoại lệ duy nhất là chặn cứng, và đó là một quy tắc quản trị rủi ro chứ không phải một dự báo</w:t>
            </w:r>
          </w:p>
        </w:tc>
      </w:tr>
      <w:tr>
        <w:tc>
          <w:tcPr>
            <w:tcW w:type="dxa" w:w="4703"/>
          </w:tcPr>
          <w:p>
            <w:r/>
            <w:r>
              <w:rPr>
                <w:b/>
                <w:sz w:val="20"/>
              </w:rPr>
              <w:t>Không viết lại luận điểm</w:t>
            </w:r>
          </w:p>
        </w:tc>
        <w:tc>
          <w:tcPr>
            <w:tcW w:type="dxa" w:w="4703"/>
          </w:tcPr>
          <w:p>
            <w:r/>
            <w:r>
              <w:rPr>
                <w:sz w:val="20"/>
              </w:rPr>
              <w:t>Khi một vị thế đi ngược kỳ vọng, Quỹ không được phép đổi lý do nắm giữ để tiếp tục nắm giữ. Câu nói quen thuộc rằng một mã ngắn hạn nay đã thành câu chuyện dài hạn là dấu hiệu rõ nhất của việc này. Luận điểm mua được ghi lại từ đầu, và ở kỳ rà soát, Quỹ đối chiếu với đúng bản đã ghi</w:t>
            </w:r>
          </w:p>
        </w:tc>
      </w:tr>
    </w:tbl>
    <w:p>
      <w:pPr>
        <w:pStyle w:val="Chuthichbang"/>
      </w:pPr>
      <w:r>
        <w:t>Bảng CL.4 — Bốn quy định kỷ luật khi vị thế đi ngược kỳ vọng</w:t>
      </w:r>
    </w:p>
    <w:p>
      <w:r>
        <w:rPr>
          <w:b w:val="0"/>
          <w:i w:val="0"/>
        </w:rPr>
        <w:t>Mỗi lệnh bán đều được ghi nhật ký kèm quy tắc đã kích hoạt nó. Cuối kỳ, Quỹ đối chiếu lại toàn bộ nhật ký để tách hai loại sai lầm khác nhau: sai vì không tuân thủ quy trình, và tuân thủ đúng quy trình nhưng kết quả vẫn xấu. Loại thứ nhất phải sửa ngay ở người vận hành. Loại thứ hai chỉ được sửa khi tích luỹ đủ số quan sát, vì trong đầu tư, một quyết định đúng vẫn có thể cho kết quả tồi.</w:t>
      </w:r>
    </w:p>
    <w:p>
      <w:pPr>
        <w:pStyle w:val="Heading2"/>
      </w:pPr>
      <w:r>
        <w:t>Xử lý hai vị thế không đạt tiêu chí từ đầu kỳ</w:t>
      </w:r>
    </w:p>
    <w:p>
      <w:r>
        <w:rPr>
          <w:b w:val="0"/>
          <w:i w:val="0"/>
        </w:rPr>
        <w:t>Bộ tiêu chí trình bày ở trên được chốt sau khi Quỹ đã mở một số vị thế theo khung phân tích cũ. Ngay khi bộ tiêu chí hoàn tất, chúng tôi chạy lại toàn bộ danh mục đang nắm giữ qua đúng bộ lọc đó. Kết quả là hai trong ba vị thế không đạt.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8E8E8"/>
          </w:tcPr>
          <w:p>
            <w:r/>
            <w:r>
              <w:rPr>
                <w:b/>
                <w:sz w:val="20"/>
              </w:rPr>
              <w:t>Vị thế</w:t>
            </w:r>
          </w:p>
        </w:tc>
        <w:tc>
          <w:tcPr>
            <w:tcW w:type="dxa" w:w="3135"/>
            <w:shd w:fill="E8E8E8"/>
          </w:tcPr>
          <w:p>
            <w:r/>
            <w:r>
              <w:rPr>
                <w:b/>
                <w:sz w:val="20"/>
              </w:rPr>
              <w:t>Kết quả khi chạy lại qua bộ lọc</w:t>
            </w:r>
          </w:p>
        </w:tc>
        <w:tc>
          <w:tcPr>
            <w:tcW w:type="dxa" w:w="3135"/>
            <w:shd w:fill="E8E8E8"/>
          </w:tcPr>
          <w:p>
            <w:r/>
            <w:r>
              <w:rPr>
                <w:b/>
                <w:sz w:val="20"/>
              </w:rPr>
              <w:t>Quyết định</w:t>
            </w:r>
          </w:p>
        </w:tc>
      </w:tr>
      <w:tr>
        <w:tc>
          <w:tcPr>
            <w:tcW w:type="dxa" w:w="3135"/>
          </w:tcPr>
          <w:p>
            <w:r/>
            <w:r>
              <w:rPr>
                <w:b/>
                <w:sz w:val="20"/>
              </w:rPr>
              <w:t>Vị thế A</w:t>
            </w:r>
          </w:p>
        </w:tc>
        <w:tc>
          <w:tcPr>
            <w:tcW w:type="dxa" w:w="3135"/>
          </w:tcPr>
          <w:p>
            <w:r/>
            <w:r>
              <w:rPr>
                <w:sz w:val="20"/>
              </w:rPr>
              <w:t>Đạt toàn bộ điều kiện, đứng thứ hai trên bảng xếp hạng</w:t>
            </w:r>
          </w:p>
        </w:tc>
        <w:tc>
          <w:tcPr>
            <w:tcW w:type="dxa" w:w="3135"/>
          </w:tcPr>
          <w:p>
            <w:r/>
            <w:r>
              <w:rPr>
                <w:sz w:val="20"/>
              </w:rPr>
              <w:t>Giữ nguyên</w:t>
            </w:r>
          </w:p>
        </w:tc>
      </w:tr>
      <w:tr>
        <w:tc>
          <w:tcPr>
            <w:tcW w:type="dxa" w:w="3135"/>
          </w:tcPr>
          <w:p>
            <w:r/>
            <w:r>
              <w:rPr>
                <w:b/>
                <w:sz w:val="20"/>
              </w:rPr>
              <w:t>Vị thế B</w:t>
            </w:r>
          </w:p>
        </w:tc>
        <w:tc>
          <w:tcPr>
            <w:tcW w:type="dxa" w:w="3135"/>
          </w:tcPr>
          <w:p>
            <w:r/>
            <w:r>
              <w:rPr>
                <w:sz w:val="20"/>
              </w:rPr>
              <w:t>Trung bình 50 phiên nằm dưới trung bình 200 phiên, đồng thời yếu hơn VN-Index trong 12 tháng</w:t>
            </w:r>
          </w:p>
        </w:tc>
        <w:tc>
          <w:tcPr>
            <w:tcW w:type="dxa" w:w="3135"/>
          </w:tcPr>
          <w:p>
            <w:r/>
            <w:r>
              <w:rPr>
                <w:sz w:val="20"/>
              </w:rPr>
              <w:t>Bán toàn bộ trong lần tái cơ cấu đầu tiên</w:t>
            </w:r>
          </w:p>
        </w:tc>
      </w:tr>
      <w:tr>
        <w:tc>
          <w:tcPr>
            <w:tcW w:type="dxa" w:w="3135"/>
          </w:tcPr>
          <w:p>
            <w:r/>
            <w:r>
              <w:rPr>
                <w:b/>
                <w:sz w:val="20"/>
              </w:rPr>
              <w:t>Vị thế C</w:t>
            </w:r>
          </w:p>
        </w:tc>
        <w:tc>
          <w:tcPr>
            <w:tcW w:type="dxa" w:w="3135"/>
          </w:tcPr>
          <w:p>
            <w:r/>
            <w:r>
              <w:rPr>
                <w:sz w:val="20"/>
              </w:rPr>
              <w:t>Yếu hơn VN-Index trong 12 tháng</w:t>
            </w:r>
          </w:p>
        </w:tc>
        <w:tc>
          <w:tcPr>
            <w:tcW w:type="dxa" w:w="3135"/>
          </w:tcPr>
          <w:p>
            <w:r/>
            <w:r>
              <w:rPr>
                <w:sz w:val="20"/>
              </w:rPr>
              <w:t>Bán toàn bộ trong lần tái cơ cấu đầu tiên</w:t>
            </w:r>
          </w:p>
        </w:tc>
      </w:tr>
    </w:tbl>
    <w:p>
      <w:pPr>
        <w:pStyle w:val="Chuthichbang"/>
      </w:pPr>
      <w:r>
        <w:t>Bảng CL.5 — Kết quả chạy lại danh mục kế thừa qua bộ tiêu chí hiện hành</w:t>
      </w:r>
    </w:p>
    <w:p>
      <w:r>
        <w:rPr>
          <w:b w:val="0"/>
          <w:i w:val="0"/>
        </w:rPr>
        <w:t>Cả hai vị thế không đạt đều đang lỗ nhẹ tại thời điểm rà soát. Quỹ đứng trước hai lựa chọn: giữ lại và chờ giá hồi về vùng giá vốn, hoặc bán ngay và chịu khoản lỗ đã có cộng thêm phí giao dịch.</w:t>
      </w:r>
    </w:p>
    <w:p>
      <w:r>
        <w:rPr>
          <w:b w:val="0"/>
          <w:i w:val="0"/>
        </w:rPr>
        <w:t>Chúng tôi chọn bán ngay, và lý do là điều đáng nói hơn bản thân quyết định. Giữ lại hai vị thế đó có nghĩa là bộ tiêu chí chỉ áp dụng cho cổ phiếu Quỹ chưa mua, không áp dụng cho cổ phiếu Quỹ đang nắm. Một bộ tiêu chí như vậy không phải là tiêu chí, nó chỉ là một lớp biện minh cho những gì đã làm. Và trường hợp đầu tiên mà một quy tắc bị miễn trừ luôn là trường hợp thiết lập tiền lệ cho mọi lần sau.</w:t>
      </w:r>
    </w:p>
    <w:p>
      <w:r>
        <w:rPr>
          <w:b w:val="0"/>
          <w:i w:val="0"/>
        </w:rPr>
        <w:t>Tổng chi phí của việc chuyển sang khung mới, gồm khoản lỗ đã thực hiện và phí giao dịch của cả vòng bán mua, tương đương khoảng 0,27% giá trị tài sản ròng của danh mục. Chúng tôi ghi lại con số này thay vì bỏ qua, vì nó là giá phải trả cho việc thay đổi phương pháp giữa chừng, và vì nó nhắc rằng chi phí này lẽ ra không phát sinh nếu bộ tiêu chí được hoàn tất trước khi mở vị thế đầu tiên.</w:t>
      </w:r>
    </w:p>
    <w:tbl>
      <w:tblPr>
        <w:tblStyle w:val="TableGrid"/>
        <w:tblW w:type="auto" w:w="0"/>
        <w:tblLook w:firstColumn="1" w:firstRow="1" w:lastColumn="0" w:lastRow="0" w:noHBand="0" w:noVBand="1" w:val="04A0"/>
      </w:tblPr>
      <w:tblGrid>
        <w:gridCol w:w="9406"/>
      </w:tblGrid>
      <w:tr>
        <w:tc>
          <w:tcPr>
            <w:tcW w:type="dxa" w:w="9406"/>
            <w:shd w:fill="F4F4F4"/>
          </w:tcPr>
          <w:p>
            <w:r/>
            <w:r>
              <w:rPr>
                <w:b/>
                <w:sz w:val="22"/>
              </w:rPr>
              <w:t xml:space="preserve">Điều đã đưa vào quy trình sau tình huống này  </w:t>
            </w:r>
            <w:r>
              <w:rPr>
                <w:sz w:val="22"/>
              </w:rPr>
              <w:t>Từ kỳ rà soát đó trở đi, mọi vị thế đều đi qua cùng một bộ câu hỏi ở mỗi đầu tháng, không phân biệt vị thế được mở trước hay sau khi bộ tiêu chí ra đời. Danh mục kế thừa không được hưởng bất kỳ ngoại lệ nào.</w:t>
            </w:r>
          </w:p>
        </w:tc>
      </w:tr>
    </w:tbl>
    <w:p/>
    <w:p>
      <w:pPr>
        <w:pStyle w:val="Heading2"/>
      </w:pPr>
      <w:r>
        <w:t>Chiến lược cho giai đoạn hiện tại</w:t>
      </w:r>
    </w:p>
    <w:p>
      <w:r>
        <w:rPr>
          <w:b w:val="0"/>
          <w:i w:val="0"/>
        </w:rPr>
        <w:t>Áp quy trình trên vào trạng thái thị trường tại thời điểm lập danh mục, kết quả thu được như sau.</w:t>
      </w:r>
    </w:p>
    <w:p>
      <w:r>
        <w:rPr>
          <w:b w:val="0"/>
          <w:i w:val="0"/>
        </w:rPr>
        <w:t>Chỉ số chung đang nằm dưới đường trung bình dài hạn của chính nó, và độ rộng thị trường rất hẹp: chỉ một phần nhỏ trong vũ trụ đầu tư qua được bộ lọc cứng, chủ yếu vì phần lớn cổ phiếu không còn mạnh hơn chỉ số trong khung 12 tháng. Đây là một sự kiện đo được, không phải một nhận định.</w:t>
      </w:r>
    </w:p>
    <w:p>
      <w:r>
        <w:rPr>
          <w:b w:val="0"/>
          <w:i w:val="0"/>
        </w:rPr>
        <w:t>Hệ quả trực tiếp là Quỹ nắm giữ tỷ trọng tiền mặt cao hơn mức thông thường. Chúng tôi muốn nói rõ về điểm này, vì nó rất dễ bị hiểu nhầm thành một dự báo. Quỹ không dự báo rằng thị trường sẽ giảm. Tỷ lệ tiền mặt hiện tại đơn giản là số ô trong danh mục không tìm được cổ phiếu nào đạt chuẩn. Nếu độ rộng thị trường mở ra, số mã qua bộ lọc sẽ tăng và tiền mặt tự giảm mà không cần thêm bất kỳ quyết định nào.</w:t>
      </w:r>
    </w:p>
    <w:p>
      <w:r>
        <w:rPr>
          <w:b w:val="0"/>
          <w:i w:val="0"/>
        </w:rPr>
        <w:t>Nhóm cổ phiếu còn đạt chuẩn tập trung ở một số ít ngành, đây là hệ quả tự nhiên khi bộ lọc thu hẹp. Vì vậy, ngoài trần ngành thông thường, Quỹ chạy thêm bước kiểm tra tập trung theo yếu tố rủi ro đã nêu ở mục 6.1, để biết bao nhiêu phần trăm danh mục thực sự phụ thuộc vào cùng một biến số, bất kể các vị thế mang nhãn ngành gì.</w:t>
      </w:r>
    </w:p>
    <w:p>
      <w:r>
        <w:rPr>
          <w:b w:val="0"/>
          <w:i w:val="0"/>
        </w:rPr>
        <w:t>Về đường đi phía trước, Quỹ không có kế hoạch nào ngoài chính quy trình. Nếu thị trường cải thiện, bộ lọc sẽ trả về nhiều mã hơn và Quỹ giải ngân dần theo thứ tự xếp hạng. Nếu thị trường xấu đi, các quy tắc thoát sẽ lần lượt kích hoạt và tỷ trọng tiền mặt tăng lên theo từng kỳ rà soát. Quỹ không bán trước bằng phán đoán và không mua trước bằng kỳ vọng. Toàn bộ giá trị của một hệ thống có quy tắc nằm ở chỗ nó vẫn chạy như cũ đúng vào lúc người vận hành muốn làm khác đi.</w:t>
      </w:r>
    </w:p>
    <w:p>
      <w:r>
        <w:br w:type="page"/>
      </w:r>
    </w:p>
    <w:p>
      <w:pPr>
        <w:pStyle w:val="Heading1"/>
      </w:pPr>
      <w:r>
        <w:t>4. Chỉ tiêu định lượng và ngưỡng rủi ro</w:t>
      </w:r>
    </w:p>
    <w:p>
      <w:r>
        <w:rPr>
          <w:b w:val="0"/>
          <w:i w:val="0"/>
        </w:rPr>
        <w:t>Phần 2 nêu mục tiêu của Quỹ bằng lời và hoãn phần định lượng lại. Phần này trả nốt: mỗi con số dưới đây là một ràng buộc cứng, được cài trực tiếp vào mã vận hành và kiểm tra tự động ở mỗi kỳ rà soát.</w:t>
      </w:r>
    </w:p>
    <w:tbl>
      <w:tblPr>
        <w:tblStyle w:val="TableGrid"/>
        <w:tblW w:type="auto" w:w="0"/>
        <w:jc w:val="center"/>
        <w:tblLook w:firstColumn="1" w:firstRow="1" w:lastColumn="0" w:lastRow="0" w:noHBand="0" w:noVBand="1" w:val="04A0"/>
      </w:tblPr>
      <w:tblGrid>
        <w:gridCol w:w="3135"/>
        <w:gridCol w:w="3135"/>
        <w:gridCol w:w="3135"/>
      </w:tblGrid>
      <w:tr>
        <w:tc>
          <w:tcPr>
            <w:tcW w:type="dxa" w:w="3118"/>
            <w:shd w:fill="E8E8E8"/>
          </w:tcPr>
          <w:p>
            <w:r/>
            <w:r>
              <w:rPr>
                <w:b/>
                <w:sz w:val="20"/>
              </w:rPr>
              <w:t>Chỉ tiêu</w:t>
            </w:r>
          </w:p>
        </w:tc>
        <w:tc>
          <w:tcPr>
            <w:tcW w:type="dxa" w:w="2721"/>
            <w:shd w:fill="E8E8E8"/>
          </w:tcPr>
          <w:p>
            <w:r/>
            <w:r>
              <w:rPr>
                <w:b/>
                <w:sz w:val="20"/>
              </w:rPr>
              <w:t>Ngưỡng</w:t>
            </w:r>
          </w:p>
        </w:tc>
        <w:tc>
          <w:tcPr>
            <w:tcW w:type="dxa" w:w="3515"/>
            <w:shd w:fill="E8E8E8"/>
          </w:tcPr>
          <w:p>
            <w:r/>
            <w:r>
              <w:rPr>
                <w:b/>
                <w:sz w:val="20"/>
              </w:rPr>
              <w:t>Cơ sở</w:t>
            </w:r>
          </w:p>
        </w:tc>
      </w:tr>
      <w:tr>
        <w:tc>
          <w:tcPr>
            <w:tcW w:type="dxa" w:w="3118"/>
          </w:tcPr>
          <w:p>
            <w:r/>
            <w:r>
              <w:rPr>
                <w:b/>
                <w:sz w:val="20"/>
              </w:rPr>
              <w:t>Tỷ suất sinh lời đòi hỏi</w:t>
            </w:r>
          </w:p>
        </w:tc>
        <w:tc>
          <w:tcPr>
            <w:tcW w:type="dxa" w:w="2721"/>
          </w:tcPr>
          <w:p>
            <w:r/>
            <w:r>
              <w:rPr>
                <w:sz w:val="20"/>
              </w:rPr>
              <w:t>9,67%/năm</w:t>
            </w:r>
          </w:p>
        </w:tc>
        <w:tc>
          <w:tcPr>
            <w:tcW w:type="dxa" w:w="3515"/>
          </w:tcPr>
          <w:p>
            <w:r/>
            <w:r>
              <w:rPr>
                <w:sz w:val="20"/>
              </w:rPr>
              <w:t>Fama–French 5 nhân tố bản Việt Nam, Bảng CS.1</w:t>
            </w:r>
          </w:p>
        </w:tc>
      </w:tr>
      <w:tr>
        <w:tc>
          <w:tcPr>
            <w:tcW w:type="dxa" w:w="3118"/>
          </w:tcPr>
          <w:p>
            <w:r/>
            <w:r>
              <w:rPr>
                <w:b/>
                <w:sz w:val="20"/>
              </w:rPr>
              <w:t>Mốc so sánh</w:t>
            </w:r>
          </w:p>
        </w:tc>
        <w:tc>
          <w:tcPr>
            <w:tcW w:type="dxa" w:w="2721"/>
          </w:tcPr>
          <w:p>
            <w:r/>
            <w:r>
              <w:rPr>
                <w:sz w:val="20"/>
              </w:rPr>
              <w:t>VN-Index, tỷ suất bình quân gộp nhiều năm</w:t>
            </w:r>
          </w:p>
        </w:tc>
        <w:tc>
          <w:tcPr>
            <w:tcW w:type="dxa" w:w="3515"/>
          </w:tcPr>
          <w:p>
            <w:r/>
            <w:r>
              <w:rPr>
                <w:sz w:val="20"/>
              </w:rPr>
              <w:t>Phần 2 — không cam kết vượt theo từng tháng hay từng quý</w:t>
            </w:r>
          </w:p>
        </w:tc>
      </w:tr>
      <w:tr>
        <w:tc>
          <w:tcPr>
            <w:tcW w:type="dxa" w:w="3118"/>
          </w:tcPr>
          <w:p>
            <w:r/>
            <w:r>
              <w:rPr>
                <w:b/>
                <w:sz w:val="20"/>
              </w:rPr>
              <w:t>Thanh khoản tối thiểu</w:t>
            </w:r>
          </w:p>
        </w:tc>
        <w:tc>
          <w:tcPr>
            <w:tcW w:type="dxa" w:w="2721"/>
          </w:tcPr>
          <w:p>
            <w:r/>
            <w:r>
              <w:rPr>
                <w:sz w:val="20"/>
              </w:rPr>
              <w:t>10 tỷ đồng/phiên (bình quân 20 phiên)</w:t>
            </w:r>
          </w:p>
        </w:tc>
        <w:tc>
          <w:tcPr>
            <w:tcW w:type="dxa" w:w="3515"/>
          </w:tcPr>
          <w:p>
            <w:r/>
            <w:r>
              <w:rPr>
                <w:sz w:val="20"/>
              </w:rPr>
              <w:t>Vào và ra được vị thế mà không tự làm lệch giá</w:t>
            </w:r>
          </w:p>
        </w:tc>
      </w:tr>
      <w:tr>
        <w:tc>
          <w:tcPr>
            <w:tcW w:type="dxa" w:w="3118"/>
          </w:tcPr>
          <w:p>
            <w:r/>
            <w:r>
              <w:rPr>
                <w:b/>
                <w:sz w:val="20"/>
              </w:rPr>
              <w:t>Biên độ dao động tối đa</w:t>
            </w:r>
          </w:p>
        </w:tc>
        <w:tc>
          <w:tcPr>
            <w:tcW w:type="dxa" w:w="2721"/>
          </w:tcPr>
          <w:p>
            <w:r/>
            <w:r>
              <w:rPr>
                <w:sz w:val="20"/>
              </w:rPr>
              <w:t>ATR ngày ≤ 6%</w:t>
            </w:r>
          </w:p>
        </w:tc>
        <w:tc>
          <w:tcPr>
            <w:tcW w:type="dxa" w:w="3515"/>
          </w:tcPr>
          <w:p>
            <w:r/>
            <w:r>
              <w:rPr>
                <w:sz w:val="20"/>
              </w:rPr>
              <w:t>Chặn an toàn, loại nhóm đầu cơ cực đoan</w:t>
            </w:r>
          </w:p>
        </w:tc>
      </w:tr>
      <w:tr>
        <w:tc>
          <w:tcPr>
            <w:tcW w:type="dxa" w:w="3118"/>
          </w:tcPr>
          <w:p>
            <w:r/>
            <w:r>
              <w:rPr>
                <w:b/>
                <w:sz w:val="20"/>
              </w:rPr>
              <w:t>Trần một mã</w:t>
            </w:r>
          </w:p>
        </w:tc>
        <w:tc>
          <w:tcPr>
            <w:tcW w:type="dxa" w:w="2721"/>
          </w:tcPr>
          <w:p>
            <w:r/>
            <w:r>
              <w:rPr>
                <w:sz w:val="20"/>
              </w:rPr>
              <w:t>20% NAV (tài khoản dự thi); 15% (tài khoản còn lại)</w:t>
            </w:r>
          </w:p>
        </w:tc>
        <w:tc>
          <w:tcPr>
            <w:tcW w:type="dxa" w:w="3515"/>
          </w:tcPr>
          <w:p>
            <w:r/>
            <w:r>
              <w:rPr>
                <w:sz w:val="20"/>
              </w:rPr>
              <w:t>Không để một vị thế quyết định kết quả cả danh mục</w:t>
            </w:r>
          </w:p>
        </w:tc>
      </w:tr>
      <w:tr>
        <w:tc>
          <w:tcPr>
            <w:tcW w:type="dxa" w:w="3118"/>
          </w:tcPr>
          <w:p>
            <w:r/>
            <w:r>
              <w:rPr>
                <w:b/>
                <w:sz w:val="20"/>
              </w:rPr>
              <w:t>Trần một ngành</w:t>
            </w:r>
          </w:p>
        </w:tc>
        <w:tc>
          <w:tcPr>
            <w:tcW w:type="dxa" w:w="2721"/>
          </w:tcPr>
          <w:p>
            <w:r/>
            <w:r>
              <w:rPr>
                <w:sz w:val="20"/>
              </w:rPr>
              <w:t>40% NAV (dự thi); 30% (còn lại)</w:t>
            </w:r>
          </w:p>
        </w:tc>
        <w:tc>
          <w:tcPr>
            <w:tcW w:type="dxa" w:w="3515"/>
          </w:tcPr>
          <w:p>
            <w:r/>
            <w:r>
              <w:rPr>
                <w:sz w:val="20"/>
              </w:rPr>
              <w:t>Bổ sung bằng kiểm tra tập trung theo yếu tố rủi ro, mục 6.1</w:t>
            </w:r>
          </w:p>
        </w:tc>
      </w:tr>
      <w:tr>
        <w:tc>
          <w:tcPr>
            <w:tcW w:type="dxa" w:w="3118"/>
          </w:tcPr>
          <w:p>
            <w:r/>
            <w:r>
              <w:rPr>
                <w:b/>
                <w:sz w:val="20"/>
              </w:rPr>
              <w:t>Trần trùng lặp giữa hai tài khoản</w:t>
            </w:r>
          </w:p>
        </w:tc>
        <w:tc>
          <w:tcPr>
            <w:tcW w:type="dxa" w:w="2721"/>
          </w:tcPr>
          <w:p>
            <w:r/>
            <w:r>
              <w:rPr>
                <w:sz w:val="20"/>
              </w:rPr>
              <w:t>10% tổng tài sản</w:t>
            </w:r>
          </w:p>
        </w:tc>
        <w:tc>
          <w:tcPr>
            <w:tcW w:type="dxa" w:w="3515"/>
          </w:tcPr>
          <w:p>
            <w:r/>
            <w:r>
              <w:rPr>
                <w:sz w:val="20"/>
              </w:rPr>
              <w:t>Áp sau khi làm tròn lô</w:t>
            </w:r>
          </w:p>
        </w:tc>
      </w:tr>
      <w:tr>
        <w:tc>
          <w:tcPr>
            <w:tcW w:type="dxa" w:w="3118"/>
          </w:tcPr>
          <w:p>
            <w:r/>
            <w:r>
              <w:rPr>
                <w:b/>
                <w:sz w:val="20"/>
              </w:rPr>
              <w:t>Chặn cứng theo giá vốn</w:t>
            </w:r>
          </w:p>
        </w:tc>
        <w:tc>
          <w:tcPr>
            <w:tcW w:type="dxa" w:w="2721"/>
          </w:tcPr>
          <w:p>
            <w:r/>
            <w:r>
              <w:rPr>
                <w:sz w:val="20"/>
              </w:rPr>
              <w:t>−25%</w:t>
            </w:r>
          </w:p>
        </w:tc>
        <w:tc>
          <w:tcPr>
            <w:tcW w:type="dxa" w:w="3515"/>
          </w:tcPr>
          <w:p>
            <w:r/>
            <w:r>
              <w:rPr>
                <w:sz w:val="20"/>
              </w:rPr>
              <w:t>Ngoại lệ duy nhất giữa hai kỳ rà soát</w:t>
            </w:r>
          </w:p>
        </w:tc>
      </w:tr>
      <w:tr>
        <w:tc>
          <w:tcPr>
            <w:tcW w:type="dxa" w:w="3118"/>
          </w:tcPr>
          <w:p>
            <w:r/>
            <w:r>
              <w:rPr>
                <w:b/>
                <w:sz w:val="20"/>
              </w:rPr>
              <w:t>Biên không giao dịch</w:t>
            </w:r>
          </w:p>
        </w:tc>
        <w:tc>
          <w:tcPr>
            <w:tcW w:type="dxa" w:w="2721"/>
          </w:tcPr>
          <w:p>
            <w:r/>
            <w:r>
              <w:rPr>
                <w:sz w:val="20"/>
              </w:rPr>
              <w:t>3% NAV</w:t>
            </w:r>
          </w:p>
        </w:tc>
        <w:tc>
          <w:tcPr>
            <w:tcW w:type="dxa" w:w="3515"/>
          </w:tcPr>
          <w:p>
            <w:r/>
            <w:r>
              <w:rPr>
                <w:sz w:val="20"/>
              </w:rPr>
              <w:t>Lệch nhỏ hơn ngưỡng này thì không cân lại, vì phí lớn hơn lợi ích</w:t>
            </w:r>
          </w:p>
        </w:tc>
      </w:tr>
      <w:tr>
        <w:tc>
          <w:tcPr>
            <w:tcW w:type="dxa" w:w="3118"/>
          </w:tcPr>
          <w:p>
            <w:r/>
            <w:r>
              <w:rPr>
                <w:b/>
                <w:sz w:val="20"/>
              </w:rPr>
              <w:t>Số ô danh mục</w:t>
            </w:r>
          </w:p>
        </w:tc>
        <w:tc>
          <w:tcPr>
            <w:tcW w:type="dxa" w:w="2721"/>
          </w:tcPr>
          <w:p>
            <w:r/>
            <w:r>
              <w:rPr>
                <w:sz w:val="20"/>
              </w:rPr>
              <w:t>10 (tài khoản chính) · 8 (tài khoản dự thi)</w:t>
            </w:r>
          </w:p>
        </w:tc>
        <w:tc>
          <w:tcPr>
            <w:tcW w:type="dxa" w:w="3515"/>
          </w:tcPr>
          <w:p>
            <w:r/>
            <w:r>
              <w:rPr>
                <w:sz w:val="20"/>
              </w:rPr>
              <w:t>Con số đã chốt — xem cảnh báo ở mục 5.4</w:t>
            </w:r>
          </w:p>
        </w:tc>
      </w:tr>
    </w:tbl>
    <w:p>
      <w:pPr>
        <w:pStyle w:val="Chuthichbang"/>
      </w:pPr>
      <w:r>
        <w:t>Bảng 4.1 — Các ràng buộc định lượng đang áp dụng.</w:t>
      </w:r>
    </w:p>
    <w:p>
      <w:r>
        <w:rPr>
          <w:b w:val="0"/>
          <w:i w:val="0"/>
        </w:rPr>
        <w:t>Về mức sụt giảm chấp nhận được, Quỹ không đặt một con số trần rồi hành động khi chạm nó — làm vậy sẽ biến quản trị rủi ro thành dự báo thị trường. Thay vào đó, mức sụt giảm là KẾT QUẢ ĐO ĐƯỢC của bộ quy tắc: kiểm định trên 52 tháng cho mức sụt giảm tối đa 29,5%. Con số đó là điều nhà đầu tư phải chấp nhận trước khi góp vốn, không phải điều Quỹ hứa sẽ giữ.</w:t>
      </w:r>
    </w:p>
    <w:p>
      <w:pPr>
        <w:pStyle w:val="Heading1"/>
      </w:pPr>
      <w:r>
        <w:t>5. Dữ liệu, phương pháp và kết quả kiểm định</w:t>
      </w:r>
    </w:p>
    <w:p>
      <w:pPr>
        <w:pStyle w:val="Heading2"/>
      </w:pPr>
      <w:r>
        <w:t>5.1. Nguồn dữ liệu</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E8E8E8"/>
          </w:tcPr>
          <w:p>
            <w:r/>
            <w:r>
              <w:rPr>
                <w:b/>
                <w:sz w:val="20"/>
              </w:rPr>
              <w:t>Bộ dữ liệu</w:t>
            </w:r>
          </w:p>
        </w:tc>
        <w:tc>
          <w:tcPr>
            <w:tcW w:type="dxa" w:w="3402"/>
            <w:shd w:fill="E8E8E8"/>
          </w:tcPr>
          <w:p>
            <w:r/>
            <w:r>
              <w:rPr>
                <w:b/>
                <w:sz w:val="20"/>
              </w:rPr>
              <w:t>Phạm vi</w:t>
            </w:r>
          </w:p>
        </w:tc>
        <w:tc>
          <w:tcPr>
            <w:tcW w:type="dxa" w:w="3118"/>
            <w:shd w:fill="E8E8E8"/>
          </w:tcPr>
          <w:p>
            <w:r/>
            <w:r>
              <w:rPr>
                <w:b/>
                <w:sz w:val="20"/>
              </w:rPr>
              <w:t>Dùng để</w:t>
            </w:r>
          </w:p>
        </w:tc>
      </w:tr>
      <w:tr>
        <w:tc>
          <w:tcPr>
            <w:tcW w:type="dxa" w:w="2835"/>
          </w:tcPr>
          <w:p>
            <w:r/>
            <w:r>
              <w:rPr>
                <w:b/>
                <w:sz w:val="20"/>
              </w:rPr>
              <w:t>Giá tuần HOSE</w:t>
            </w:r>
          </w:p>
        </w:tc>
        <w:tc>
          <w:tcPr>
            <w:tcW w:type="dxa" w:w="3402"/>
          </w:tcPr>
          <w:p>
            <w:r/>
            <w:r>
              <w:rPr>
                <w:sz w:val="20"/>
              </w:rPr>
              <w:t>112 mã, 300 phiên tuần, 11/2020 – 08/2026</w:t>
            </w:r>
          </w:p>
        </w:tc>
        <w:tc>
          <w:tcPr>
            <w:tcW w:type="dxa" w:w="3118"/>
          </w:tcPr>
          <w:p>
            <w:r/>
            <w:r>
              <w:rPr>
                <w:sz w:val="20"/>
              </w:rPr>
              <w:t>Kiểm định hệ thống trên 52 tháng</w:t>
            </w:r>
          </w:p>
        </w:tc>
      </w:tr>
      <w:tr>
        <w:tc>
          <w:tcPr>
            <w:tcW w:type="dxa" w:w="2835"/>
          </w:tcPr>
          <w:p>
            <w:r/>
            <w:r>
              <w:rPr>
                <w:b/>
                <w:sz w:val="20"/>
              </w:rPr>
              <w:t>Giá ngày HOSE</w:t>
            </w:r>
          </w:p>
        </w:tc>
        <w:tc>
          <w:tcPr>
            <w:tcW w:type="dxa" w:w="3402"/>
          </w:tcPr>
          <w:p>
            <w:r/>
            <w:r>
              <w:rPr>
                <w:sz w:val="20"/>
              </w:rPr>
              <w:t>113 mã, 300 phiên, tính đến 25/08/2026</w:t>
            </w:r>
          </w:p>
        </w:tc>
        <w:tc>
          <w:tcPr>
            <w:tcW w:type="dxa" w:w="3118"/>
          </w:tcPr>
          <w:p>
            <w:r/>
            <w:r>
              <w:rPr>
                <w:sz w:val="20"/>
              </w:rPr>
              <w:t>Bộ lọc và bảng xếp hạng của kỳ rà soát hiện tại</w:t>
            </w:r>
          </w:p>
        </w:tc>
      </w:tr>
      <w:tr>
        <w:tc>
          <w:tcPr>
            <w:tcW w:type="dxa" w:w="2835"/>
          </w:tcPr>
          <w:p>
            <w:r/>
            <w:r>
              <w:rPr>
                <w:b/>
                <w:sz w:val="20"/>
              </w:rPr>
              <w:t>Báo cáo tài chính</w:t>
            </w:r>
          </w:p>
        </w:tc>
        <w:tc>
          <w:tcPr>
            <w:tcW w:type="dxa" w:w="3402"/>
          </w:tcPr>
          <w:p>
            <w:r/>
            <w:r>
              <w:rPr>
                <w:sz w:val="20"/>
              </w:rPr>
              <w:t>vnstock, 2010 – 2026</w:t>
            </w:r>
          </w:p>
        </w:tc>
        <w:tc>
          <w:tcPr>
            <w:tcW w:type="dxa" w:w="3118"/>
          </w:tcPr>
          <w:p>
            <w:r/>
            <w:r>
              <w:rPr>
                <w:sz w:val="20"/>
              </w:rPr>
              <w:t>Dựng chuỗi nhân tố Fama–French, Phụ lục A</w:t>
            </w:r>
          </w:p>
        </w:tc>
      </w:tr>
      <w:tr>
        <w:tc>
          <w:tcPr>
            <w:tcW w:type="dxa" w:w="2835"/>
          </w:tcPr>
          <w:p>
            <w:r/>
            <w:r>
              <w:rPr>
                <w:b/>
                <w:sz w:val="20"/>
              </w:rPr>
              <w:t>Lợi suất TPCP 10 năm</w:t>
            </w:r>
          </w:p>
        </w:tc>
        <w:tc>
          <w:tcPr>
            <w:tcW w:type="dxa" w:w="3402"/>
          </w:tcPr>
          <w:p>
            <w:r/>
            <w:r>
              <w:rPr>
                <w:sz w:val="20"/>
              </w:rPr>
              <w:t>21/08/2026</w:t>
            </w:r>
          </w:p>
        </w:tc>
        <w:tc>
          <w:tcPr>
            <w:tcW w:type="dxa" w:w="3118"/>
          </w:tcPr>
          <w:p>
            <w:r/>
            <w:r>
              <w:rPr>
                <w:sz w:val="20"/>
              </w:rPr>
              <w:t>Lãi suất phi rủi ro trong Bảng CS.1</w:t>
            </w:r>
          </w:p>
        </w:tc>
      </w:tr>
    </w:tbl>
    <w:p>
      <w:pPr>
        <w:pStyle w:val="Chuthichbang"/>
      </w:pPr>
      <w:r>
        <w:t>Bảng 5.1 — Các bộ dữ liệu sử dụng.</w:t>
      </w:r>
    </w:p>
    <w:p>
      <w:r>
        <w:rPr>
          <w:b w:val="0"/>
          <w:i w:val="0"/>
        </w:rPr>
        <w:t>Dữ liệu giá lấy qua giao diện TradingView, độ trễ 15 phút trong phiên; mọi con số trong báo cáo này đều là giá đóng cửa nên độ trễ không ảnh hưởng. Quy trình quét có một bẫy đã gặp và đã chặn: khi đổi mã trên biểu đồ, tên mã đổi TRƯỚC khi dữ liệu mới về, nên vòng lặp ngây thơ gán dữ liệu mã trước cho mã sau mà không báo lỗi. Cách chặn: tính chữ ký của chuỗi giá và chỉ nhận khi chữ ký khác mã liền trước và lặp lại giống nhau ở hai lần đọc cách nhau 250 mili-giây. Mỗi lần quét đều kiểm tra trùng lặp trước khi dùng.</w:t>
      </w:r>
    </w:p>
    <w:p>
      <w:pPr>
        <w:pStyle w:val="Heading2"/>
      </w:pPr>
      <w:r>
        <w:t>5.2. Thiết kế kiểm định và một sai lầm đã phát hiện</w:t>
      </w:r>
    </w:p>
    <w:p>
      <w:r>
        <w:rPr>
          <w:b w:val="0"/>
          <w:i w:val="0"/>
        </w:rPr>
        <w:t>Hệ thống được kiểm định trên 52 tháng (04/2022 – 08/2026), 112 mã HOSE, đã trừ phí 0,4% cho mỗi vòng quay. Mỗi đầu tháng, hệ thống chạy đúng bộ lọc và bảng xếp hạng ở Phần 3, áp bốn quy tắc thoát, rồi phân bổ nghịch với biến động.</w:t>
      </w:r>
    </w:p>
    <w:p>
      <w:r>
        <w:rPr>
          <w:b w:val="0"/>
          <w:i w:val="0"/>
        </w:rPr>
        <w:t>Bản kiểm định đầu tiên, chạy ngày 17/08/2026, báo cáo 13,89%/năm và mức sụt giảm −21,3%. Ngày 26/08 chúng tôi chạy lại và phát hiện con số đó không lặp lại. Nguyên nhân không phải lỗi lập trình: chạy lại đúng phương pháp cũ trên đúng lưới cũ tái tạo được 14,07% và −21,4%. Nguyên nhân là bản đầu tiên chỉ chạy MỘT lưới lấy mẫu tháng.</w:t>
      </w:r>
    </w:p>
    <w:tbl>
      <w:tblPr>
        <w:tblStyle w:val="TableGrid"/>
        <w:tblW w:type="auto" w:w="0"/>
        <w:tblLook w:firstColumn="1" w:firstRow="1" w:lastColumn="0" w:lastRow="0" w:noHBand="0" w:noVBand="1" w:val="04A0"/>
      </w:tblPr>
      <w:tblGrid>
        <w:gridCol w:w="9406"/>
      </w:tblGrid>
      <w:tr>
        <w:tc>
          <w:tcPr>
            <w:tcW w:type="dxa" w:w="9406"/>
            <w:shd w:fill="F4F4F4"/>
          </w:tcPr>
          <w:p>
            <w:r/>
            <w:r>
              <w:rPr>
                <w:b/>
                <w:sz w:val="22"/>
              </w:rPr>
              <w:t xml:space="preserve">Bẫy phương pháp — pha của lưới lấy mẫu.  </w:t>
            </w:r>
            <w:r>
              <w:rPr>
                <w:sz w:val="22"/>
              </w:rPr>
              <w:t>Dữ liệu tuần được lấy mẫu bốn tuần một lần để tạo chuỗi tháng. Có bốn cách neo lưới đó, tuỳ chọn tuần nào làm mốc, và bốn cách này khác nhau chỉ bằng một tuần. Chạy cả bốn: CAGR của cùng một phương pháp dao động từ 9,38% đến 14,54%. Con số 13,89% công bố ban đầu là lần rút thăm cao thứ hai trong bốn. Nó không sai, nhưng nó chưa bao giờ là một ước lượng — nó là một quan sát. Từ báo cáo này trở đi, mọi con số hiệu năng đều là trung bình của cả bốn pha, và biên độ giữa các pha được công bố kèm.</w:t>
            </w:r>
          </w:p>
        </w:tc>
      </w:tr>
    </w:tbl>
    <w:p/>
    <w:p>
      <w:pPr>
        <w:pStyle w:val="Heading2"/>
      </w:pPr>
      <w:r>
        <w:t>5.3. Kết quả</w:t>
      </w:r>
    </w:p>
    <w:tbl>
      <w:tblPr>
        <w:tblStyle w:val="TableGrid"/>
        <w:tblW w:type="auto" w:w="0"/>
        <w:jc w:val="center"/>
        <w:tblLook w:firstColumn="1" w:firstRow="1" w:lastColumn="0" w:lastRow="0" w:noHBand="0" w:noVBand="1" w:val="04A0"/>
      </w:tblPr>
      <w:tblGrid>
        <w:gridCol w:w="3135"/>
        <w:gridCol w:w="3135"/>
        <w:gridCol w:w="3135"/>
      </w:tblGrid>
      <w:tr>
        <w:tc>
          <w:tcPr>
            <w:tcW w:type="dxa" w:w="3685"/>
            <w:shd w:fill="E8E8E8"/>
          </w:tcPr>
          <w:p>
            <w:r/>
            <w:r>
              <w:rPr>
                <w:b/>
                <w:sz w:val="20"/>
              </w:rPr>
              <w:t>Chỉ tiêu</w:t>
            </w:r>
          </w:p>
        </w:tc>
        <w:tc>
          <w:tcPr>
            <w:tcW w:type="dxa" w:w="2835"/>
            <w:shd w:fill="E8E8E8"/>
          </w:tcPr>
          <w:p>
            <w:r/>
            <w:r>
              <w:rPr>
                <w:b/>
                <w:sz w:val="20"/>
              </w:rPr>
              <w:t>Hệ thống</w:t>
            </w:r>
          </w:p>
        </w:tc>
        <w:tc>
          <w:tcPr>
            <w:tcW w:type="dxa" w:w="2835"/>
            <w:shd w:fill="E8E8E8"/>
          </w:tcPr>
          <w:p>
            <w:r/>
            <w:r>
              <w:rPr>
                <w:b/>
                <w:sz w:val="20"/>
              </w:rPr>
              <w:t>VN-Index mua &amp; giữ</w:t>
            </w:r>
          </w:p>
        </w:tc>
      </w:tr>
      <w:tr>
        <w:tc>
          <w:tcPr>
            <w:tcW w:type="dxa" w:w="3685"/>
          </w:tcPr>
          <w:p>
            <w:r/>
            <w:r>
              <w:rPr>
                <w:b/>
                <w:sz w:val="20"/>
              </w:rPr>
              <w:t>Tỷ suất bình quân gộp (TB 4 pha)</w:t>
            </w:r>
          </w:p>
        </w:tc>
        <w:tc>
          <w:tcPr>
            <w:tcW w:type="dxa" w:w="2835"/>
          </w:tcPr>
          <w:p>
            <w:r/>
            <w:r>
              <w:rPr>
                <w:sz w:val="20"/>
              </w:rPr>
              <w:t>9,05%/năm</w:t>
            </w:r>
          </w:p>
        </w:tc>
        <w:tc>
          <w:tcPr>
            <w:tcW w:type="dxa" w:w="2835"/>
          </w:tcPr>
          <w:p>
            <w:r/>
            <w:r>
              <w:rPr>
                <w:sz w:val="20"/>
              </w:rPr>
              <w:t>8,34%/năm</w:t>
            </w:r>
          </w:p>
        </w:tc>
      </w:tr>
      <w:tr>
        <w:tc>
          <w:tcPr>
            <w:tcW w:type="dxa" w:w="3685"/>
          </w:tcPr>
          <w:p>
            <w:r/>
            <w:r>
              <w:rPr>
                <w:b/>
                <w:sz w:val="20"/>
              </w:rPr>
              <w:t>Biên độ giữa bốn pha</w:t>
            </w:r>
          </w:p>
        </w:tc>
        <w:tc>
          <w:tcPr>
            <w:tcW w:type="dxa" w:w="2835"/>
          </w:tcPr>
          <w:p>
            <w:r/>
            <w:r>
              <w:rPr>
                <w:sz w:val="20"/>
              </w:rPr>
              <w:t>7,65% – 10,49%</w:t>
            </w:r>
          </w:p>
        </w:tc>
        <w:tc>
          <w:tcPr>
            <w:tcW w:type="dxa" w:w="2835"/>
          </w:tcPr>
          <w:p>
            <w:r/>
            <w:r>
              <w:rPr>
                <w:sz w:val="20"/>
              </w:rPr>
              <w:t>7,71% – 9,23%</w:t>
            </w:r>
          </w:p>
        </w:tc>
      </w:tr>
      <w:tr>
        <w:tc>
          <w:tcPr>
            <w:tcW w:type="dxa" w:w="3685"/>
          </w:tcPr>
          <w:p>
            <w:r/>
            <w:r>
              <w:rPr>
                <w:b/>
                <w:sz w:val="20"/>
              </w:rPr>
              <w:t>Mức sụt giảm tối đa</w:t>
            </w:r>
          </w:p>
        </w:tc>
        <w:tc>
          <w:tcPr>
            <w:tcW w:type="dxa" w:w="2835"/>
          </w:tcPr>
          <w:p>
            <w:r/>
            <w:r>
              <w:rPr>
                <w:sz w:val="20"/>
              </w:rPr>
              <w:t>−29,5%</w:t>
            </w:r>
          </w:p>
        </w:tc>
        <w:tc>
          <w:tcPr>
            <w:tcW w:type="dxa" w:w="2835"/>
          </w:tcPr>
          <w:p>
            <w:r/>
            <w:r>
              <w:rPr>
                <w:sz w:val="20"/>
              </w:rPr>
              <w:t>—</w:t>
            </w:r>
          </w:p>
        </w:tc>
      </w:tr>
      <w:tr>
        <w:tc>
          <w:tcPr>
            <w:tcW w:type="dxa" w:w="3685"/>
          </w:tcPr>
          <w:p>
            <w:r/>
            <w:r>
              <w:rPr>
                <w:b/>
                <w:sz w:val="20"/>
              </w:rPr>
              <w:t>Vượt chỉ số</w:t>
            </w:r>
          </w:p>
        </w:tc>
        <w:tc>
          <w:tcPr>
            <w:tcW w:type="dxa" w:w="2835"/>
          </w:tcPr>
          <w:p>
            <w:r/>
            <w:r>
              <w:rPr>
                <w:sz w:val="20"/>
              </w:rPr>
              <w:t>+0,71 điểm phần trăm/năm</w:t>
            </w:r>
          </w:p>
        </w:tc>
        <w:tc>
          <w:tcPr>
            <w:tcW w:type="dxa" w:w="2835"/>
          </w:tcPr>
          <w:p>
            <w:r/>
            <w:r>
              <w:rPr>
                <w:sz w:val="20"/>
              </w:rPr>
              <w:t>—</w:t>
            </w:r>
          </w:p>
        </w:tc>
      </w:tr>
      <w:tr>
        <w:tc>
          <w:tcPr>
            <w:tcW w:type="dxa" w:w="3685"/>
          </w:tcPr>
          <w:p>
            <w:r/>
            <w:r>
              <w:rPr>
                <w:b/>
                <w:sz w:val="20"/>
              </w:rPr>
              <w:t>Alpha tháng, thống kê t</w:t>
            </w:r>
          </w:p>
        </w:tc>
        <w:tc>
          <w:tcPr>
            <w:tcW w:type="dxa" w:w="2835"/>
          </w:tcPr>
          <w:p>
            <w:r/>
            <w:r>
              <w:rPr>
                <w:sz w:val="20"/>
              </w:rPr>
              <w:t>t = 0,04 – 0,24 tuỳ pha</w:t>
            </w:r>
          </w:p>
        </w:tc>
        <w:tc>
          <w:tcPr>
            <w:tcW w:type="dxa" w:w="2835"/>
          </w:tcPr>
          <w:p>
            <w:r/>
            <w:r>
              <w:rPr>
                <w:sz w:val="20"/>
              </w:rPr>
              <w:t>—</w:t>
            </w:r>
          </w:p>
        </w:tc>
      </w:tr>
      <w:tr>
        <w:tc>
          <w:tcPr>
            <w:tcW w:type="dxa" w:w="3685"/>
          </w:tcPr>
          <w:p>
            <w:r/>
            <w:r>
              <w:rPr>
                <w:b/>
                <w:sz w:val="20"/>
              </w:rPr>
              <w:t>Tỷ suất sinh lời đòi hỏi (Bảng CS.1)</w:t>
            </w:r>
          </w:p>
        </w:tc>
        <w:tc>
          <w:tcPr>
            <w:tcW w:type="dxa" w:w="2835"/>
          </w:tcPr>
          <w:p>
            <w:r/>
            <w:r>
              <w:rPr>
                <w:sz w:val="20"/>
              </w:rPr>
              <w:t>9,67%/năm</w:t>
            </w:r>
          </w:p>
        </w:tc>
        <w:tc>
          <w:tcPr>
            <w:tcW w:type="dxa" w:w="2835"/>
          </w:tcPr>
          <w:p>
            <w:r/>
            <w:r>
              <w:rPr>
                <w:sz w:val="20"/>
              </w:rPr>
              <w:t>—</w:t>
            </w:r>
          </w:p>
        </w:tc>
      </w:tr>
    </w:tbl>
    <w:p>
      <w:pPr>
        <w:pStyle w:val="Chuthichbang"/>
      </w:pPr>
      <w:r>
        <w:t>Bảng 5.2 — Kết quả kiểm định, 52 tháng, trung bình bốn pha lưới, đã trừ phí.</w:t>
      </w:r>
    </w:p>
    <w:p>
      <w:r>
        <w:rPr>
          <w:b/>
          <w:i w:val="0"/>
        </w:rPr>
        <w:t>Ba điều phải đọc đúng từ bảng này.</w:t>
      </w:r>
    </w:p>
    <w:p>
      <w:pPr>
        <w:pStyle w:val="ListBullet"/>
      </w:pPr>
      <w:r>
        <w:t>Hệ thống vượt VN-Index +0,72 điểm phần trăm mỗi năm, với thống kê t từ 0,04 đến 0,24. Không pha nào đạt ý nghĩa thống kê ở bất kỳ mức thông thường nào. Với 52 tháng quan sát, khoảng cách này nằm gọn trong dao động ngẫu nhiên, và Quỹ không được phép trình bày nó như một năng lực đã được chứng minh.</w:t>
      </w:r>
    </w:p>
    <w:p>
      <w:pPr>
        <w:pStyle w:val="ListBullet"/>
      </w:pPr>
      <w:r>
        <w:t>Tỷ suất đo được (9,05%) thấp hơn tỷ suất đòi hỏi theo Fama–French (9,67%). Nói theo đúng ngôn ngữ của mô hình: trên mẫu này, hệ thống chưa bù đủ phần rủi ro mà chính nó đang mang.</w:t>
      </w:r>
    </w:p>
    <w:p>
      <w:pPr>
        <w:pStyle w:val="ListBullet"/>
      </w:pPr>
      <w:r>
        <w:t>Mức sụt giảm −29,5% sâu hơn mức của chỉ số. Đây là con số ổn định nhất trong cả bộ đo, và là điều Phần 2 muốn nhà đầu tư chấp nhận trước.</w:t>
      </w:r>
    </w:p>
    <w:p>
      <w:pPr>
        <w:pStyle w:val="Heading2"/>
      </w:pPr>
      <w:r>
        <w:t>5.4. Ba tham số thiết kế: cái nào đo được, cái nào chỉ là đã chốt</w:t>
      </w:r>
    </w:p>
    <w:p>
      <w:r>
        <w:rPr>
          <w:b w:val="0"/>
          <w:i w:val="0"/>
        </w:rPr>
        <w:t>Khi bản kiểm định đầu tiên hỏng, mọi tham số từng được biện minh bằng nó đều phải đo lại. Kết quả chia làm hai loại rõ rệt.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041"/>
            <w:shd w:fill="E8E8E8"/>
          </w:tcPr>
          <w:p>
            <w:r/>
            <w:r>
              <w:rPr>
                <w:b/>
                <w:sz w:val="20"/>
              </w:rPr>
              <w:t>Tham số</w:t>
            </w:r>
          </w:p>
        </w:tc>
        <w:tc>
          <w:tcPr>
            <w:tcW w:type="dxa" w:w="2494"/>
            <w:shd w:fill="E8E8E8"/>
          </w:tcPr>
          <w:p>
            <w:r/>
            <w:r>
              <w:rPr>
                <w:b/>
                <w:sz w:val="20"/>
              </w:rPr>
              <w:t>Kết luận cũ (một pha)</w:t>
            </w:r>
          </w:p>
        </w:tc>
        <w:tc>
          <w:tcPr>
            <w:tcW w:type="dxa" w:w="3061"/>
            <w:shd w:fill="E8E8E8"/>
          </w:tcPr>
          <w:p>
            <w:r/>
            <w:r>
              <w:rPr>
                <w:b/>
                <w:sz w:val="20"/>
              </w:rPr>
              <w:t>Đo lại (trung bình bốn pha)</w:t>
            </w:r>
          </w:p>
        </w:tc>
        <w:tc>
          <w:tcPr>
            <w:tcW w:type="dxa" w:w="1757"/>
            <w:shd w:fill="E8E8E8"/>
          </w:tcPr>
          <w:p>
            <w:r/>
            <w:r>
              <w:rPr>
                <w:b/>
                <w:sz w:val="20"/>
              </w:rPr>
              <w:t>Trạng thái</w:t>
            </w:r>
          </w:p>
        </w:tc>
      </w:tr>
      <w:tr>
        <w:tc>
          <w:tcPr>
            <w:tcW w:type="dxa" w:w="2041"/>
          </w:tcPr>
          <w:p>
            <w:r/>
            <w:r>
              <w:rPr>
                <w:b/>
                <w:sz w:val="20"/>
              </w:rPr>
              <w:t>Số ô danh mục</w:t>
            </w:r>
          </w:p>
        </w:tc>
        <w:tc>
          <w:tcPr>
            <w:tcW w:type="dxa" w:w="2494"/>
          </w:tcPr>
          <w:p>
            <w:r/>
            <w:r>
              <w:rPr>
                <w:sz w:val="20"/>
              </w:rPr>
              <w:t>8–10 ô tốt nhất; 10 ô cho 13,9%</w:t>
            </w:r>
          </w:p>
        </w:tc>
        <w:tc>
          <w:tcPr>
            <w:tcW w:type="dxa" w:w="3061"/>
          </w:tcPr>
          <w:p>
            <w:r/>
            <w:r>
              <w:rPr>
                <w:sz w:val="20"/>
              </w:rPr>
              <w:t>5 ô 10,66% &gt; 10 ô 9,05%; 5 ô thắng ở 4/4 pha</w:t>
            </w:r>
          </w:p>
        </w:tc>
        <w:tc>
          <w:tcPr>
            <w:tcW w:type="dxa" w:w="1757"/>
          </w:tcPr>
          <w:p>
            <w:r/>
            <w:r>
              <w:rPr>
                <w:sz w:val="20"/>
              </w:rPr>
              <w:t>ĐẢO NGƯỢC</w:t>
            </w:r>
          </w:p>
        </w:tc>
      </w:tr>
      <w:tr>
        <w:tc>
          <w:tcPr>
            <w:tcW w:type="dxa" w:w="2041"/>
          </w:tcPr>
          <w:p>
            <w:r/>
            <w:r>
              <w:rPr>
                <w:b/>
                <w:sz w:val="20"/>
              </w:rPr>
              <w:t>Chu kỳ rà soát</w:t>
            </w:r>
          </w:p>
        </w:tc>
        <w:tc>
          <w:tcPr>
            <w:tcW w:type="dxa" w:w="2494"/>
          </w:tcPr>
          <w:p>
            <w:r/>
            <w:r>
              <w:rPr>
                <w:sz w:val="20"/>
              </w:rPr>
              <w:t>Hằng quý làm tụt 13,89% → 7,06%</w:t>
            </w:r>
          </w:p>
        </w:tc>
        <w:tc>
          <w:tcPr>
            <w:tcW w:type="dxa" w:w="3061"/>
          </w:tcPr>
          <w:p>
            <w:r/>
            <w:r>
              <w:rPr>
                <w:sz w:val="20"/>
              </w:rPr>
              <w:t>Hằng quý 11,67% &gt; hằng tháng 9,05%; thắng 3/4 pha</w:t>
            </w:r>
          </w:p>
        </w:tc>
        <w:tc>
          <w:tcPr>
            <w:tcW w:type="dxa" w:w="1757"/>
          </w:tcPr>
          <w:p>
            <w:r/>
            <w:r>
              <w:rPr>
                <w:sz w:val="20"/>
              </w:rPr>
              <w:t>ĐẢO NGƯỢC</w:t>
            </w:r>
          </w:p>
        </w:tc>
      </w:tr>
      <w:tr>
        <w:tc>
          <w:tcPr>
            <w:tcW w:type="dxa" w:w="2041"/>
          </w:tcPr>
          <w:p>
            <w:r/>
            <w:r>
              <w:rPr>
                <w:b/>
                <w:sz w:val="20"/>
              </w:rPr>
              <w:t>Phân bổ 1/biến động</w:t>
            </w:r>
          </w:p>
        </w:tc>
        <w:tc>
          <w:tcPr>
            <w:tcW w:type="dxa" w:w="2494"/>
          </w:tcPr>
          <w:p>
            <w:r/>
            <w:r>
              <w:rPr>
                <w:sz w:val="20"/>
              </w:rPr>
              <w:t>Lợi nhuận ngang bằng, sụt giảm nhỏ hơn</w:t>
            </w:r>
          </w:p>
        </w:tc>
        <w:tc>
          <w:tcPr>
            <w:tcW w:type="dxa" w:w="3061"/>
          </w:tcPr>
          <w:p>
            <w:r/>
            <w:r>
              <w:rPr>
                <w:sz w:val="20"/>
              </w:rPr>
              <w:t>9,05% / −29,5% so với 9,29% / −30,9%; nhỏ hơn ở 4/4 pha</w:t>
            </w:r>
          </w:p>
        </w:tc>
        <w:tc>
          <w:tcPr>
            <w:tcW w:type="dxa" w:w="1757"/>
          </w:tcPr>
          <w:p>
            <w:r/>
            <w:r>
              <w:rPr>
                <w:sz w:val="20"/>
              </w:rPr>
              <w:t>GIỮ NGUYÊN</w:t>
            </w:r>
          </w:p>
        </w:tc>
      </w:tr>
    </w:tbl>
    <w:p>
      <w:pPr>
        <w:pStyle w:val="Chuthichbang"/>
      </w:pPr>
      <w:r>
        <w:t>Bảng 5.3 — Ba tham số thiết kế, đo lại trên bốn pha lưới.</w:t>
      </w:r>
    </w:p>
    <w:p>
      <w:r>
        <w:rPr>
          <w:b w:val="0"/>
          <w:i w:val="0"/>
        </w:rPr>
        <w:t>Quỹ KHÔNG đổi số ô và KHÔNG đổi chu kỳ rà soát theo bảng trên. Lý do là hai phép đo cho hai kết luận ngược nhau, nên điều đọc được chắc chắn nhất không phải "5 ô tốt hơn 10 ô" mà là "hai tham số này không đo được ở cỡ mẫu 52 tháng". Đổi tham số theo phép đo mới nhất chỉ là thay một lần rút thăm bằng một lần rút thăm khác. Chúng được giữ vì là con số đã chốt trong Phần 3, và báo cáo này nói đúng như vậy thay vì viện dẫn một bằng chứng không tồn tại.</w:t>
      </w:r>
    </w:p>
    <w:p>
      <w:r>
        <w:rPr>
          <w:b w:val="0"/>
          <w:i w:val="0"/>
        </w:rPr>
        <w:t>Phân bổ nghịch với biến động là lựa chọn thiết kế duy nhất trong toàn hệ thống mà lý do ban đầu vẫn đứng vững sau khi đo lại: lợi nhuận ngang bằng cân bằng đều, nhưng sụt giảm nhỏ hơn ở cả bốn pha. Đúng như đã ghi từ đầu — chọn nó vì rủi ro, không vì lợi nhuận.</w:t>
      </w:r>
    </w:p>
    <w:p>
      <w:pPr>
        <w:pStyle w:val="Heading2"/>
      </w:pPr>
      <w:r>
        <w:t>5.5. Bốn lỗi hiện thực đã phát hiện và sửa</w:t>
      </w:r>
    </w:p>
    <w:p>
      <w:r>
        <w:rPr>
          <w:b w:val="0"/>
          <w:i w:val="0"/>
        </w:rPr>
        <w:t>Đối chiếu từng dòng mã vận hành với Phần 3 phát hiện bốn chỗ hệ thống chạy khác điều đã chốt. Ghi lại đầy đủ vì một quy trình chỉ có giá trị khi bản chạy và bản viết là một.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454"/>
            <w:shd w:fill="E8E8E8"/>
          </w:tcPr>
          <w:p>
            <w:r/>
            <w:r>
              <w:rPr>
                <w:b/>
                <w:sz w:val="20"/>
              </w:rPr>
              <w:t>#</w:t>
            </w:r>
          </w:p>
        </w:tc>
        <w:tc>
          <w:tcPr>
            <w:tcW w:type="dxa" w:w="1928"/>
            <w:shd w:fill="E8E8E8"/>
          </w:tcPr>
          <w:p>
            <w:r/>
            <w:r>
              <w:rPr>
                <w:b/>
                <w:sz w:val="20"/>
              </w:rPr>
              <w:t>Chỗ sai</w:t>
            </w:r>
          </w:p>
        </w:tc>
        <w:tc>
          <w:tcPr>
            <w:tcW w:type="dxa" w:w="3402"/>
            <w:shd w:fill="E8E8E8"/>
          </w:tcPr>
          <w:p>
            <w:r/>
            <w:r>
              <w:rPr>
                <w:b/>
                <w:sz w:val="20"/>
              </w:rPr>
              <w:t>Bản đã chạy</w:t>
            </w:r>
          </w:p>
        </w:tc>
        <w:tc>
          <w:tcPr>
            <w:tcW w:type="dxa" w:w="3572"/>
            <w:shd w:fill="E8E8E8"/>
          </w:tcPr>
          <w:p>
            <w:r/>
            <w:r>
              <w:rPr>
                <w:b/>
                <w:sz w:val="20"/>
              </w:rPr>
              <w:t>Bản đúng theo Phần 3</w:t>
            </w:r>
          </w:p>
        </w:tc>
      </w:tr>
      <w:tr>
        <w:tc>
          <w:tcPr>
            <w:tcW w:type="dxa" w:w="454"/>
          </w:tcPr>
          <w:p>
            <w:r/>
            <w:r>
              <w:rPr>
                <w:b/>
                <w:sz w:val="20"/>
              </w:rPr>
              <w:t>1</w:t>
            </w:r>
          </w:p>
        </w:tc>
        <w:tc>
          <w:tcPr>
            <w:tcW w:type="dxa" w:w="1928"/>
          </w:tcPr>
          <w:p>
            <w:r/>
            <w:r>
              <w:rPr>
                <w:sz w:val="20"/>
              </w:rPr>
              <w:t>Quy tắc thoát số 3</w:t>
            </w:r>
          </w:p>
        </w:tc>
        <w:tc>
          <w:tcPr>
            <w:tcW w:type="dxa" w:w="3402"/>
          </w:tcPr>
          <w:p>
            <w:r/>
            <w:r>
              <w:rPr>
                <w:sz w:val="20"/>
              </w:rPr>
              <w:t>So giá trị điểm với ngưỡng 0,60</w:t>
            </w:r>
          </w:p>
        </w:tc>
        <w:tc>
          <w:tcPr>
            <w:tcW w:type="dxa" w:w="3572"/>
          </w:tcPr>
          <w:p>
            <w:r/>
            <w:r>
              <w:rPr>
                <w:sz w:val="20"/>
              </w:rPr>
              <w:t>So THỨ HẠNG vị trí với ngưỡng 40% trong rổ đã lọc</w:t>
            </w:r>
          </w:p>
        </w:tc>
      </w:tr>
      <w:tr>
        <w:tc>
          <w:tcPr>
            <w:tcW w:type="dxa" w:w="454"/>
          </w:tcPr>
          <w:p>
            <w:r/>
            <w:r>
              <w:rPr>
                <w:b/>
                <w:sz w:val="20"/>
              </w:rPr>
              <w:t>2</w:t>
            </w:r>
          </w:p>
        </w:tc>
        <w:tc>
          <w:tcPr>
            <w:tcW w:type="dxa" w:w="1928"/>
          </w:tcPr>
          <w:p>
            <w:r/>
            <w:r>
              <w:rPr>
                <w:sz w:val="20"/>
              </w:rPr>
              <w:t>Bộ lọc cứng</w:t>
            </w:r>
          </w:p>
        </w:tc>
        <w:tc>
          <w:tcPr>
            <w:tcW w:type="dxa" w:w="3402"/>
          </w:tcPr>
          <w:p>
            <w:r/>
            <w:r>
              <w:rPr>
                <w:sz w:val="20"/>
              </w:rPr>
              <w:t>Thêm chất lượng xu hướng và sức mạnh 6 tháng làm điều kiện lọc</w:t>
            </w:r>
          </w:p>
        </w:tc>
        <w:tc>
          <w:tcPr>
            <w:tcW w:type="dxa" w:w="3572"/>
          </w:tcPr>
          <w:p>
            <w:r/>
            <w:r>
              <w:rPr>
                <w:sz w:val="20"/>
              </w:rPr>
              <w:t>Đúng năm điều kiện của Bảng CL.1; hai tiêu chí kia là thành phần xếp hạng</w:t>
            </w:r>
          </w:p>
        </w:tc>
      </w:tr>
      <w:tr>
        <w:tc>
          <w:tcPr>
            <w:tcW w:type="dxa" w:w="454"/>
          </w:tcPr>
          <w:p>
            <w:r/>
            <w:r>
              <w:rPr>
                <w:b/>
                <w:sz w:val="20"/>
              </w:rPr>
              <w:t>3</w:t>
            </w:r>
          </w:p>
        </w:tc>
        <w:tc>
          <w:tcPr>
            <w:tcW w:type="dxa" w:w="1928"/>
          </w:tcPr>
          <w:p>
            <w:r/>
            <w:r>
              <w:rPr>
                <w:sz w:val="20"/>
              </w:rPr>
              <w:t>Bước 3 và Bước 4</w:t>
            </w:r>
          </w:p>
        </w:tc>
        <w:tc>
          <w:tcPr>
            <w:tcW w:type="dxa" w:w="3402"/>
          </w:tcPr>
          <w:p>
            <w:r/>
            <w:r>
              <w:rPr>
                <w:sz w:val="20"/>
              </w:rPr>
              <w:t>Một thang điểm 10 suy "chất lượng" và "định giá" từ dữ liệu giá</w:t>
            </w:r>
          </w:p>
        </w:tc>
        <w:tc>
          <w:tcPr>
            <w:tcW w:type="dxa" w:w="3572"/>
          </w:tcPr>
          <w:p>
            <w:r/>
            <w:r>
              <w:rPr>
                <w:sz w:val="20"/>
              </w:rPr>
              <w:t>Người thẩm định, có quyền phủ quyết; thiếu kết luận thì không được mua</w:t>
            </w:r>
          </w:p>
        </w:tc>
      </w:tr>
      <w:tr>
        <w:tc>
          <w:tcPr>
            <w:tcW w:type="dxa" w:w="454"/>
          </w:tcPr>
          <w:p>
            <w:r/>
            <w:r>
              <w:rPr>
                <w:b/>
                <w:sz w:val="20"/>
              </w:rPr>
              <w:t>4</w:t>
            </w:r>
          </w:p>
        </w:tc>
        <w:tc>
          <w:tcPr>
            <w:tcW w:type="dxa" w:w="1928"/>
          </w:tcPr>
          <w:p>
            <w:r/>
            <w:r>
              <w:rPr>
                <w:sz w:val="20"/>
              </w:rPr>
              <w:t>Lệnh bán</w:t>
            </w:r>
          </w:p>
        </w:tc>
        <w:tc>
          <w:tcPr>
            <w:tcW w:type="dxa" w:w="3402"/>
          </w:tcPr>
          <w:p>
            <w:r/>
            <w:r>
              <w:rPr>
                <w:sz w:val="20"/>
              </w:rPr>
              <w:t>Bán phần chênh so với danh mục mục tiêu, tức tái cơ cấu toàn bộ mỗi kỳ</w:t>
            </w:r>
          </w:p>
        </w:tc>
        <w:tc>
          <w:tcPr>
            <w:tcW w:type="dxa" w:w="3572"/>
          </w:tcPr>
          <w:p>
            <w:r/>
            <w:r>
              <w:rPr>
                <w:sz w:val="20"/>
              </w:rPr>
              <w:t>Chỉ bán khi hỏng một trong bốn quy tắc thoát</w:t>
            </w:r>
          </w:p>
        </w:tc>
      </w:tr>
    </w:tbl>
    <w:p>
      <w:pPr>
        <w:pStyle w:val="Chuthichbang"/>
      </w:pPr>
      <w:r>
        <w:t>Bảng 5.4 — Bốn sai lệch giữa mã vận hành và quy trình đã chốt, đã sửa ngày 25–26/08/2026.</w:t>
      </w:r>
    </w:p>
    <w:p>
      <w:r>
        <w:rPr>
          <w:b w:val="0"/>
          <w:i w:val="0"/>
        </w:rPr>
        <w:t>Lỗi thứ ba đáng nói riêng. Thang điểm cũ cộng điểm cho "chất lượng doanh nghiệp" bằng thanh khoản, quan hệ giữa hai đường trung bình và độ mượt của xu hướng, rồi cộng điểm cho "định giá" bằng sức mạnh giá 6 tháng và 3 tháng. Toàn bộ là dữ liệu giá đeo nhãn cơ bản. Đó đúng là loại nhầm lẫn mà Phần 2 đã cảnh báo khi giải thích vì sao bỏ CAPM: hệ thống tự khen mình vì những thứ vốn chỉ là phơi nhiễm rủi ro. Thang điểm đã bị xoá, thay bằng hai cửa do người quyết, và mặc định khi thiếu kết luận là KHÔNG được mua — vì nếu mặc định là được mua thì lớp phủ quyết không tồn tại.</w:t>
      </w:r>
    </w:p>
    <w:p>
      <w:pPr>
        <w:pStyle w:val="Heading1"/>
      </w:pPr>
      <w:r>
        <w:t>6. Thiết lập danh mục</w:t>
      </w:r>
    </w:p>
    <w:p>
      <w:pPr>
        <w:pStyle w:val="Heading2"/>
      </w:pPr>
      <w:r>
        <w:t>6.1. Kiểm tra tập trung theo yếu tố rủi ro</w:t>
      </w:r>
    </w:p>
    <w:p>
      <w:r>
        <w:rPr>
          <w:b w:val="0"/>
          <w:i w:val="0"/>
        </w:rPr>
        <w:t>Phần 3 đã nêu điểm yếu của cách đi từ dưới lên: danh mục dễ vô tình gom nhiều mã cùng phụ thuộc một yếu tố vĩ mô trong khi nhãn ngành của chúng khác nhau, khiến trần ngành trông như đã tuân thủ nhưng rủi ro thật thì không được kiểm soát. Bước kiểm tra này nhóm lại các vị thế theo yếu tố rủi ro chung thay vì theo tên ngành.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402"/>
            <w:shd w:fill="E8E8E8"/>
          </w:tcPr>
          <w:p>
            <w:r/>
            <w:r>
              <w:rPr>
                <w:b/>
                <w:sz w:val="20"/>
              </w:rPr>
              <w:t>Yếu tố rủi ro chung</w:t>
            </w:r>
          </w:p>
        </w:tc>
        <w:tc>
          <w:tcPr>
            <w:tcW w:type="dxa" w:w="2268"/>
            <w:shd w:fill="E8E8E8"/>
          </w:tcPr>
          <w:p>
            <w:r/>
            <w:r>
              <w:rPr>
                <w:b/>
                <w:sz w:val="20"/>
              </w:rPr>
              <w:t>Vị thế</w:t>
            </w:r>
          </w:p>
        </w:tc>
        <w:tc>
          <w:tcPr>
            <w:tcW w:type="dxa" w:w="1984"/>
            <w:shd w:fill="E8E8E8"/>
          </w:tcPr>
          <w:p>
            <w:r/>
            <w:r>
              <w:rPr>
                <w:b/>
                <w:sz w:val="20"/>
              </w:rPr>
              <w:t>Giá trị (đồng)</w:t>
            </w:r>
          </w:p>
        </w:tc>
        <w:tc>
          <w:tcPr>
            <w:tcW w:type="dxa" w:w="1417"/>
            <w:shd w:fill="E8E8E8"/>
          </w:tcPr>
          <w:p>
            <w:r/>
            <w:r>
              <w:rPr>
                <w:b/>
                <w:sz w:val="20"/>
              </w:rPr>
              <w:t>% NAV</w:t>
            </w:r>
          </w:p>
        </w:tc>
      </w:tr>
      <w:tr>
        <w:tc>
          <w:tcPr>
            <w:tcW w:type="dxa" w:w="3402"/>
          </w:tcPr>
          <w:p>
            <w:r/>
            <w:r>
              <w:rPr>
                <w:b/>
                <w:sz w:val="20"/>
              </w:rPr>
              <w:t>Tín dụng nội địa và bất động sản</w:t>
            </w:r>
          </w:p>
        </w:tc>
        <w:tc>
          <w:tcPr>
            <w:tcW w:type="dxa" w:w="2268"/>
          </w:tcPr>
          <w:p>
            <w:r/>
            <w:r>
              <w:rPr>
                <w:sz w:val="20"/>
              </w:rPr>
              <w:t>MSB, LPB, STB, VHM</w:t>
            </w:r>
          </w:p>
        </w:tc>
        <w:tc>
          <w:tcPr>
            <w:tcW w:type="dxa" w:w="1984"/>
          </w:tcPr>
          <w:p>
            <w:r/>
            <w:r>
              <w:rPr>
                <w:sz w:val="20"/>
              </w:rPr>
              <w:t>30.680.000</w:t>
            </w:r>
          </w:p>
        </w:tc>
        <w:tc>
          <w:tcPr>
            <w:tcW w:type="dxa" w:w="1417"/>
          </w:tcPr>
          <w:p>
            <w:r/>
            <w:r>
              <w:rPr>
                <w:sz w:val="20"/>
              </w:rPr>
              <w:t>51,4%</w:t>
            </w:r>
          </w:p>
        </w:tc>
      </w:tr>
      <w:tr>
        <w:tc>
          <w:tcPr>
            <w:tcW w:type="dxa" w:w="3402"/>
          </w:tcPr>
          <w:p>
            <w:r/>
            <w:r>
              <w:rPr>
                <w:b/>
                <w:sz w:val="20"/>
              </w:rPr>
              <w:t>Giá dầu và biên lọc hoá dầu</w:t>
            </w:r>
          </w:p>
        </w:tc>
        <w:tc>
          <w:tcPr>
            <w:tcW w:type="dxa" w:w="2268"/>
          </w:tcPr>
          <w:p>
            <w:r/>
            <w:r>
              <w:rPr>
                <w:sz w:val="20"/>
              </w:rPr>
              <w:t>BSR</w:t>
            </w:r>
          </w:p>
        </w:tc>
        <w:tc>
          <w:tcPr>
            <w:tcW w:type="dxa" w:w="1984"/>
          </w:tcPr>
          <w:p>
            <w:r/>
            <w:r>
              <w:rPr>
                <w:sz w:val="20"/>
              </w:rPr>
              <w:t>5.340.000</w:t>
            </w:r>
          </w:p>
        </w:tc>
        <w:tc>
          <w:tcPr>
            <w:tcW w:type="dxa" w:w="1417"/>
          </w:tcPr>
          <w:p>
            <w:r/>
            <w:r>
              <w:rPr>
                <w:sz w:val="20"/>
              </w:rPr>
              <w:t>8,9%</w:t>
            </w:r>
          </w:p>
        </w:tc>
      </w:tr>
      <w:tr>
        <w:tc>
          <w:tcPr>
            <w:tcW w:type="dxa" w:w="3402"/>
          </w:tcPr>
          <w:p>
            <w:r/>
            <w:r>
              <w:rPr>
                <w:b/>
                <w:sz w:val="20"/>
              </w:rPr>
              <w:t>Thương mại và vận tải biển toàn cầu</w:t>
            </w:r>
          </w:p>
        </w:tc>
        <w:tc>
          <w:tcPr>
            <w:tcW w:type="dxa" w:w="2268"/>
          </w:tcPr>
          <w:p>
            <w:r/>
            <w:r>
              <w:rPr>
                <w:sz w:val="20"/>
              </w:rPr>
              <w:t>GMD</w:t>
            </w:r>
          </w:p>
        </w:tc>
        <w:tc>
          <w:tcPr>
            <w:tcW w:type="dxa" w:w="1984"/>
          </w:tcPr>
          <w:p>
            <w:r/>
            <w:r>
              <w:rPr>
                <w:sz w:val="20"/>
              </w:rPr>
              <w:t>7.870.000</w:t>
            </w:r>
          </w:p>
        </w:tc>
        <w:tc>
          <w:tcPr>
            <w:tcW w:type="dxa" w:w="1417"/>
          </w:tcPr>
          <w:p>
            <w:r/>
            <w:r>
              <w:rPr>
                <w:sz w:val="20"/>
              </w:rPr>
              <w:t>13,2%</w:t>
            </w:r>
          </w:p>
        </w:tc>
      </w:tr>
      <w:tr>
        <w:tc>
          <w:tcPr>
            <w:tcW w:type="dxa" w:w="3402"/>
          </w:tcPr>
          <w:p>
            <w:r/>
            <w:r>
              <w:rPr>
                <w:b/>
                <w:sz w:val="20"/>
              </w:rPr>
              <w:t>Tiền mặt</w:t>
            </w:r>
          </w:p>
        </w:tc>
        <w:tc>
          <w:tcPr>
            <w:tcW w:type="dxa" w:w="2268"/>
          </w:tcPr>
          <w:p>
            <w:r/>
            <w:r>
              <w:rPr>
                <w:sz w:val="20"/>
              </w:rPr>
              <w:t>—</w:t>
            </w:r>
          </w:p>
        </w:tc>
        <w:tc>
          <w:tcPr>
            <w:tcW w:type="dxa" w:w="1984"/>
          </w:tcPr>
          <w:p>
            <w:r/>
            <w:r>
              <w:rPr>
                <w:sz w:val="20"/>
              </w:rPr>
              <w:t>15.826.732</w:t>
            </w:r>
          </w:p>
        </w:tc>
        <w:tc>
          <w:tcPr>
            <w:tcW w:type="dxa" w:w="1417"/>
          </w:tcPr>
          <w:p>
            <w:r/>
            <w:r>
              <w:rPr>
                <w:sz w:val="20"/>
              </w:rPr>
              <w:t>26,5%</w:t>
            </w:r>
          </w:p>
        </w:tc>
      </w:tr>
    </w:tbl>
    <w:p>
      <w:pPr>
        <w:pStyle w:val="Chuthichbang"/>
      </w:pPr>
      <w:r>
        <w:t>Bảng 6.1 — Danh mục nhóm lại theo yếu tố rủi ro, không theo nhãn ngành. Số liệu đóng cửa 25/08/2026.</w:t>
      </w:r>
    </w:p>
    <w:p>
      <w:r>
        <w:rPr>
          <w:b w:val="0"/>
          <w:i w:val="0"/>
        </w:rPr>
        <w:t>Kết quả đúng như điều Phần 3 lo ngại. Theo nhãn ngành, ngân hàng chiếm 39,1% và bất động sản 12,3% — cả hai đều dưới trần 40%. Nhưng bốn vị thế đó cùng phụ thuộc một biến số: mặt bằng lãi suất và chất lượng tín dụng trong nước. Gộp lại chúng chiếm 51,4% NAV và 69,9% phần vốn đã giải ngân. Danh mục có sáu mã nhưng chỉ khoảng ba cược độc lập.</w:t>
      </w:r>
    </w:p>
    <w:tbl>
      <w:tblPr>
        <w:tblStyle w:val="TableGrid"/>
        <w:tblW w:type="auto" w:w="0"/>
        <w:tblLook w:firstColumn="1" w:firstRow="1" w:lastColumn="0" w:lastRow="0" w:noHBand="0" w:noVBand="1" w:val="04A0"/>
      </w:tblPr>
      <w:tblGrid>
        <w:gridCol w:w="9406"/>
      </w:tblGrid>
      <w:tr>
        <w:tc>
          <w:tcPr>
            <w:tcW w:type="dxa" w:w="9406"/>
            <w:shd w:fill="F4F4F4"/>
          </w:tcPr>
          <w:p>
            <w:r/>
            <w:r>
              <w:rPr>
                <w:b/>
                <w:sz w:val="22"/>
              </w:rPr>
              <w:t xml:space="preserve">Điều này không phải một lựa chọn.  </w:t>
            </w:r>
            <w:r>
              <w:rPr>
                <w:sz w:val="22"/>
              </w:rPr>
              <w:t>Ở kỳ rà soát 25/08/2026, chỉ 12 trong 112 mã qua được bộ lọc cứng, và chúng tự dồn vào một số ít ngành. Quỹ không thể đa dạng hoá thêm mà không hạ tiêu chuẩn, và hạ tiêu chuẩn để cho đủ ô là điều Phần 2 đã loại trừ. Cách xử lý đúng là ghi nhận mức tập trung thật và nói ra, không phải che nó sau một trần ngành đã tuân thủ về mặt hình thức.</w:t>
            </w:r>
          </w:p>
        </w:tc>
      </w:tr>
    </w:tbl>
    <w:p/>
    <w:p>
      <w:pPr>
        <w:pStyle w:val="Heading2"/>
      </w:pPr>
      <w:r>
        <w:t>6.2. Trạng thái danh mục</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134"/>
            <w:shd w:fill="E8E8E8"/>
          </w:tcPr>
          <w:p>
            <w:r/>
            <w:r>
              <w:rPr>
                <w:b/>
                <w:sz w:val="20"/>
              </w:rPr>
              <w:t>Mã</w:t>
            </w:r>
          </w:p>
        </w:tc>
        <w:tc>
          <w:tcPr>
            <w:tcW w:type="dxa" w:w="1474"/>
            <w:shd w:fill="E8E8E8"/>
          </w:tcPr>
          <w:p>
            <w:r/>
            <w:r>
              <w:rPr>
                <w:b/>
                <w:sz w:val="20"/>
              </w:rPr>
              <w:t>Khối lượng</w:t>
            </w:r>
          </w:p>
        </w:tc>
        <w:tc>
          <w:tcPr>
            <w:tcW w:type="dxa" w:w="1474"/>
            <w:shd w:fill="E8E8E8"/>
          </w:tcPr>
          <w:p>
            <w:r/>
            <w:r>
              <w:rPr>
                <w:b/>
                <w:sz w:val="20"/>
              </w:rPr>
              <w:t>Giá vốn</w:t>
            </w:r>
          </w:p>
        </w:tc>
        <w:tc>
          <w:tcPr>
            <w:tcW w:type="dxa" w:w="1474"/>
            <w:shd w:fill="E8E8E8"/>
          </w:tcPr>
          <w:p>
            <w:r/>
            <w:r>
              <w:rPr>
                <w:b/>
                <w:sz w:val="20"/>
              </w:rPr>
              <w:t>Giá 25/08</w:t>
            </w:r>
          </w:p>
        </w:tc>
        <w:tc>
          <w:tcPr>
            <w:tcW w:type="dxa" w:w="1814"/>
            <w:shd w:fill="E8E8E8"/>
          </w:tcPr>
          <w:p>
            <w:r/>
            <w:r>
              <w:rPr>
                <w:b/>
                <w:sz w:val="20"/>
              </w:rPr>
              <w:t>Giá trị</w:t>
            </w:r>
          </w:p>
        </w:tc>
        <w:tc>
          <w:tcPr>
            <w:tcW w:type="dxa" w:w="1417"/>
            <w:shd w:fill="E8E8E8"/>
          </w:tcPr>
          <w:p>
            <w:r/>
            <w:r>
              <w:rPr>
                <w:b/>
                <w:sz w:val="20"/>
              </w:rPr>
              <w:t>Lãi/lỗ</w:t>
            </w:r>
          </w:p>
        </w:tc>
      </w:tr>
      <w:tr>
        <w:tc>
          <w:tcPr>
            <w:tcW w:type="dxa" w:w="1134"/>
          </w:tcPr>
          <w:p>
            <w:r/>
            <w:r>
              <w:rPr>
                <w:b/>
                <w:sz w:val="20"/>
              </w:rPr>
              <w:t>BSR</w:t>
            </w:r>
          </w:p>
        </w:tc>
        <w:tc>
          <w:tcPr>
            <w:tcW w:type="dxa" w:w="1474"/>
          </w:tcPr>
          <w:p>
            <w:r/>
            <w:r>
              <w:rPr>
                <w:sz w:val="20"/>
              </w:rPr>
              <w:t>200</w:t>
            </w:r>
          </w:p>
        </w:tc>
        <w:tc>
          <w:tcPr>
            <w:tcW w:type="dxa" w:w="1474"/>
          </w:tcPr>
          <w:p>
            <w:r/>
            <w:r>
              <w:rPr>
                <w:sz w:val="20"/>
              </w:rPr>
              <w:t>27.000</w:t>
            </w:r>
          </w:p>
        </w:tc>
        <w:tc>
          <w:tcPr>
            <w:tcW w:type="dxa" w:w="1474"/>
          </w:tcPr>
          <w:p>
            <w:r/>
            <w:r>
              <w:rPr>
                <w:sz w:val="20"/>
              </w:rPr>
              <w:t>26.700</w:t>
            </w:r>
          </w:p>
        </w:tc>
        <w:tc>
          <w:tcPr>
            <w:tcW w:type="dxa" w:w="1814"/>
          </w:tcPr>
          <w:p>
            <w:r/>
            <w:r>
              <w:rPr>
                <w:sz w:val="20"/>
              </w:rPr>
              <w:t>5.340.000</w:t>
            </w:r>
          </w:p>
        </w:tc>
        <w:tc>
          <w:tcPr>
            <w:tcW w:type="dxa" w:w="1417"/>
          </w:tcPr>
          <w:p>
            <w:r/>
            <w:r>
              <w:rPr>
                <w:sz w:val="20"/>
              </w:rPr>
              <w:t>−1,11%</w:t>
            </w:r>
          </w:p>
        </w:tc>
      </w:tr>
      <w:tr>
        <w:tc>
          <w:tcPr>
            <w:tcW w:type="dxa" w:w="1134"/>
          </w:tcPr>
          <w:p>
            <w:r/>
            <w:r>
              <w:rPr>
                <w:b/>
                <w:sz w:val="20"/>
              </w:rPr>
              <w:t>GMD</w:t>
            </w:r>
          </w:p>
        </w:tc>
        <w:tc>
          <w:tcPr>
            <w:tcW w:type="dxa" w:w="1474"/>
          </w:tcPr>
          <w:p>
            <w:r/>
            <w:r>
              <w:rPr>
                <w:sz w:val="20"/>
              </w:rPr>
              <w:t>100</w:t>
            </w:r>
          </w:p>
        </w:tc>
        <w:tc>
          <w:tcPr>
            <w:tcW w:type="dxa" w:w="1474"/>
          </w:tcPr>
          <w:p>
            <w:r/>
            <w:r>
              <w:rPr>
                <w:sz w:val="20"/>
              </w:rPr>
              <w:t>78.800</w:t>
            </w:r>
          </w:p>
        </w:tc>
        <w:tc>
          <w:tcPr>
            <w:tcW w:type="dxa" w:w="1474"/>
          </w:tcPr>
          <w:p>
            <w:r/>
            <w:r>
              <w:rPr>
                <w:sz w:val="20"/>
              </w:rPr>
              <w:t>78.700</w:t>
            </w:r>
          </w:p>
        </w:tc>
        <w:tc>
          <w:tcPr>
            <w:tcW w:type="dxa" w:w="1814"/>
          </w:tcPr>
          <w:p>
            <w:r/>
            <w:r>
              <w:rPr>
                <w:sz w:val="20"/>
              </w:rPr>
              <w:t>7.870.000</w:t>
            </w:r>
          </w:p>
        </w:tc>
        <w:tc>
          <w:tcPr>
            <w:tcW w:type="dxa" w:w="1417"/>
          </w:tcPr>
          <w:p>
            <w:r/>
            <w:r>
              <w:rPr>
                <w:sz w:val="20"/>
              </w:rPr>
              <w:t>−0,13%</w:t>
            </w:r>
          </w:p>
        </w:tc>
      </w:tr>
      <w:tr>
        <w:tc>
          <w:tcPr>
            <w:tcW w:type="dxa" w:w="1134"/>
          </w:tcPr>
          <w:p>
            <w:r/>
            <w:r>
              <w:rPr>
                <w:b/>
                <w:sz w:val="20"/>
              </w:rPr>
              <w:t>LPB</w:t>
            </w:r>
          </w:p>
        </w:tc>
        <w:tc>
          <w:tcPr>
            <w:tcW w:type="dxa" w:w="1474"/>
          </w:tcPr>
          <w:p>
            <w:r/>
            <w:r>
              <w:rPr>
                <w:sz w:val="20"/>
              </w:rPr>
              <w:t>100</w:t>
            </w:r>
          </w:p>
        </w:tc>
        <w:tc>
          <w:tcPr>
            <w:tcW w:type="dxa" w:w="1474"/>
          </w:tcPr>
          <w:p>
            <w:r/>
            <w:r>
              <w:rPr>
                <w:sz w:val="20"/>
              </w:rPr>
              <w:t>50.800</w:t>
            </w:r>
          </w:p>
        </w:tc>
        <w:tc>
          <w:tcPr>
            <w:tcW w:type="dxa" w:w="1474"/>
          </w:tcPr>
          <w:p>
            <w:r/>
            <w:r>
              <w:rPr>
                <w:sz w:val="20"/>
              </w:rPr>
              <w:t>49.800</w:t>
            </w:r>
          </w:p>
        </w:tc>
        <w:tc>
          <w:tcPr>
            <w:tcW w:type="dxa" w:w="1814"/>
          </w:tcPr>
          <w:p>
            <w:r/>
            <w:r>
              <w:rPr>
                <w:sz w:val="20"/>
              </w:rPr>
              <w:t>4.980.000</w:t>
            </w:r>
          </w:p>
        </w:tc>
        <w:tc>
          <w:tcPr>
            <w:tcW w:type="dxa" w:w="1417"/>
          </w:tcPr>
          <w:p>
            <w:r/>
            <w:r>
              <w:rPr>
                <w:sz w:val="20"/>
              </w:rPr>
              <w:t>−1,97%</w:t>
            </w:r>
          </w:p>
        </w:tc>
      </w:tr>
      <w:tr>
        <w:tc>
          <w:tcPr>
            <w:tcW w:type="dxa" w:w="1134"/>
          </w:tcPr>
          <w:p>
            <w:r/>
            <w:r>
              <w:rPr>
                <w:b/>
                <w:sz w:val="20"/>
              </w:rPr>
              <w:t>MSB</w:t>
            </w:r>
          </w:p>
        </w:tc>
        <w:tc>
          <w:tcPr>
            <w:tcW w:type="dxa" w:w="1474"/>
          </w:tcPr>
          <w:p>
            <w:r/>
            <w:r>
              <w:rPr>
                <w:sz w:val="20"/>
              </w:rPr>
              <w:t>700</w:t>
            </w:r>
          </w:p>
        </w:tc>
        <w:tc>
          <w:tcPr>
            <w:tcW w:type="dxa" w:w="1474"/>
          </w:tcPr>
          <w:p>
            <w:r/>
            <w:r>
              <w:rPr>
                <w:sz w:val="20"/>
              </w:rPr>
              <w:t>16.000</w:t>
            </w:r>
          </w:p>
        </w:tc>
        <w:tc>
          <w:tcPr>
            <w:tcW w:type="dxa" w:w="1474"/>
          </w:tcPr>
          <w:p>
            <w:r/>
            <w:r>
              <w:rPr>
                <w:sz w:val="20"/>
              </w:rPr>
              <w:t>15.600</w:t>
            </w:r>
          </w:p>
        </w:tc>
        <w:tc>
          <w:tcPr>
            <w:tcW w:type="dxa" w:w="1814"/>
          </w:tcPr>
          <w:p>
            <w:r/>
            <w:r>
              <w:rPr>
                <w:sz w:val="20"/>
              </w:rPr>
              <w:t>10.920.000</w:t>
            </w:r>
          </w:p>
        </w:tc>
        <w:tc>
          <w:tcPr>
            <w:tcW w:type="dxa" w:w="1417"/>
          </w:tcPr>
          <w:p>
            <w:r/>
            <w:r>
              <w:rPr>
                <w:sz w:val="20"/>
              </w:rPr>
              <w:t>−2,50%</w:t>
            </w:r>
          </w:p>
        </w:tc>
      </w:tr>
      <w:tr>
        <w:tc>
          <w:tcPr>
            <w:tcW w:type="dxa" w:w="1134"/>
          </w:tcPr>
          <w:p>
            <w:r/>
            <w:r>
              <w:rPr>
                <w:b/>
                <w:sz w:val="20"/>
              </w:rPr>
              <w:t>STB</w:t>
            </w:r>
          </w:p>
        </w:tc>
        <w:tc>
          <w:tcPr>
            <w:tcW w:type="dxa" w:w="1474"/>
          </w:tcPr>
          <w:p>
            <w:r/>
            <w:r>
              <w:rPr>
                <w:sz w:val="20"/>
              </w:rPr>
              <w:t>100</w:t>
            </w:r>
          </w:p>
        </w:tc>
        <w:tc>
          <w:tcPr>
            <w:tcW w:type="dxa" w:w="1474"/>
          </w:tcPr>
          <w:p>
            <w:r/>
            <w:r>
              <w:rPr>
                <w:sz w:val="20"/>
              </w:rPr>
              <w:t>74.200</w:t>
            </w:r>
          </w:p>
        </w:tc>
        <w:tc>
          <w:tcPr>
            <w:tcW w:type="dxa" w:w="1474"/>
          </w:tcPr>
          <w:p>
            <w:r/>
            <w:r>
              <w:rPr>
                <w:sz w:val="20"/>
              </w:rPr>
              <w:t>74.200</w:t>
            </w:r>
          </w:p>
        </w:tc>
        <w:tc>
          <w:tcPr>
            <w:tcW w:type="dxa" w:w="1814"/>
          </w:tcPr>
          <w:p>
            <w:r/>
            <w:r>
              <w:rPr>
                <w:sz w:val="20"/>
              </w:rPr>
              <w:t>7.420.000</w:t>
            </w:r>
          </w:p>
        </w:tc>
        <w:tc>
          <w:tcPr>
            <w:tcW w:type="dxa" w:w="1417"/>
          </w:tcPr>
          <w:p>
            <w:r/>
            <w:r>
              <w:rPr>
                <w:sz w:val="20"/>
              </w:rPr>
              <w:t>+0,00%</w:t>
            </w:r>
          </w:p>
        </w:tc>
      </w:tr>
      <w:tr>
        <w:tc>
          <w:tcPr>
            <w:tcW w:type="dxa" w:w="1134"/>
          </w:tcPr>
          <w:p>
            <w:r/>
            <w:r>
              <w:rPr>
                <w:b/>
                <w:sz w:val="20"/>
              </w:rPr>
              <w:t>VHM</w:t>
            </w:r>
          </w:p>
        </w:tc>
        <w:tc>
          <w:tcPr>
            <w:tcW w:type="dxa" w:w="1474"/>
          </w:tcPr>
          <w:p>
            <w:r/>
            <w:r>
              <w:rPr>
                <w:sz w:val="20"/>
              </w:rPr>
              <w:t>100</w:t>
            </w:r>
          </w:p>
        </w:tc>
        <w:tc>
          <w:tcPr>
            <w:tcW w:type="dxa" w:w="1474"/>
          </w:tcPr>
          <w:p>
            <w:r/>
            <w:r>
              <w:rPr>
                <w:sz w:val="20"/>
              </w:rPr>
              <w:t>69.000</w:t>
            </w:r>
          </w:p>
        </w:tc>
        <w:tc>
          <w:tcPr>
            <w:tcW w:type="dxa" w:w="1474"/>
          </w:tcPr>
          <w:p>
            <w:r/>
            <w:r>
              <w:rPr>
                <w:sz w:val="20"/>
              </w:rPr>
              <w:t>73.600</w:t>
            </w:r>
          </w:p>
        </w:tc>
        <w:tc>
          <w:tcPr>
            <w:tcW w:type="dxa" w:w="1814"/>
          </w:tcPr>
          <w:p>
            <w:r/>
            <w:r>
              <w:rPr>
                <w:sz w:val="20"/>
              </w:rPr>
              <w:t>7.360.000</w:t>
            </w:r>
          </w:p>
        </w:tc>
        <w:tc>
          <w:tcPr>
            <w:tcW w:type="dxa" w:w="1417"/>
          </w:tcPr>
          <w:p>
            <w:r/>
            <w:r>
              <w:rPr>
                <w:sz w:val="20"/>
              </w:rPr>
              <w:t>+6,67%</w:t>
            </w:r>
          </w:p>
        </w:tc>
      </w:tr>
    </w:tbl>
    <w:p>
      <w:pPr>
        <w:pStyle w:val="Chuthichbang"/>
      </w:pPr>
      <w:r>
        <w:t>Bảng 6.2 — Vị thế đang nắm giữ, giá đóng cửa 25/08/2026.</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fill="E8E8E8"/>
          </w:tcPr>
          <w:p>
            <w:r/>
            <w:r>
              <w:rPr>
                <w:b/>
                <w:sz w:val="20"/>
              </w:rPr>
              <w:t>Khoản mục</w:t>
            </w:r>
          </w:p>
        </w:tc>
        <w:tc>
          <w:tcPr>
            <w:tcW w:type="dxa" w:w="2835"/>
            <w:shd w:fill="E8E8E8"/>
          </w:tcPr>
          <w:p>
            <w:r/>
            <w:r>
              <w:rPr>
                <w:b/>
                <w:sz w:val="20"/>
              </w:rPr>
              <w:t>Giá trị (đồng)</w:t>
            </w:r>
          </w:p>
        </w:tc>
        <w:tc>
          <w:tcPr>
            <w:tcW w:type="dxa" w:w="2268"/>
            <w:shd w:fill="E8E8E8"/>
          </w:tcPr>
          <w:p>
            <w:r/>
            <w:r>
              <w:rPr>
                <w:b/>
                <w:sz w:val="20"/>
              </w:rPr>
              <w:t>% NAV</w:t>
            </w:r>
          </w:p>
        </w:tc>
      </w:tr>
      <w:tr>
        <w:tc>
          <w:tcPr>
            <w:tcW w:type="dxa" w:w="3402"/>
          </w:tcPr>
          <w:p>
            <w:r/>
            <w:r>
              <w:rPr>
                <w:b/>
                <w:sz w:val="20"/>
              </w:rPr>
              <w:t>Cổ phiếu</w:t>
            </w:r>
          </w:p>
        </w:tc>
        <w:tc>
          <w:tcPr>
            <w:tcW w:type="dxa" w:w="2835"/>
          </w:tcPr>
          <w:p>
            <w:r/>
            <w:r>
              <w:rPr>
                <w:sz w:val="20"/>
              </w:rPr>
              <w:t>43.890.000</w:t>
            </w:r>
          </w:p>
        </w:tc>
        <w:tc>
          <w:tcPr>
            <w:tcW w:type="dxa" w:w="2268"/>
          </w:tcPr>
          <w:p>
            <w:r/>
            <w:r>
              <w:rPr>
                <w:sz w:val="20"/>
              </w:rPr>
              <w:t>73,5%</w:t>
            </w:r>
          </w:p>
        </w:tc>
      </w:tr>
      <w:tr>
        <w:tc>
          <w:tcPr>
            <w:tcW w:type="dxa" w:w="3402"/>
          </w:tcPr>
          <w:p>
            <w:r/>
            <w:r>
              <w:rPr>
                <w:b/>
                <w:sz w:val="20"/>
              </w:rPr>
              <w:t>Tiền mặt</w:t>
            </w:r>
          </w:p>
        </w:tc>
        <w:tc>
          <w:tcPr>
            <w:tcW w:type="dxa" w:w="2835"/>
          </w:tcPr>
          <w:p>
            <w:r/>
            <w:r>
              <w:rPr>
                <w:sz w:val="20"/>
              </w:rPr>
              <w:t>15.826.732</w:t>
            </w:r>
          </w:p>
        </w:tc>
        <w:tc>
          <w:tcPr>
            <w:tcW w:type="dxa" w:w="2268"/>
          </w:tcPr>
          <w:p>
            <w:r/>
            <w:r>
              <w:rPr>
                <w:sz w:val="20"/>
              </w:rPr>
              <w:t>26,5%</w:t>
            </w:r>
          </w:p>
        </w:tc>
      </w:tr>
      <w:tr>
        <w:tc>
          <w:tcPr>
            <w:tcW w:type="dxa" w:w="3402"/>
          </w:tcPr>
          <w:p>
            <w:r/>
            <w:r>
              <w:rPr>
                <w:b/>
                <w:sz w:val="20"/>
              </w:rPr>
              <w:t>Tổng tài sản ròng</w:t>
            </w:r>
          </w:p>
        </w:tc>
        <w:tc>
          <w:tcPr>
            <w:tcW w:type="dxa" w:w="2835"/>
          </w:tcPr>
          <w:p>
            <w:r/>
            <w:r>
              <w:rPr>
                <w:sz w:val="20"/>
              </w:rPr>
              <w:t>59.716.732</w:t>
            </w:r>
          </w:p>
        </w:tc>
        <w:tc>
          <w:tcPr>
            <w:tcW w:type="dxa" w:w="2268"/>
          </w:tcPr>
          <w:p>
            <w:r/>
            <w:r>
              <w:rPr>
                <w:sz w:val="20"/>
              </w:rPr>
              <w:t>100,0%</w:t>
            </w:r>
          </w:p>
        </w:tc>
      </w:tr>
      <w:tr>
        <w:tc>
          <w:tcPr>
            <w:tcW w:type="dxa" w:w="3402"/>
          </w:tcPr>
          <w:p>
            <w:r/>
            <w:r>
              <w:rPr>
                <w:b/>
                <w:sz w:val="20"/>
              </w:rPr>
              <w:t>Vốn góp ban đầu</w:t>
            </w:r>
          </w:p>
        </w:tc>
        <w:tc>
          <w:tcPr>
            <w:tcW w:type="dxa" w:w="2835"/>
          </w:tcPr>
          <w:p>
            <w:r/>
            <w:r>
              <w:rPr>
                <w:sz w:val="20"/>
              </w:rPr>
              <w:t>60.000.000</w:t>
            </w:r>
          </w:p>
        </w:tc>
        <w:tc>
          <w:tcPr>
            <w:tcW w:type="dxa" w:w="2268"/>
          </w:tcPr>
          <w:p>
            <w:r/>
            <w:r>
              <w:rPr>
                <w:sz w:val="20"/>
              </w:rPr>
              <w:t>—</w:t>
            </w:r>
          </w:p>
        </w:tc>
      </w:tr>
      <w:tr>
        <w:tc>
          <w:tcPr>
            <w:tcW w:type="dxa" w:w="3402"/>
          </w:tcPr>
          <w:p>
            <w:r/>
            <w:r>
              <w:rPr>
                <w:b/>
                <w:sz w:val="20"/>
              </w:rPr>
              <w:t>Thay đổi</w:t>
            </w:r>
          </w:p>
        </w:tc>
        <w:tc>
          <w:tcPr>
            <w:tcW w:type="dxa" w:w="2835"/>
          </w:tcPr>
          <w:p>
            <w:r/>
            <w:r>
              <w:rPr>
                <w:sz w:val="20"/>
              </w:rPr>
              <w:t>−283.268</w:t>
            </w:r>
          </w:p>
        </w:tc>
        <w:tc>
          <w:tcPr>
            <w:tcW w:type="dxa" w:w="2268"/>
          </w:tcPr>
          <w:p>
            <w:r/>
            <w:r>
              <w:rPr>
                <w:sz w:val="20"/>
              </w:rPr>
              <w:t>−0,47%</w:t>
            </w:r>
          </w:p>
        </w:tc>
      </w:tr>
    </w:tbl>
    <w:p>
      <w:pPr>
        <w:pStyle w:val="Chuthichbang"/>
      </w:pPr>
      <w:r>
        <w:t>Bảng 6.3 — Tổng hợp danh mục.</w:t>
      </w:r>
    </w:p>
    <w:p>
      <w:r>
        <w:rPr>
          <w:b w:val="0"/>
          <w:i w:val="0"/>
        </w:rPr>
        <w:t>Tỷ trọng tiền mặt 26,5% không phải một dự báo. Nó là số ô không tìm được cổ phiếu đạt chuẩn, cộng thêm một khoản phát sinh từ sai sót vận hành nêu ngay dưới đây.</w:t>
      </w:r>
    </w:p>
    <w:tbl>
      <w:tblPr>
        <w:tblStyle w:val="TableGrid"/>
        <w:tblW w:type="auto" w:w="0"/>
        <w:tblLook w:firstColumn="1" w:firstRow="1" w:lastColumn="0" w:lastRow="0" w:noHBand="0" w:noVBand="1" w:val="04A0"/>
      </w:tblPr>
      <w:tblGrid>
        <w:gridCol w:w="9406"/>
      </w:tblGrid>
      <w:tr>
        <w:tc>
          <w:tcPr>
            <w:tcW w:type="dxa" w:w="9406"/>
            <w:shd w:fill="F4F4F4"/>
          </w:tcPr>
          <w:p>
            <w:r/>
            <w:r>
              <w:rPr>
                <w:b/>
                <w:sz w:val="22"/>
              </w:rPr>
              <w:t xml:space="preserve">Ghi nhận một lệch so với kế hoạch đã chốt.  </w:t>
            </w:r>
            <w:r>
              <w:rPr>
                <w:sz w:val="22"/>
              </w:rPr>
              <w:t>Kế hoạch ngày 19/08/2026 có một lệnh mua với nhánh bắt buộc: nếu chưa khớp trước ngày 21/08 thì mua ở giá thị trường. Lệnh đó không khớp và nhánh bắt buộc đã không được thực hiện. Hệ quả là tỷ trọng tiền mặt cao hơn thiết kế khoảng mười điểm phần trăm, và một ô danh mục để trống không phải vì thiếu mã đạt chuẩn. Ghi lại vì đây đúng là sai lầm loại thứ nhất trong cách phân loại ở Phần 3 — sai vì không tuân thủ quy trình, chứ không phải tuân thủ đúng mà kết quả xấu — và loại đó phải sửa ngay ở người vận hành.</w:t>
            </w:r>
          </w:p>
        </w:tc>
      </w:tr>
    </w:tbl>
    <w:p/>
    <w:p>
      <w:r>
        <w:rPr>
          <w:b/>
          <w:i w:val="0"/>
        </w:rPr>
        <w:t>Kỳ rà soát 01/09/2026 — kết quả áp bốn quy tắc thoát: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E8E8E8"/>
          </w:tcPr>
          <w:p>
            <w:r/>
            <w:r>
              <w:rPr>
                <w:b/>
                <w:sz w:val="20"/>
              </w:rPr>
              <w:t>Mã</w:t>
            </w:r>
          </w:p>
        </w:tc>
        <w:tc>
          <w:tcPr>
            <w:tcW w:type="dxa" w:w="1474"/>
            <w:shd w:fill="E8E8E8"/>
          </w:tcPr>
          <w:p>
            <w:r/>
            <w:r>
              <w:rPr>
                <w:b/>
                <w:sz w:val="20"/>
              </w:rPr>
              <w:t>Thứ hạng</w:t>
            </w:r>
          </w:p>
        </w:tc>
        <w:tc>
          <w:tcPr>
            <w:tcW w:type="dxa" w:w="1361"/>
            <w:shd w:fill="E8E8E8"/>
          </w:tcPr>
          <w:p>
            <w:r/>
            <w:r>
              <w:rPr>
                <w:b/>
                <w:sz w:val="20"/>
              </w:rPr>
              <w:t>Vị trí</w:t>
            </w:r>
          </w:p>
        </w:tc>
        <w:tc>
          <w:tcPr>
            <w:tcW w:type="dxa" w:w="4535"/>
            <w:shd w:fill="E8E8E8"/>
          </w:tcPr>
          <w:p>
            <w:r/>
            <w:r>
              <w:rPr>
                <w:b/>
                <w:sz w:val="20"/>
              </w:rPr>
              <w:t>Kết luận</w:t>
            </w:r>
          </w:p>
        </w:tc>
      </w:tr>
      <w:tr>
        <w:tc>
          <w:tcPr>
            <w:tcW w:type="dxa" w:w="1134"/>
          </w:tcPr>
          <w:p>
            <w:r/>
            <w:r>
              <w:rPr>
                <w:b/>
                <w:sz w:val="20"/>
              </w:rPr>
              <w:t>BSR</w:t>
            </w:r>
          </w:p>
        </w:tc>
        <w:tc>
          <w:tcPr>
            <w:tcW w:type="dxa" w:w="1474"/>
          </w:tcPr>
          <w:p>
            <w:r/>
            <w:r>
              <w:rPr>
                <w:sz w:val="20"/>
              </w:rPr>
              <w:t>10/12</w:t>
            </w:r>
          </w:p>
        </w:tc>
        <w:tc>
          <w:tcPr>
            <w:tcW w:type="dxa" w:w="1361"/>
          </w:tcPr>
          <w:p>
            <w:r/>
            <w:r>
              <w:rPr>
                <w:sz w:val="20"/>
              </w:rPr>
              <w:t>0,82</w:t>
            </w:r>
          </w:p>
        </w:tc>
        <w:tc>
          <w:tcPr>
            <w:tcW w:type="dxa" w:w="4535"/>
          </w:tcPr>
          <w:p>
            <w:r/>
            <w:r>
              <w:rPr>
                <w:sz w:val="20"/>
              </w:rPr>
              <w:t>BÁN — rank_below_40pct</w:t>
            </w:r>
          </w:p>
        </w:tc>
      </w:tr>
      <w:tr>
        <w:tc>
          <w:tcPr>
            <w:tcW w:type="dxa" w:w="1134"/>
          </w:tcPr>
          <w:p>
            <w:r/>
            <w:r>
              <w:rPr>
                <w:b/>
                <w:sz w:val="20"/>
              </w:rPr>
              <w:t>GMD</w:t>
            </w:r>
          </w:p>
        </w:tc>
        <w:tc>
          <w:tcPr>
            <w:tcW w:type="dxa" w:w="1474"/>
          </w:tcPr>
          <w:p>
            <w:r/>
            <w:r>
              <w:rPr>
                <w:sz w:val="20"/>
              </w:rPr>
              <w:t>8/12</w:t>
            </w:r>
          </w:p>
        </w:tc>
        <w:tc>
          <w:tcPr>
            <w:tcW w:type="dxa" w:w="1361"/>
          </w:tcPr>
          <w:p>
            <w:r/>
            <w:r>
              <w:rPr>
                <w:sz w:val="20"/>
              </w:rPr>
              <w:t>0,64</w:t>
            </w:r>
          </w:p>
        </w:tc>
        <w:tc>
          <w:tcPr>
            <w:tcW w:type="dxa" w:w="4535"/>
          </w:tcPr>
          <w:p>
            <w:r/>
            <w:r>
              <w:rPr>
                <w:sz w:val="20"/>
              </w:rPr>
              <w:t>BÁN — rank_below_40pct</w:t>
            </w:r>
          </w:p>
        </w:tc>
      </w:tr>
      <w:tr>
        <w:tc>
          <w:tcPr>
            <w:tcW w:type="dxa" w:w="1134"/>
          </w:tcPr>
          <w:p>
            <w:r/>
            <w:r>
              <w:rPr>
                <w:b/>
                <w:sz w:val="20"/>
              </w:rPr>
              <w:t>LPB</w:t>
            </w:r>
          </w:p>
        </w:tc>
        <w:tc>
          <w:tcPr>
            <w:tcW w:type="dxa" w:w="1474"/>
          </w:tcPr>
          <w:p>
            <w:r/>
            <w:r>
              <w:rPr>
                <w:sz w:val="20"/>
              </w:rPr>
              <w:t>5/12</w:t>
            </w:r>
          </w:p>
        </w:tc>
        <w:tc>
          <w:tcPr>
            <w:tcW w:type="dxa" w:w="1361"/>
          </w:tcPr>
          <w:p>
            <w:r/>
            <w:r>
              <w:rPr>
                <w:sz w:val="20"/>
              </w:rPr>
              <w:t>0,36</w:t>
            </w:r>
          </w:p>
        </w:tc>
        <w:tc>
          <w:tcPr>
            <w:tcW w:type="dxa" w:w="4535"/>
          </w:tcPr>
          <w:p>
            <w:r/>
            <w:r>
              <w:rPr>
                <w:sz w:val="20"/>
              </w:rPr>
              <w:t>Giữ</w:t>
            </w:r>
          </w:p>
        </w:tc>
      </w:tr>
      <w:tr>
        <w:tc>
          <w:tcPr>
            <w:tcW w:type="dxa" w:w="1134"/>
          </w:tcPr>
          <w:p>
            <w:r/>
            <w:r>
              <w:rPr>
                <w:b/>
                <w:sz w:val="20"/>
              </w:rPr>
              <w:t>MSB</w:t>
            </w:r>
          </w:p>
        </w:tc>
        <w:tc>
          <w:tcPr>
            <w:tcW w:type="dxa" w:w="1474"/>
          </w:tcPr>
          <w:p>
            <w:r/>
            <w:r>
              <w:rPr>
                <w:sz w:val="20"/>
              </w:rPr>
              <w:t>4/12</w:t>
            </w:r>
          </w:p>
        </w:tc>
        <w:tc>
          <w:tcPr>
            <w:tcW w:type="dxa" w:w="1361"/>
          </w:tcPr>
          <w:p>
            <w:r/>
            <w:r>
              <w:rPr>
                <w:sz w:val="20"/>
              </w:rPr>
              <w:t>0,27</w:t>
            </w:r>
          </w:p>
        </w:tc>
        <w:tc>
          <w:tcPr>
            <w:tcW w:type="dxa" w:w="4535"/>
          </w:tcPr>
          <w:p>
            <w:r/>
            <w:r>
              <w:rPr>
                <w:sz w:val="20"/>
              </w:rPr>
              <w:t>Giữ</w:t>
            </w:r>
          </w:p>
        </w:tc>
      </w:tr>
      <w:tr>
        <w:tc>
          <w:tcPr>
            <w:tcW w:type="dxa" w:w="1134"/>
          </w:tcPr>
          <w:p>
            <w:r/>
            <w:r>
              <w:rPr>
                <w:b/>
                <w:sz w:val="20"/>
              </w:rPr>
              <w:t>STB</w:t>
            </w:r>
          </w:p>
        </w:tc>
        <w:tc>
          <w:tcPr>
            <w:tcW w:type="dxa" w:w="1474"/>
          </w:tcPr>
          <w:p>
            <w:r/>
            <w:r>
              <w:rPr>
                <w:sz w:val="20"/>
              </w:rPr>
              <w:t>2/12</w:t>
            </w:r>
          </w:p>
        </w:tc>
        <w:tc>
          <w:tcPr>
            <w:tcW w:type="dxa" w:w="1361"/>
          </w:tcPr>
          <w:p>
            <w:r/>
            <w:r>
              <w:rPr>
                <w:sz w:val="20"/>
              </w:rPr>
              <w:t>0,09</w:t>
            </w:r>
          </w:p>
        </w:tc>
        <w:tc>
          <w:tcPr>
            <w:tcW w:type="dxa" w:w="4535"/>
          </w:tcPr>
          <w:p>
            <w:r/>
            <w:r>
              <w:rPr>
                <w:sz w:val="20"/>
              </w:rPr>
              <w:t>Giữ</w:t>
            </w:r>
          </w:p>
        </w:tc>
      </w:tr>
      <w:tr>
        <w:tc>
          <w:tcPr>
            <w:tcW w:type="dxa" w:w="1134"/>
          </w:tcPr>
          <w:p>
            <w:r/>
            <w:r>
              <w:rPr>
                <w:b/>
                <w:sz w:val="20"/>
              </w:rPr>
              <w:t>VHM</w:t>
            </w:r>
          </w:p>
        </w:tc>
        <w:tc>
          <w:tcPr>
            <w:tcW w:type="dxa" w:w="1474"/>
          </w:tcPr>
          <w:p>
            <w:r/>
            <w:r>
              <w:rPr>
                <w:sz w:val="20"/>
              </w:rPr>
              <w:t>3/12</w:t>
            </w:r>
          </w:p>
        </w:tc>
        <w:tc>
          <w:tcPr>
            <w:tcW w:type="dxa" w:w="1361"/>
          </w:tcPr>
          <w:p>
            <w:r/>
            <w:r>
              <w:rPr>
                <w:sz w:val="20"/>
              </w:rPr>
              <w:t>0,18</w:t>
            </w:r>
          </w:p>
        </w:tc>
        <w:tc>
          <w:tcPr>
            <w:tcW w:type="dxa" w:w="4535"/>
          </w:tcPr>
          <w:p>
            <w:r/>
            <w:r>
              <w:rPr>
                <w:sz w:val="20"/>
              </w:rPr>
              <w:t>Giữ</w:t>
            </w:r>
          </w:p>
        </w:tc>
      </w:tr>
    </w:tbl>
    <w:p>
      <w:pPr>
        <w:pStyle w:val="Chuthichbang"/>
      </w:pPr>
      <w:r>
        <w:t>Bảng 6.4 — Áp bốn quy tắc thoát trên dữ liệu 25/08/2026. Quy tắc 4 (luận điểm doanh nghiệp) chưa rà soát tại thời điểm lập báo cáo.</w:t>
      </w:r>
    </w:p>
    <w:p>
      <w:pPr>
        <w:pStyle w:val="Heading1"/>
      </w:pPr>
      <w:r>
        <w:t>7. Hạn chế và rủi ro</w:t>
      </w:r>
    </w:p>
    <w:p>
      <w:pPr>
        <w:pStyle w:val="ListBullet"/>
      </w:pPr>
      <w:r>
        <w:t>Nền thống kê mỏng. 52 tháng quan sát cho thống kê t từ 0,04 đến 0,24. Không có kết luận nào trong báo cáo này đạt ý nghĩa thống kê, và phần vượt chỉ số nêu ở Bảng 5.2 phải được đọc là "không phân biệt được với không", không phải "nhỏ nhưng có thật".</w:t>
      </w:r>
    </w:p>
    <w:p>
      <w:pPr>
        <w:pStyle w:val="ListBullet"/>
      </w:pPr>
      <w:r>
        <w:t>Bốn pha lưới không phải bốn quan sát độc lập. Chúng dùng chung phần lớn dữ liệu; việc lấy trung bình bốn pha loại bỏ được sự may rủi của một lần rút thăm, nhưng không nhân bốn lượng thông tin.</w:t>
      </w:r>
    </w:p>
    <w:p>
      <w:pPr>
        <w:pStyle w:val="ListBullet"/>
      </w:pPr>
      <w:r>
        <w:t>Chuỗi nhân tố Fama–French Việt Nam chưa được Quỹ tự dựng xong. Phần bù kỳ vọng hiện là ước lượng từ quá khứ, đã thu hẹp một nửa về 0; hệ số tải suy từ đặc điểm doanh nghiệp chứ chưa hồi quy trên chuỗi nhân tố thật. Quy trình dựng ở Phụ lục A.</w:t>
      </w:r>
    </w:p>
    <w:p>
      <w:pPr>
        <w:pStyle w:val="ListBullet"/>
      </w:pPr>
      <w:r>
        <w:t>Thiên lệch người sống sót trong rổ kiểm định. Rổ 112 mã lấy theo danh sách niêm yết hiện tại, nên các doanh nghiệp đã huỷ niêm yết không có trong mẫu. Chiều của thiên lệch là làm kết quả đẹp hơn thực tế.</w:t>
      </w:r>
    </w:p>
    <w:p>
      <w:pPr>
        <w:pStyle w:val="ListBullet"/>
      </w:pPr>
      <w:r>
        <w:t>Bộ lọc xu hướng có chữ ký đã biết: thắng khi thị trường xấu, thua khi thị trường tăng mạnh. Đây là đánh đổi đã chấp nhận trước, không phải một phát hiện mới, và nó có nghĩa Quỹ sẽ đi chậm hơn chỉ số trong những đợt phục hồi rộng.</w:t>
      </w:r>
    </w:p>
    <w:p>
      <w:pPr>
        <w:pStyle w:val="ListBullet"/>
      </w:pPr>
      <w:r>
        <w:t>Quy tắc thứ năm chưa được kiểm định như phần còn lại của hệ thống, và hiện chưa chạy được vì thiếu hai trường dữ liệu: phân phối khoảng cách giá đến trung bình trung hạn trong hai năm, và chuỗi khối lượng. Đó là lý do nó bị giới hạn ở việc giảm nửa vị thế.</w:t>
      </w:r>
    </w:p>
    <w:p>
      <w:pPr>
        <w:pStyle w:val="ListBullet"/>
      </w:pPr>
      <w:r>
        <w:t>Lớp thẩm định ở Bước 3 chưa loại được mã nào tính đến ngày lập báo cáo, vì kết luận thẩm định chưa được nhập cho kỳ đầu tiên. Theo đúng quy định tự kiểm tra bắt buộc, điều này được ghi nhận như một cảnh báo: một lớp phủ quyết chưa từng phủ quyết thì chưa chứng minh được là nó tồn tại.</w:t>
      </w:r>
    </w:p>
    <w:p>
      <w:pPr>
        <w:pStyle w:val="Heading1"/>
      </w:pPr>
      <w:r>
        <w:t>8. Kết luận</w:t>
      </w:r>
    </w:p>
    <w:p>
      <w:r>
        <w:rPr>
          <w:b w:val="0"/>
          <w:i w:val="0"/>
        </w:rPr>
        <w:t>Quỹ vận hành một hệ thống kết hợp lớp giá trị và lớp đà tăng trưởng, đi từ dưới lên qua bốn cửa kiểm tra nối tiếp, nắm giữ theo kỳ hạn dài và chỉ bán theo bốn quy tắc định sẵn. Toàn bộ quy trình đã được viết ra trước khi biết kết quả, và bản chạy đã được đối chiếu từng dòng với bản viết.</w:t>
      </w:r>
    </w:p>
    <w:p>
      <w:r>
        <w:rPr>
          <w:b w:val="0"/>
          <w:i w:val="0"/>
        </w:rPr>
        <w:t>Về hiệu quả, kết luận trung thực là: trên 52 tháng, hệ thống cho 9,05%/năm so với 8,34% của VN-Index, với mức sụt giảm sâu hơn (−29,5%) và không có ý nghĩa thống kê ở bất kỳ pha lấy mẫu nào. Quỹ chưa chứng minh được năng lực tạo alpha. Điều Quỹ chứng minh được là một quy trình có kỷ luật, có thể tái lập, và tự phát hiện được lỗi của chính mình — bốn lỗi hiện thực ở Bảng 5.4 và bẫy pha lưới ở mục 5.2 đều do quy trình rà soát nội bộ tìm ra, không phải do thị trường chỉ ra bằng thua lỗ.</w:t>
      </w:r>
    </w:p>
    <w:p>
      <w:r>
        <w:rPr>
          <w:b w:val="0"/>
          <w:i w:val="0"/>
        </w:rPr>
        <w:t>Giá trị của một hệ thống có quy tắc nằm ở chỗ nó vẫn chạy như cũ đúng vào lúc người vận hành muốn làm khác đi. Trong kỳ này, hai lần hệ thống đã làm đúng việc đó: khi bảng độ nhạy mới gợi ý đổi số ô, và khi kết quả đo lại gợi ý bỏ một quy tắc thoát. Cả hai lần, tham số được giữ nguyên vì bằng chứng không đủ mạnh để đổi.</w:t>
      </w:r>
    </w:p>
    <w:p>
      <w:r>
        <w:br w:type="page"/>
      </w:r>
    </w:p>
    <w:p>
      <w:pPr>
        <w:pStyle w:val="Heading1"/>
      </w:pPr>
      <w:r>
        <w:t>Phụ lục A — Phương pháp dựng chuỗi nhân tố Fama–French Việt Nam</w:t>
      </w:r>
    </w:p>
    <w:p>
      <w:r>
        <w:rPr>
          <w:b w:val="0"/>
          <w:i w:val="0"/>
        </w:rPr>
        <w:t>Quy trình đã được viết thành mã chạy được tại xay_dung_factor_ff5_vn.py, giai đoạn 2010–2026, theo bản 2×3 của Fama &amp; French (2015).</w:t>
      </w:r>
    </w:p>
    <w:p>
      <w:pPr>
        <w:pStyle w:val="ListBullet"/>
      </w:pPr>
      <w:r>
        <w:t>Lợi suất tháng tính trên giá đã điều chỉnh cổ tức và chia tách. Lãi suất phi rủi ro quy về tháng bằng luỹ thừa bậc 1/12, không chia 12 — chia 12 sai khoảng 2% giá trị mỗi năm ở mặt bằng lãi suất Việt Nam.</w:t>
      </w:r>
    </w:p>
    <w:p>
      <w:pPr>
        <w:pStyle w:val="ListBullet"/>
      </w:pPr>
      <w:r>
        <w:t>SMB, HML, RMW, CMA dựng theo lưới 2×3: chia đôi theo vốn hoá, chia ba theo biến đặc trưng ở phân vị 30% và 70%, danh mục trong mỗi ô đánh trọng số theo vốn hoá.</w:t>
      </w:r>
    </w:p>
    <w:p>
      <w:pPr>
        <w:pStyle w:val="ListBullet"/>
      </w:pPr>
      <w:r>
        <w:t>Lợi nhuận hoạt động định nghĩa là doanh thu thuần trừ giá vốn, chi phí lãi vay và chi phí bán hàng &amp; quản lý.</w:t>
      </w:r>
    </w:p>
    <w:p>
      <w:pPr>
        <w:pStyle w:val="ListBullet"/>
      </w:pPr>
      <w:r>
        <w:t>Cảnh báo đã ghi ngay trong mã nguồn: lấy danh sách mã theo "đang niêm yết hôm nay" rồi chạy ngược về 2010 sẽ loại mọi doanh nghiệp đã huỷ niêm yết, thổi phồng có hệ thống phần bù nhân tố, nặng nhất ở SMB vì cổ phiếu nhỏ chết nhiều nhất. Làm đúng đòi hỏi dựng danh sách niêm yết theo từng năm.</w:t>
      </w:r>
    </w:p>
    <w:p>
      <w:pPr>
        <w:pStyle w:val="Heading1"/>
      </w:pPr>
      <w:r>
        <w:t>Phụ lục B — Mã nguồn và khả năng tái lập</w:t>
      </w:r>
    </w:p>
    <w:tbl>
      <w:tblPr>
        <w:tblStyle w:val="TableGrid"/>
        <w:tblW w:type="auto" w:w="0"/>
        <w:jc w:val="center"/>
        <w:tblLook w:firstColumn="1" w:firstRow="1" w:lastColumn="0" w:lastRow="0" w:noHBand="0" w:noVBand="1" w:val="04A0"/>
      </w:tblPr>
      <w:tblGrid>
        <w:gridCol w:w="4703"/>
        <w:gridCol w:w="4703"/>
      </w:tblGrid>
      <w:tr>
        <w:tc>
          <w:tcPr>
            <w:tcW w:type="dxa" w:w="3685"/>
            <w:shd w:fill="E8E8E8"/>
          </w:tcPr>
          <w:p>
            <w:r/>
            <w:r>
              <w:rPr>
                <w:b/>
                <w:sz w:val="20"/>
              </w:rPr>
              <w:t>Tệp</w:t>
            </w:r>
          </w:p>
        </w:tc>
        <w:tc>
          <w:tcPr>
            <w:tcW w:type="dxa" w:w="5102"/>
            <w:shd w:fill="E8E8E8"/>
          </w:tcPr>
          <w:p>
            <w:r/>
            <w:r>
              <w:rPr>
                <w:b/>
                <w:sz w:val="20"/>
              </w:rPr>
              <w:t>Chức năng</w:t>
            </w:r>
          </w:p>
        </w:tc>
      </w:tr>
      <w:tr>
        <w:tc>
          <w:tcPr>
            <w:tcW w:type="dxa" w:w="3685"/>
          </w:tcPr>
          <w:p>
            <w:r/>
            <w:r>
              <w:rPr>
                <w:b/>
                <w:sz w:val="20"/>
              </w:rPr>
              <w:t>lt_config.py</w:t>
            </w:r>
          </w:p>
        </w:tc>
        <w:tc>
          <w:tcPr>
            <w:tcW w:type="dxa" w:w="5102"/>
          </w:tcPr>
          <w:p>
            <w:r/>
            <w:r>
              <w:rPr>
                <w:sz w:val="20"/>
              </w:rPr>
              <w:t>Toàn bộ tham số: bộ lọc, trọng số xếp hạng, ngưỡng thoát, trần</w:t>
            </w:r>
          </w:p>
        </w:tc>
      </w:tr>
      <w:tr>
        <w:tc>
          <w:tcPr>
            <w:tcW w:type="dxa" w:w="3685"/>
          </w:tcPr>
          <w:p>
            <w:r/>
            <w:r>
              <w:rPr>
                <w:b/>
                <w:sz w:val="20"/>
              </w:rPr>
              <w:t>lt_scan_tradingview.js</w:t>
            </w:r>
          </w:p>
        </w:tc>
        <w:tc>
          <w:tcPr>
            <w:tcW w:type="dxa" w:w="5102"/>
          </w:tcPr>
          <w:p>
            <w:r/>
            <w:r>
              <w:rPr>
                <w:sz w:val="20"/>
              </w:rPr>
              <w:t>Quét giá từ TradingView, có cơ chế chặn bẫy dữ liệu cũ</w:t>
            </w:r>
          </w:p>
        </w:tc>
      </w:tr>
      <w:tr>
        <w:tc>
          <w:tcPr>
            <w:tcW w:type="dxa" w:w="3685"/>
          </w:tcPr>
          <w:p>
            <w:r/>
            <w:r>
              <w:rPr>
                <w:b/>
                <w:sz w:val="20"/>
              </w:rPr>
              <w:t>lt_screener.py</w:t>
            </w:r>
          </w:p>
        </w:tc>
        <w:tc>
          <w:tcPr>
            <w:tcW w:type="dxa" w:w="5102"/>
          </w:tcPr>
          <w:p>
            <w:r/>
            <w:r>
              <w:rPr>
                <w:sz w:val="20"/>
              </w:rPr>
              <w:t>Bước 1 và Bước 2: bộ lọc cứng và bảng xếp hạng</w:t>
            </w:r>
          </w:p>
        </w:tc>
      </w:tr>
      <w:tr>
        <w:tc>
          <w:tcPr>
            <w:tcW w:type="dxa" w:w="3685"/>
          </w:tcPr>
          <w:p>
            <w:r/>
            <w:r>
              <w:rPr>
                <w:b/>
                <w:sz w:val="20"/>
              </w:rPr>
              <w:t>data/tham_dinh.json</w:t>
            </w:r>
          </w:p>
        </w:tc>
        <w:tc>
          <w:tcPr>
            <w:tcW w:type="dxa" w:w="5102"/>
          </w:tcPr>
          <w:p>
            <w:r/>
            <w:r>
              <w:rPr>
                <w:sz w:val="20"/>
              </w:rPr>
              <w:t>Bước 3 và Bước 4: kết luận thẩm định do người nhập</w:t>
            </w:r>
          </w:p>
        </w:tc>
      </w:tr>
      <w:tr>
        <w:tc>
          <w:tcPr>
            <w:tcW w:type="dxa" w:w="3685"/>
          </w:tcPr>
          <w:p>
            <w:r/>
            <w:r>
              <w:rPr>
                <w:b/>
                <w:sz w:val="20"/>
              </w:rPr>
              <w:t>lt_allocator.py</w:t>
            </w:r>
          </w:p>
        </w:tc>
        <w:tc>
          <w:tcPr>
            <w:tcW w:type="dxa" w:w="5102"/>
          </w:tcPr>
          <w:p>
            <w:r/>
            <w:r>
              <w:rPr>
                <w:sz w:val="20"/>
              </w:rPr>
              <w:t>Phân bổ 1/biến động, áp trần, sinh lệnh theo bốn quy tắc thoát</w:t>
            </w:r>
          </w:p>
        </w:tc>
      </w:tr>
      <w:tr>
        <w:tc>
          <w:tcPr>
            <w:tcW w:type="dxa" w:w="3685"/>
          </w:tcPr>
          <w:p>
            <w:r/>
            <w:r>
              <w:rPr>
                <w:b/>
                <w:sz w:val="20"/>
              </w:rPr>
              <w:t>lt_backtest_scope.js</w:t>
            </w:r>
          </w:p>
        </w:tc>
        <w:tc>
          <w:tcPr>
            <w:tcW w:type="dxa" w:w="5102"/>
          </w:tcPr>
          <w:p>
            <w:r/>
            <w:r>
              <w:rPr>
                <w:sz w:val="20"/>
              </w:rPr>
              <w:t>Kiểm định 52 tháng, ba phạm vi xếp hạng × bốn pha lưới</w:t>
            </w:r>
          </w:p>
        </w:tc>
      </w:tr>
      <w:tr>
        <w:tc>
          <w:tcPr>
            <w:tcW w:type="dxa" w:w="3685"/>
          </w:tcPr>
          <w:p>
            <w:r/>
            <w:r>
              <w:rPr>
                <w:b/>
                <w:sz w:val="20"/>
              </w:rPr>
              <w:t>xay_dung_factor_ff5_vn.py</w:t>
            </w:r>
          </w:p>
        </w:tc>
        <w:tc>
          <w:tcPr>
            <w:tcW w:type="dxa" w:w="5102"/>
          </w:tcPr>
          <w:p>
            <w:r/>
            <w:r>
              <w:rPr>
                <w:sz w:val="20"/>
              </w:rPr>
              <w:t>Dựng chuỗi nhân tố Fama–French Việt Nam</w:t>
            </w:r>
          </w:p>
        </w:tc>
      </w:tr>
      <w:tr>
        <w:tc>
          <w:tcPr>
            <w:tcW w:type="dxa" w:w="3685"/>
          </w:tcPr>
          <w:p>
            <w:r/>
            <w:r>
              <w:rPr>
                <w:b/>
                <w:sz w:val="20"/>
              </w:rPr>
              <w:t>data/backtest_pha_luoi_20260826.json</w:t>
            </w:r>
          </w:p>
        </w:tc>
        <w:tc>
          <w:tcPr>
            <w:tcW w:type="dxa" w:w="5102"/>
          </w:tcPr>
          <w:p>
            <w:r/>
            <w:r>
              <w:rPr>
                <w:sz w:val="20"/>
              </w:rPr>
              <w:t>Toàn bộ số thô của Bảng 5.2 và 5.3</w:t>
            </w:r>
          </w:p>
        </w:tc>
      </w:tr>
      <w:tr>
        <w:tc>
          <w:tcPr>
            <w:tcW w:type="dxa" w:w="3685"/>
          </w:tcPr>
          <w:p>
            <w:r/>
            <w:r>
              <w:rPr>
                <w:b/>
                <w:sz w:val="20"/>
              </w:rPr>
              <w:t>CHIEN_LUOC_DAI_HAN.md</w:t>
            </w:r>
          </w:p>
        </w:tc>
        <w:tc>
          <w:tcPr>
            <w:tcW w:type="dxa" w:w="5102"/>
          </w:tcPr>
          <w:p>
            <w:r/>
            <w:r>
              <w:rPr>
                <w:sz w:val="20"/>
              </w:rPr>
              <w:t>Nhật ký thay đổi quy trình, kèm lý do từng lần đổi</w:t>
            </w:r>
          </w:p>
        </w:tc>
      </w:tr>
    </w:tbl>
    <w:p>
      <w:pPr>
        <w:pStyle w:val="Chuthichbang"/>
      </w:pPr>
      <w:r>
        <w:t>Bảng B1 — Danh mục mã nguồn.</w:t>
      </w:r>
    </w:p>
    <w:p>
      <w:r>
        <w:rPr>
          <w:b w:val="0"/>
          <w:i w:val="0"/>
        </w:rPr>
        <w:t>Tệp lt_backtest_tradingview.js được giữ lại nhưng không dùng: nó xếp hạng trên toàn rổ thay vì rổ đã qua lọc, và chỉ chạy một pha lưới. Mọi con số trong báo cáo này sinh từ lt_backtest_scope.js.</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uthichbang">
    <w:name w:val="Chu thich bang"/>
    <w:basedOn w:val="Normal"/>
    <w:pPr>
      <w:spacing w:before="40" w:after="200"/>
    </w:pPr>
    <w:rPr>
      <w:i/>
      <w:sz w:val="20"/>
    </w:rPr>
  </w:style>
  <w:style w:type="paragraph" w:customStyle="1" w:styleId="Hopluuy">
    <w:name w:val="Hop luu y"/>
    <w:basedOn w:val="Normal"/>
    <w:pPr>
      <w:ind w:left="340"/>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