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Kéo người đọc về website và giữ họ đọc hết bài.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Chuyển đổi không mất dữ liệu</w:t>
      </w:r>
    </w:p>
    <w:p>
      <w:pPr>
        <w:pStyle w:val="Heading2"/>
      </w:pPr>
      <w:r>
        <w:t>4. Định dạng</w:t>
      </w:r>
    </w:p>
    <w:p>
      <w:r>
        <w:t>Bài hướng dẫn có ảnh — đăng trên Website ngày 17/09/2026.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rPr>
          <w:b/>
        </w:rP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Hai, 14/09/2026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