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Tăng nhận biết thương hiệu qua bằng chứng người thật việc thật.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Hợp với cả sản xuất nhỏ</w:t>
      </w:r>
    </w:p>
    <w:p>
      <w:pPr>
        <w:pStyle w:val="Heading2"/>
      </w:pPr>
      <w:r>
        <w:t>4. Định dạng</w:t>
      </w:r>
    </w:p>
    <w:p>
      <w:r>
        <w:t>Ảnh + caption dài — đăng trên Facebook ngày 19/09/2026.</w:t>
      </w:r>
    </w:p>
    <w:p>
      <w:pPr>
        <w:pStyle w:val="Heading2"/>
      </w:pPr>
      <w:r>
        <w:t>5. Kích thước</w:t>
      </w:r>
    </w:p>
    <w:p>
      <w:r>
        <w:rPr>
          <w:b/>
        </w:rP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Tư, 16/09/2026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