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Kéo người đọc về website và giữ họ đọc hết bài.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Nhận ra vấn đề trước khi mất tiền</w:t>
      </w:r>
    </w:p>
    <w:p>
      <w:pPr>
        <w:pStyle w:val="Heading2"/>
      </w:pPr>
      <w:r>
        <w:t>4. Định dạng</w:t>
      </w:r>
    </w:p>
    <w:p>
      <w:r>
        <w:t>Bài blog 1200 chữ — đăng trên Website ngày 02/09/2026.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rPr>
          <w:b/>
        </w:rP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Sáu, 28/08/2026 (lùi từ Chủ nhật 30/08 về thứ Sáu)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