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Xây uy tín chuyên môn với người làm quản lý và vận hành.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Chủ cửa hàng nên nghĩ như người vận hành</w:t>
      </w:r>
    </w:p>
    <w:p>
      <w:pPr>
        <w:pStyle w:val="Heading2"/>
      </w:pPr>
      <w:r>
        <w:t>4. Định dạng</w:t>
      </w:r>
    </w:p>
    <w:p>
      <w:r>
        <w:t>Bài viết dài — đăng trên LinkedIn ngày 10/09/2026.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rPr>
          <w:b/>
        </w:rPr>
        <w:t>LinkedIn: 1200 x 627 px</w:t>
      </w:r>
    </w:p>
    <w:p>
      <w:pPr>
        <w:pStyle w:val="Heading2"/>
      </w:pPr>
      <w:r>
        <w:t>6. Hạn nộp</w:t>
      </w:r>
    </w:p>
    <w:p>
      <w:r>
        <w:t>Thứ Hai, 07/09/2026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