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Kéo người đọc về website và giữ họ đọc hết bài.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Thứ bạn đang mất mà không thấy</w:t>
      </w:r>
    </w:p>
    <w:p>
      <w:pPr>
        <w:pStyle w:val="Heading2"/>
      </w:pPr>
      <w:r>
        <w:t>4. Định dạng</w:t>
      </w:r>
    </w:p>
    <w:p>
      <w:r>
        <w:t>Bài blog 1000 chữ — đăng trên Website ngày 26/09/2026.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rPr>
          <w:b/>
        </w:rP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Tư, 23/09/2026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