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Xây uy tín chuyên môn với người làm quản lý và vận hành.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Nhìn số để quyết, không đoán</w:t>
      </w:r>
    </w:p>
    <w:p>
      <w:pPr>
        <w:pStyle w:val="Heading2"/>
      </w:pPr>
      <w:r>
        <w:t>4. Định dạng</w:t>
      </w:r>
    </w:p>
    <w:p>
      <w:r>
        <w:t>Bài viết + biểu đồ — đăng trên LinkedIn ngày 30/09/2026.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rPr>
          <w:b/>
        </w:rPr>
        <w:t>LinkedIn: 1200 x 627 px</w:t>
      </w:r>
    </w:p>
    <w:p>
      <w:pPr>
        <w:pStyle w:val="Heading2"/>
      </w:pPr>
      <w:r>
        <w:t>6. Hạn nộp</w:t>
      </w:r>
    </w:p>
    <w:p>
      <w:r>
        <w:t>Thứ Sáu, 25/09/2026 (lùi từ Chủ nhật 27/09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