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F0FDC" w14:textId="77777777" w:rsidR="006F7456" w:rsidRPr="006F7456" w:rsidRDefault="006F7456" w:rsidP="006F7456">
      <w:pPr>
        <w:rPr>
          <w:lang w:val="el-GR"/>
        </w:rPr>
      </w:pPr>
      <w:bookmarkStart w:id="0" w:name="_GoBack"/>
      <w:bookmarkEnd w:id="0"/>
      <w:r w:rsidRPr="006F7456">
        <w:rPr>
          <w:lang w:val="el-GR"/>
        </w:rPr>
        <w:t>Παρακάτω παρατίθενται σημαντικές υποθέσεις που εξετάστηκαν από την Ελληνική Επιτροπή Ανταγωνισμού (ΕΑ) μεταξύ 1996 και 2019, στις οποίες διαπιστώθηκαν παραβάσεις του δικαίου ανταγωνισμού λόγω επιβολής μη εύλογων τιμών ή κατάχρησης δεσπόζουσας θέσης, και επιβλήθηκαν πρόστιμα:</w:t>
      </w:r>
      <w:r w:rsidRPr="006F7456">
        <w:rPr>
          <w:rFonts w:ascii="Arial" w:hAnsi="Arial" w:cs="Arial"/>
          <w:lang w:val="el-GR"/>
        </w:rPr>
        <w:t>​</w:t>
      </w:r>
    </w:p>
    <w:p w14:paraId="7D004668" w14:textId="77777777" w:rsidR="006F7456" w:rsidRPr="006F7456" w:rsidRDefault="00505ECD" w:rsidP="006F7456">
      <w:r>
        <w:pict w14:anchorId="5143F0E4">
          <v:rect id="_x0000_i1025" style="width:0;height:1.5pt" o:hralign="center" o:hrstd="t" o:hr="t" fillcolor="#a0a0a0" stroked="f"/>
        </w:pict>
      </w:r>
    </w:p>
    <w:p w14:paraId="0E99FBAB" w14:textId="77777777" w:rsidR="006F7456" w:rsidRPr="006F7456" w:rsidRDefault="006F7456" w:rsidP="006F7456">
      <w:pPr>
        <w:rPr>
          <w:b/>
          <w:bCs/>
          <w:lang w:val="el-GR"/>
        </w:rPr>
      </w:pPr>
      <w:r w:rsidRPr="006F7456">
        <w:rPr>
          <w:b/>
          <w:bCs/>
          <w:lang w:val="el-GR"/>
        </w:rPr>
        <w:t>1. Αθηναϊκή Ζυθοποιία (</w:t>
      </w:r>
      <w:r w:rsidRPr="006F7456">
        <w:rPr>
          <w:b/>
          <w:bCs/>
        </w:rPr>
        <w:t>Heineken</w:t>
      </w:r>
      <w:r w:rsidRPr="006F7456">
        <w:rPr>
          <w:b/>
          <w:bCs/>
          <w:lang w:val="el-GR"/>
        </w:rPr>
        <w:t>) – Κατάχρηση Δεσπόζουσας Θέσης στην Αγορά Μπύρας</w:t>
      </w:r>
    </w:p>
    <w:p w14:paraId="44589A93" w14:textId="77777777" w:rsidR="006F7456" w:rsidRPr="006F7456" w:rsidRDefault="006F7456" w:rsidP="006F7456">
      <w:pPr>
        <w:numPr>
          <w:ilvl w:val="0"/>
          <w:numId w:val="1"/>
        </w:numPr>
      </w:pPr>
      <w:proofErr w:type="spellStart"/>
      <w:r w:rsidRPr="006F7456">
        <w:rPr>
          <w:b/>
          <w:bCs/>
        </w:rPr>
        <w:t>Περίοδος</w:t>
      </w:r>
      <w:proofErr w:type="spellEnd"/>
      <w:r w:rsidRPr="006F7456">
        <w:t>: 1998–2014</w:t>
      </w:r>
    </w:p>
    <w:p w14:paraId="162ECFDF" w14:textId="77777777" w:rsidR="006F7456" w:rsidRPr="006F7456" w:rsidRDefault="006F7456" w:rsidP="006F7456">
      <w:pPr>
        <w:numPr>
          <w:ilvl w:val="0"/>
          <w:numId w:val="1"/>
        </w:numPr>
        <w:rPr>
          <w:lang w:val="el-GR"/>
        </w:rPr>
      </w:pPr>
      <w:r w:rsidRPr="006F7456">
        <w:rPr>
          <w:b/>
          <w:bCs/>
          <w:lang w:val="el-GR"/>
        </w:rPr>
        <w:t>Παράβαση</w:t>
      </w:r>
      <w:r w:rsidRPr="006F7456">
        <w:rPr>
          <w:lang w:val="el-GR"/>
        </w:rPr>
        <w:t xml:space="preserve">: Η Αθηναϊκή Ζυθοποιία, θυγατρική της </w:t>
      </w:r>
      <w:r w:rsidRPr="006F7456">
        <w:t>Heineken</w:t>
      </w:r>
      <w:r w:rsidRPr="006F7456">
        <w:rPr>
          <w:lang w:val="el-GR"/>
        </w:rPr>
        <w:t>, καταχράστηκε τη δεσπόζουσα θέση της στην ελληνική αγορά μπύρας, εφαρμόζοντας πρακτικές αποκλεισμού ανταγωνιστών από σημεία πώλησης όπως μπαρ, εστιατόρια και ξενοδοχεία.</w:t>
      </w:r>
    </w:p>
    <w:p w14:paraId="1CE96904" w14:textId="77777777" w:rsidR="006F7456" w:rsidRPr="006F7456" w:rsidRDefault="006F7456" w:rsidP="006F7456">
      <w:pPr>
        <w:numPr>
          <w:ilvl w:val="0"/>
          <w:numId w:val="1"/>
        </w:numPr>
        <w:rPr>
          <w:lang w:val="el-GR"/>
        </w:rPr>
      </w:pPr>
      <w:r w:rsidRPr="006F7456">
        <w:rPr>
          <w:b/>
          <w:bCs/>
          <w:lang w:val="el-GR"/>
        </w:rPr>
        <w:t>Πρόστιμο</w:t>
      </w:r>
      <w:r w:rsidRPr="006F7456">
        <w:rPr>
          <w:lang w:val="el-GR"/>
        </w:rPr>
        <w:t>: €31,5 εκατ., μειωμένο σε €26,7 εκατ. μετά από προσφυγή.</w:t>
      </w:r>
    </w:p>
    <w:p w14:paraId="416E9179" w14:textId="77777777" w:rsidR="006F7456" w:rsidRPr="006F7456" w:rsidRDefault="006F7456" w:rsidP="006F7456">
      <w:pPr>
        <w:numPr>
          <w:ilvl w:val="0"/>
          <w:numId w:val="1"/>
        </w:numPr>
      </w:pPr>
      <w:r w:rsidRPr="006F7456">
        <w:rPr>
          <w:b/>
          <w:bCs/>
          <w:lang w:val="el-GR"/>
        </w:rPr>
        <w:t>Εξέλιξη</w:t>
      </w:r>
      <w:r w:rsidRPr="006F7456">
        <w:rPr>
          <w:lang w:val="el-GR"/>
        </w:rPr>
        <w:t xml:space="preserve">: Το 2024, ολλανδικό δικαστήριο έκρινε τη </w:t>
      </w:r>
      <w:r w:rsidRPr="006F7456">
        <w:t>Heineken</w:t>
      </w:r>
      <w:r w:rsidRPr="006F7456">
        <w:rPr>
          <w:lang w:val="el-GR"/>
        </w:rPr>
        <w:t xml:space="preserve"> συνυπεύθυνη για τις παραβάσεις, αναγνωρίζοντας τον έλεγχό της επί της Αθηναϊκής Ζυθοποιίας. </w:t>
      </w:r>
      <w:r w:rsidRPr="006F7456">
        <w:rPr>
          <w:rFonts w:ascii="Arial" w:hAnsi="Arial" w:cs="Arial"/>
          <w:lang w:val="el-GR"/>
        </w:rPr>
        <w:t>​</w:t>
      </w:r>
      <w:hyperlink r:id="rId5" w:tgtFrame="_blank" w:history="1">
        <w:r w:rsidRPr="006F7456">
          <w:rPr>
            <w:rStyle w:val="-"/>
          </w:rPr>
          <w:t>Financial Times</w:t>
        </w:r>
      </w:hyperlink>
    </w:p>
    <w:p w14:paraId="49CFB2B0" w14:textId="77777777" w:rsidR="006F7456" w:rsidRPr="006F7456" w:rsidRDefault="00505ECD" w:rsidP="006F7456">
      <w:r>
        <w:pict w14:anchorId="367D3BB6">
          <v:rect id="_x0000_i1026" style="width:0;height:1.5pt" o:hralign="center" o:hrstd="t" o:hr="t" fillcolor="#a0a0a0" stroked="f"/>
        </w:pict>
      </w:r>
    </w:p>
    <w:p w14:paraId="4006DAB6" w14:textId="77777777" w:rsidR="006F7456" w:rsidRPr="006F7456" w:rsidRDefault="006F7456" w:rsidP="006F7456">
      <w:pPr>
        <w:rPr>
          <w:b/>
          <w:bCs/>
          <w:lang w:val="el-GR"/>
        </w:rPr>
      </w:pPr>
      <w:r w:rsidRPr="006F7456">
        <w:rPr>
          <w:b/>
          <w:bCs/>
          <w:lang w:val="el-GR"/>
        </w:rPr>
        <w:t xml:space="preserve">2. </w:t>
      </w:r>
      <w:r w:rsidRPr="006F7456">
        <w:rPr>
          <w:b/>
          <w:bCs/>
        </w:rPr>
        <w:t>Tasty</w:t>
      </w:r>
      <w:r w:rsidRPr="006F7456">
        <w:rPr>
          <w:b/>
          <w:bCs/>
          <w:lang w:val="el-GR"/>
        </w:rPr>
        <w:t xml:space="preserve"> </w:t>
      </w:r>
      <w:r w:rsidRPr="006F7456">
        <w:rPr>
          <w:b/>
          <w:bCs/>
        </w:rPr>
        <w:t>Foods</w:t>
      </w:r>
      <w:r w:rsidRPr="006F7456">
        <w:rPr>
          <w:b/>
          <w:bCs/>
          <w:lang w:val="el-GR"/>
        </w:rPr>
        <w:t xml:space="preserve"> (</w:t>
      </w:r>
      <w:r w:rsidRPr="006F7456">
        <w:rPr>
          <w:b/>
          <w:bCs/>
        </w:rPr>
        <w:t>PepsiCo</w:t>
      </w:r>
      <w:r w:rsidRPr="006F7456">
        <w:rPr>
          <w:b/>
          <w:bCs/>
          <w:lang w:val="el-GR"/>
        </w:rPr>
        <w:t>) – Κατάχρηση Δεσπόζουσας Θέσης στην Αγορά Αλμυρών Σνακ</w:t>
      </w:r>
    </w:p>
    <w:p w14:paraId="62014A9D" w14:textId="77777777" w:rsidR="006F7456" w:rsidRPr="006F7456" w:rsidRDefault="006F7456" w:rsidP="006F7456">
      <w:pPr>
        <w:numPr>
          <w:ilvl w:val="0"/>
          <w:numId w:val="2"/>
        </w:numPr>
      </w:pPr>
      <w:proofErr w:type="spellStart"/>
      <w:r w:rsidRPr="006F7456">
        <w:rPr>
          <w:b/>
          <w:bCs/>
        </w:rPr>
        <w:t>Περίοδος</w:t>
      </w:r>
      <w:proofErr w:type="spellEnd"/>
      <w:r w:rsidRPr="006F7456">
        <w:t>: 2000–2008</w:t>
      </w:r>
    </w:p>
    <w:p w14:paraId="66984259" w14:textId="77777777" w:rsidR="006F7456" w:rsidRPr="006F7456" w:rsidRDefault="006F7456" w:rsidP="006F7456">
      <w:pPr>
        <w:numPr>
          <w:ilvl w:val="0"/>
          <w:numId w:val="2"/>
        </w:numPr>
        <w:rPr>
          <w:lang w:val="el-GR"/>
        </w:rPr>
      </w:pPr>
      <w:r w:rsidRPr="006F7456">
        <w:rPr>
          <w:b/>
          <w:bCs/>
          <w:lang w:val="el-GR"/>
        </w:rPr>
        <w:t>Παράβαση</w:t>
      </w:r>
      <w:r w:rsidRPr="006F7456">
        <w:rPr>
          <w:lang w:val="el-GR"/>
        </w:rPr>
        <w:t xml:space="preserve">: Η </w:t>
      </w:r>
      <w:r w:rsidRPr="006F7456">
        <w:t>Tasty</w:t>
      </w:r>
      <w:r w:rsidRPr="006F7456">
        <w:rPr>
          <w:lang w:val="el-GR"/>
        </w:rPr>
        <w:t xml:space="preserve"> </w:t>
      </w:r>
      <w:r w:rsidRPr="006F7456">
        <w:t>Foods</w:t>
      </w:r>
      <w:r w:rsidRPr="006F7456">
        <w:rPr>
          <w:lang w:val="el-GR"/>
        </w:rPr>
        <w:t xml:space="preserve">, θυγατρική της </w:t>
      </w:r>
      <w:r w:rsidRPr="006F7456">
        <w:t>PepsiCo</w:t>
      </w:r>
      <w:r w:rsidRPr="006F7456">
        <w:rPr>
          <w:lang w:val="el-GR"/>
        </w:rPr>
        <w:t xml:space="preserve">, καταχράστηκε τη δεσπόζουσα θέση της, επιβάλλοντας αποκλειστικές συμφωνίες με μικρά καταστήματα λιανικής (π.χ. περίπτερα, μίνι </w:t>
      </w:r>
      <w:proofErr w:type="spellStart"/>
      <w:r w:rsidRPr="006F7456">
        <w:rPr>
          <w:lang w:val="el-GR"/>
        </w:rPr>
        <w:t>μάρκετ</w:t>
      </w:r>
      <w:proofErr w:type="spellEnd"/>
      <w:r w:rsidRPr="006F7456">
        <w:rPr>
          <w:lang w:val="el-GR"/>
        </w:rPr>
        <w:t>), περιορίζοντας την πρόσβαση ανταγωνιστών στην αγορά.</w:t>
      </w:r>
    </w:p>
    <w:p w14:paraId="7A363DF3" w14:textId="77777777" w:rsidR="006F7456" w:rsidRPr="006F7456" w:rsidRDefault="006F7456" w:rsidP="006F7456">
      <w:pPr>
        <w:numPr>
          <w:ilvl w:val="0"/>
          <w:numId w:val="2"/>
        </w:numPr>
      </w:pPr>
      <w:proofErr w:type="spellStart"/>
      <w:r w:rsidRPr="006F7456">
        <w:rPr>
          <w:b/>
          <w:bCs/>
        </w:rPr>
        <w:t>Πρόστιμο</w:t>
      </w:r>
      <w:proofErr w:type="spellEnd"/>
      <w:r w:rsidRPr="006F7456">
        <w:t xml:space="preserve">: €16,2 </w:t>
      </w:r>
      <w:proofErr w:type="spellStart"/>
      <w:r w:rsidRPr="006F7456">
        <w:t>εκ</w:t>
      </w:r>
      <w:proofErr w:type="spellEnd"/>
      <w:r w:rsidRPr="006F7456">
        <w:t>ατ.</w:t>
      </w:r>
    </w:p>
    <w:p w14:paraId="0DF38985" w14:textId="77777777" w:rsidR="006F7456" w:rsidRPr="006F7456" w:rsidRDefault="006F7456" w:rsidP="006F7456">
      <w:pPr>
        <w:numPr>
          <w:ilvl w:val="0"/>
          <w:numId w:val="2"/>
        </w:numPr>
      </w:pPr>
      <w:r w:rsidRPr="006F7456">
        <w:rPr>
          <w:b/>
          <w:bCs/>
          <w:lang w:val="el-GR"/>
        </w:rPr>
        <w:t>Νομική Βάση</w:t>
      </w:r>
      <w:r w:rsidRPr="006F7456">
        <w:rPr>
          <w:lang w:val="el-GR"/>
        </w:rPr>
        <w:t xml:space="preserve">: Παραβίαση των Άρθρων 1 και 2 του Ν. 703/77 και των Άρθρων 101 και 102 ΣΛΕΕ. </w:t>
      </w:r>
      <w:r w:rsidRPr="006F7456">
        <w:rPr>
          <w:rFonts w:ascii="Arial" w:hAnsi="Arial" w:cs="Arial"/>
          <w:lang w:val="el-GR"/>
        </w:rPr>
        <w:t>​</w:t>
      </w:r>
      <w:hyperlink r:id="rId6" w:tgtFrame="_blank" w:history="1">
        <w:r w:rsidRPr="006F7456">
          <w:rPr>
            <w:rStyle w:val="-"/>
          </w:rPr>
          <w:t>PYMNTS.com</w:t>
        </w:r>
      </w:hyperlink>
    </w:p>
    <w:p w14:paraId="52EF58B4" w14:textId="77777777" w:rsidR="006F7456" w:rsidRPr="006F7456" w:rsidRDefault="00505ECD" w:rsidP="006F7456">
      <w:r>
        <w:pict w14:anchorId="7D6889A2">
          <v:rect id="_x0000_i1027" style="width:0;height:1.5pt" o:hralign="center" o:hrstd="t" o:hr="t" fillcolor="#a0a0a0" stroked="f"/>
        </w:pict>
      </w:r>
    </w:p>
    <w:p w14:paraId="432AE3BB" w14:textId="77777777" w:rsidR="006F7456" w:rsidRPr="006F7456" w:rsidRDefault="006F7456" w:rsidP="006F7456">
      <w:pPr>
        <w:rPr>
          <w:b/>
          <w:bCs/>
          <w:lang w:val="el-GR"/>
        </w:rPr>
      </w:pPr>
      <w:r w:rsidRPr="006F7456">
        <w:rPr>
          <w:b/>
          <w:bCs/>
          <w:lang w:val="el-GR"/>
        </w:rPr>
        <w:t xml:space="preserve">3. </w:t>
      </w:r>
      <w:r w:rsidRPr="006F7456">
        <w:rPr>
          <w:b/>
          <w:bCs/>
        </w:rPr>
        <w:t>Carrefour</w:t>
      </w:r>
      <w:r w:rsidRPr="006F7456">
        <w:rPr>
          <w:b/>
          <w:bCs/>
          <w:lang w:val="el-GR"/>
        </w:rPr>
        <w:t xml:space="preserve"> </w:t>
      </w:r>
      <w:r w:rsidRPr="006F7456">
        <w:rPr>
          <w:b/>
          <w:bCs/>
        </w:rPr>
        <w:t>Marinopoulos</w:t>
      </w:r>
      <w:r w:rsidRPr="006F7456">
        <w:rPr>
          <w:b/>
          <w:bCs/>
          <w:lang w:val="el-GR"/>
        </w:rPr>
        <w:t xml:space="preserve"> – Επιβολή Τιμών και Περιορισμοί στο Δίκτυο </w:t>
      </w:r>
      <w:r w:rsidRPr="006F7456">
        <w:rPr>
          <w:b/>
          <w:bCs/>
        </w:rPr>
        <w:t>Franchise</w:t>
      </w:r>
    </w:p>
    <w:p w14:paraId="5F6F5DD0" w14:textId="77777777" w:rsidR="006F7456" w:rsidRPr="006F7456" w:rsidRDefault="006F7456" w:rsidP="006F7456">
      <w:pPr>
        <w:numPr>
          <w:ilvl w:val="0"/>
          <w:numId w:val="3"/>
        </w:numPr>
      </w:pPr>
      <w:proofErr w:type="spellStart"/>
      <w:r w:rsidRPr="006F7456">
        <w:rPr>
          <w:b/>
          <w:bCs/>
        </w:rPr>
        <w:t>Περίοδος</w:t>
      </w:r>
      <w:proofErr w:type="spellEnd"/>
      <w:r w:rsidRPr="006F7456">
        <w:t xml:space="preserve">: </w:t>
      </w:r>
      <w:proofErr w:type="spellStart"/>
      <w:r w:rsidRPr="006F7456">
        <w:t>Έως</w:t>
      </w:r>
      <w:proofErr w:type="spellEnd"/>
      <w:r w:rsidRPr="006F7456">
        <w:t xml:space="preserve"> </w:t>
      </w:r>
      <w:proofErr w:type="spellStart"/>
      <w:r w:rsidRPr="006F7456">
        <w:t>το</w:t>
      </w:r>
      <w:proofErr w:type="spellEnd"/>
      <w:r w:rsidRPr="006F7456">
        <w:t xml:space="preserve"> 2010</w:t>
      </w:r>
    </w:p>
    <w:p w14:paraId="4E6EEF72" w14:textId="77777777" w:rsidR="006F7456" w:rsidRPr="006F7456" w:rsidRDefault="006F7456" w:rsidP="006F7456">
      <w:pPr>
        <w:numPr>
          <w:ilvl w:val="0"/>
          <w:numId w:val="3"/>
        </w:numPr>
        <w:rPr>
          <w:lang w:val="el-GR"/>
        </w:rPr>
      </w:pPr>
      <w:r w:rsidRPr="006F7456">
        <w:rPr>
          <w:b/>
          <w:bCs/>
          <w:lang w:val="el-GR"/>
        </w:rPr>
        <w:t>Παράβαση</w:t>
      </w:r>
      <w:r w:rsidRPr="006F7456">
        <w:rPr>
          <w:lang w:val="el-GR"/>
        </w:rPr>
        <w:t xml:space="preserve">: Η </w:t>
      </w:r>
      <w:r w:rsidRPr="006F7456">
        <w:t>Carrefour</w:t>
      </w:r>
      <w:r w:rsidRPr="006F7456">
        <w:rPr>
          <w:lang w:val="el-GR"/>
        </w:rPr>
        <w:t xml:space="preserve"> </w:t>
      </w:r>
      <w:r w:rsidRPr="006F7456">
        <w:t>Marinopoulos</w:t>
      </w:r>
      <w:r w:rsidRPr="006F7456">
        <w:rPr>
          <w:lang w:val="el-GR"/>
        </w:rPr>
        <w:t xml:space="preserve"> επέβαλε πολιτικές καθορισμού τιμών μεταπώλησης και περιόρισε τις διασταυρούμενες προμήθειες μεταξύ μελών του δικτύου </w:t>
      </w:r>
      <w:r w:rsidRPr="006F7456">
        <w:t>franchise</w:t>
      </w:r>
      <w:r w:rsidRPr="006F7456">
        <w:rPr>
          <w:lang w:val="el-GR"/>
        </w:rPr>
        <w:t>, παραβιάζοντας το δίκαιο ανταγωνισμού.</w:t>
      </w:r>
    </w:p>
    <w:p w14:paraId="10E4BE0F" w14:textId="77777777" w:rsidR="006F7456" w:rsidRPr="006F7456" w:rsidRDefault="006F7456" w:rsidP="006F7456">
      <w:pPr>
        <w:numPr>
          <w:ilvl w:val="0"/>
          <w:numId w:val="3"/>
        </w:numPr>
      </w:pPr>
      <w:proofErr w:type="spellStart"/>
      <w:r w:rsidRPr="006F7456">
        <w:rPr>
          <w:b/>
          <w:bCs/>
        </w:rPr>
        <w:t>Πρόστιμο</w:t>
      </w:r>
      <w:proofErr w:type="spellEnd"/>
      <w:r w:rsidRPr="006F7456">
        <w:t xml:space="preserve">: €12,5 </w:t>
      </w:r>
      <w:proofErr w:type="spellStart"/>
      <w:r w:rsidRPr="006F7456">
        <w:t>εκ</w:t>
      </w:r>
      <w:proofErr w:type="spellEnd"/>
      <w:r w:rsidRPr="006F7456">
        <w:t>ατ.</w:t>
      </w:r>
    </w:p>
    <w:p w14:paraId="325C1087" w14:textId="77777777" w:rsidR="006F7456" w:rsidRPr="006F7456" w:rsidRDefault="006F7456" w:rsidP="006F7456">
      <w:pPr>
        <w:numPr>
          <w:ilvl w:val="0"/>
          <w:numId w:val="3"/>
        </w:numPr>
      </w:pPr>
      <w:r w:rsidRPr="006F7456">
        <w:rPr>
          <w:b/>
          <w:bCs/>
          <w:lang w:val="el-GR"/>
        </w:rPr>
        <w:lastRenderedPageBreak/>
        <w:t>Νομική Βάση</w:t>
      </w:r>
      <w:r w:rsidRPr="006F7456">
        <w:rPr>
          <w:lang w:val="el-GR"/>
        </w:rPr>
        <w:t xml:space="preserve">: Παραβίαση των Άρθρων 1 και 2α του Ν. 703/77 και του Άρθρου 101 ΣΛΕΕ. </w:t>
      </w:r>
      <w:r w:rsidRPr="006F7456">
        <w:rPr>
          <w:rFonts w:ascii="Arial" w:hAnsi="Arial" w:cs="Arial"/>
          <w:lang w:val="el-GR"/>
        </w:rPr>
        <w:t>​</w:t>
      </w:r>
      <w:hyperlink r:id="rId7" w:tgtFrame="_blank" w:history="1">
        <w:r w:rsidRPr="006F7456">
          <w:rPr>
            <w:rStyle w:val="-"/>
          </w:rPr>
          <w:t>Concurrences</w:t>
        </w:r>
      </w:hyperlink>
    </w:p>
    <w:p w14:paraId="10F2E509" w14:textId="77777777" w:rsidR="006F7456" w:rsidRPr="006F7456" w:rsidRDefault="00505ECD" w:rsidP="006F7456">
      <w:r>
        <w:pict w14:anchorId="2E7507DC">
          <v:rect id="_x0000_i1028" style="width:0;height:1.5pt" o:hralign="center" o:hrstd="t" o:hr="t" fillcolor="#a0a0a0" stroked="f"/>
        </w:pict>
      </w:r>
    </w:p>
    <w:p w14:paraId="51494384" w14:textId="77777777" w:rsidR="006F7456" w:rsidRPr="006F7456" w:rsidRDefault="006F7456" w:rsidP="006F7456">
      <w:pPr>
        <w:rPr>
          <w:b/>
          <w:bCs/>
          <w:lang w:val="el-GR"/>
        </w:rPr>
      </w:pPr>
      <w:r w:rsidRPr="006F7456">
        <w:rPr>
          <w:b/>
          <w:bCs/>
          <w:lang w:val="el-GR"/>
        </w:rPr>
        <w:t xml:space="preserve">4. Σούπερ </w:t>
      </w:r>
      <w:proofErr w:type="spellStart"/>
      <w:r w:rsidRPr="006F7456">
        <w:rPr>
          <w:b/>
          <w:bCs/>
          <w:lang w:val="el-GR"/>
        </w:rPr>
        <w:t>Μάρκετ</w:t>
      </w:r>
      <w:proofErr w:type="spellEnd"/>
      <w:r w:rsidRPr="006F7456">
        <w:rPr>
          <w:b/>
          <w:bCs/>
          <w:lang w:val="el-GR"/>
        </w:rPr>
        <w:t xml:space="preserve"> και Γαλακτοβιομηχανίες – </w:t>
      </w:r>
      <w:proofErr w:type="spellStart"/>
      <w:r w:rsidRPr="006F7456">
        <w:rPr>
          <w:b/>
          <w:bCs/>
          <w:lang w:val="el-GR"/>
        </w:rPr>
        <w:t>Αντι</w:t>
      </w:r>
      <w:proofErr w:type="spellEnd"/>
      <w:r w:rsidRPr="006F7456">
        <w:rPr>
          <w:b/>
          <w:bCs/>
          <w:lang w:val="el-GR"/>
        </w:rPr>
        <w:t>-ανταγωνιστικές Κάθετες Συμφωνίες</w:t>
      </w:r>
    </w:p>
    <w:p w14:paraId="02AFF01B" w14:textId="77777777" w:rsidR="006F7456" w:rsidRPr="006F7456" w:rsidRDefault="006F7456" w:rsidP="006F7456">
      <w:pPr>
        <w:numPr>
          <w:ilvl w:val="0"/>
          <w:numId w:val="4"/>
        </w:numPr>
      </w:pPr>
      <w:proofErr w:type="spellStart"/>
      <w:r w:rsidRPr="006F7456">
        <w:rPr>
          <w:b/>
          <w:bCs/>
        </w:rPr>
        <w:t>Περίοδος</w:t>
      </w:r>
      <w:proofErr w:type="spellEnd"/>
      <w:r w:rsidRPr="006F7456">
        <w:t xml:space="preserve">: </w:t>
      </w:r>
      <w:proofErr w:type="spellStart"/>
      <w:r w:rsidRPr="006F7456">
        <w:t>Πριν</w:t>
      </w:r>
      <w:proofErr w:type="spellEnd"/>
      <w:r w:rsidRPr="006F7456">
        <w:t xml:space="preserve"> </w:t>
      </w:r>
      <w:proofErr w:type="spellStart"/>
      <w:r w:rsidRPr="006F7456">
        <w:t>το</w:t>
      </w:r>
      <w:proofErr w:type="spellEnd"/>
      <w:r w:rsidRPr="006F7456">
        <w:t xml:space="preserve"> 2007</w:t>
      </w:r>
    </w:p>
    <w:p w14:paraId="329AE46C" w14:textId="77777777" w:rsidR="006F7456" w:rsidRPr="006F7456" w:rsidRDefault="006F7456" w:rsidP="006F7456">
      <w:pPr>
        <w:numPr>
          <w:ilvl w:val="0"/>
          <w:numId w:val="4"/>
        </w:numPr>
        <w:rPr>
          <w:lang w:val="el-GR"/>
        </w:rPr>
      </w:pPr>
      <w:r w:rsidRPr="006F7456">
        <w:rPr>
          <w:b/>
          <w:bCs/>
          <w:lang w:val="el-GR"/>
        </w:rPr>
        <w:t>Παράβαση</w:t>
      </w:r>
      <w:r w:rsidRPr="006F7456">
        <w:rPr>
          <w:lang w:val="el-GR"/>
        </w:rPr>
        <w:t xml:space="preserve">: Έξι αλυσίδες σούπερ </w:t>
      </w:r>
      <w:proofErr w:type="spellStart"/>
      <w:r w:rsidRPr="006F7456">
        <w:rPr>
          <w:lang w:val="el-GR"/>
        </w:rPr>
        <w:t>μάρκετ</w:t>
      </w:r>
      <w:proofErr w:type="spellEnd"/>
      <w:r w:rsidRPr="006F7456">
        <w:rPr>
          <w:lang w:val="el-GR"/>
        </w:rPr>
        <w:t xml:space="preserve"> και τέσσερις γαλακτοβιομηχανίες συνήψαν κάθετες συμφωνίες που περιλάμβαναν καθορισμό τιμών μεταπώλησης και περιορισμούς στις παθητικές πωλήσεις, μειώνοντας τον ανταγωνισμό στην αγορά γαλακτοκομικών προϊόντων.</w:t>
      </w:r>
    </w:p>
    <w:p w14:paraId="7B39C7F1" w14:textId="77777777" w:rsidR="006F7456" w:rsidRPr="006F7456" w:rsidRDefault="006F7456" w:rsidP="006F7456">
      <w:pPr>
        <w:numPr>
          <w:ilvl w:val="0"/>
          <w:numId w:val="4"/>
        </w:numPr>
      </w:pPr>
      <w:proofErr w:type="spellStart"/>
      <w:r w:rsidRPr="006F7456">
        <w:rPr>
          <w:b/>
          <w:bCs/>
        </w:rPr>
        <w:t>Πρόστιμο</w:t>
      </w:r>
      <w:proofErr w:type="spellEnd"/>
      <w:r w:rsidRPr="006F7456">
        <w:t xml:space="preserve">: </w:t>
      </w:r>
      <w:proofErr w:type="spellStart"/>
      <w:r w:rsidRPr="006F7456">
        <w:t>Συνολικά</w:t>
      </w:r>
      <w:proofErr w:type="spellEnd"/>
      <w:r w:rsidRPr="006F7456">
        <w:t xml:space="preserve"> €28,5 </w:t>
      </w:r>
      <w:proofErr w:type="spellStart"/>
      <w:r w:rsidRPr="006F7456">
        <w:t>εκ</w:t>
      </w:r>
      <w:proofErr w:type="spellEnd"/>
      <w:r w:rsidRPr="006F7456">
        <w:t>ατ.</w:t>
      </w:r>
    </w:p>
    <w:p w14:paraId="72B86F0B" w14:textId="77777777" w:rsidR="006F7456" w:rsidRPr="006F7456" w:rsidRDefault="006F7456" w:rsidP="006F7456">
      <w:pPr>
        <w:numPr>
          <w:ilvl w:val="0"/>
          <w:numId w:val="4"/>
        </w:numPr>
      </w:pPr>
      <w:r w:rsidRPr="006F7456">
        <w:rPr>
          <w:b/>
          <w:bCs/>
          <w:lang w:val="el-GR"/>
        </w:rPr>
        <w:t>Νομική Βάση</w:t>
      </w:r>
      <w:r w:rsidRPr="006F7456">
        <w:rPr>
          <w:lang w:val="el-GR"/>
        </w:rPr>
        <w:t xml:space="preserve">: Παραβίαση του Άρθρου 1 παρ.1 του Ν. 703/77. </w:t>
      </w:r>
      <w:r w:rsidRPr="006F7456">
        <w:rPr>
          <w:rFonts w:ascii="Arial" w:hAnsi="Arial" w:cs="Arial"/>
          <w:lang w:val="el-GR"/>
        </w:rPr>
        <w:t>​</w:t>
      </w:r>
      <w:hyperlink r:id="rId8" w:tgtFrame="_blank" w:history="1">
        <w:proofErr w:type="spellStart"/>
        <w:r w:rsidRPr="006F7456">
          <w:rPr>
            <w:rStyle w:val="-"/>
          </w:rPr>
          <w:t>Γκολφινο</w:t>
        </w:r>
        <w:proofErr w:type="spellEnd"/>
        <w:r w:rsidRPr="006F7456">
          <w:rPr>
            <w:rStyle w:val="-"/>
          </w:rPr>
          <w:t>πούλου</w:t>
        </w:r>
      </w:hyperlink>
    </w:p>
    <w:p w14:paraId="2888FB00" w14:textId="77777777" w:rsidR="006F7456" w:rsidRPr="006F7456" w:rsidRDefault="00505ECD" w:rsidP="006F7456">
      <w:r>
        <w:pict w14:anchorId="5ABB4E13">
          <v:rect id="_x0000_i1029" style="width:0;height:1.5pt" o:hralign="center" o:hrstd="t" o:hr="t" fillcolor="#a0a0a0" stroked="f"/>
        </w:pict>
      </w:r>
    </w:p>
    <w:p w14:paraId="2A11E82C" w14:textId="77777777" w:rsidR="006F7456" w:rsidRPr="006F7456" w:rsidRDefault="006F7456" w:rsidP="006F7456">
      <w:pPr>
        <w:rPr>
          <w:b/>
          <w:bCs/>
        </w:rPr>
      </w:pPr>
      <w:r w:rsidRPr="006F7456">
        <w:rPr>
          <w:b/>
          <w:bCs/>
        </w:rPr>
        <w:t xml:space="preserve">5. </w:t>
      </w:r>
      <w:proofErr w:type="spellStart"/>
      <w:r w:rsidRPr="006F7456">
        <w:rPr>
          <w:b/>
          <w:bCs/>
        </w:rPr>
        <w:t>Οργ</w:t>
      </w:r>
      <w:proofErr w:type="spellEnd"/>
      <w:r w:rsidRPr="006F7456">
        <w:rPr>
          <w:b/>
          <w:bCs/>
        </w:rPr>
        <w:t xml:space="preserve">ανισμός </w:t>
      </w:r>
      <w:proofErr w:type="spellStart"/>
      <w:r w:rsidRPr="006F7456">
        <w:rPr>
          <w:b/>
          <w:bCs/>
        </w:rPr>
        <w:t>Λιμένος</w:t>
      </w:r>
      <w:proofErr w:type="spellEnd"/>
      <w:r w:rsidRPr="006F7456">
        <w:rPr>
          <w:b/>
          <w:bCs/>
        </w:rPr>
        <w:t xml:space="preserve"> </w:t>
      </w:r>
      <w:proofErr w:type="spellStart"/>
      <w:r w:rsidRPr="006F7456">
        <w:rPr>
          <w:b/>
          <w:bCs/>
        </w:rPr>
        <w:t>Πειρ</w:t>
      </w:r>
      <w:proofErr w:type="spellEnd"/>
      <w:r w:rsidRPr="006F7456">
        <w:rPr>
          <w:b/>
          <w:bCs/>
        </w:rPr>
        <w:t xml:space="preserve">αιώς (ΟΛΠ) και Mediterranean Shipping Company (MSC) – </w:t>
      </w:r>
      <w:proofErr w:type="spellStart"/>
      <w:r w:rsidRPr="006F7456">
        <w:rPr>
          <w:b/>
          <w:bCs/>
        </w:rPr>
        <w:t>Προνομι</w:t>
      </w:r>
      <w:proofErr w:type="spellEnd"/>
      <w:r w:rsidRPr="006F7456">
        <w:rPr>
          <w:b/>
          <w:bCs/>
        </w:rPr>
        <w:t xml:space="preserve">ακή </w:t>
      </w:r>
      <w:proofErr w:type="spellStart"/>
      <w:r w:rsidRPr="006F7456">
        <w:rPr>
          <w:b/>
          <w:bCs/>
        </w:rPr>
        <w:t>Μετ</w:t>
      </w:r>
      <w:proofErr w:type="spellEnd"/>
      <w:r w:rsidRPr="006F7456">
        <w:rPr>
          <w:b/>
          <w:bCs/>
        </w:rPr>
        <w:t>αχείριση</w:t>
      </w:r>
    </w:p>
    <w:p w14:paraId="0C04AA2B" w14:textId="77777777" w:rsidR="006F7456" w:rsidRPr="006F7456" w:rsidRDefault="006F7456" w:rsidP="006F7456">
      <w:pPr>
        <w:numPr>
          <w:ilvl w:val="0"/>
          <w:numId w:val="5"/>
        </w:numPr>
      </w:pPr>
      <w:proofErr w:type="spellStart"/>
      <w:r w:rsidRPr="006F7456">
        <w:rPr>
          <w:b/>
          <w:bCs/>
        </w:rPr>
        <w:t>Περίοδος</w:t>
      </w:r>
      <w:proofErr w:type="spellEnd"/>
      <w:r w:rsidRPr="006F7456">
        <w:t xml:space="preserve">: </w:t>
      </w:r>
      <w:proofErr w:type="spellStart"/>
      <w:r w:rsidRPr="006F7456">
        <w:t>Πριν</w:t>
      </w:r>
      <w:proofErr w:type="spellEnd"/>
      <w:r w:rsidRPr="006F7456">
        <w:t xml:space="preserve"> </w:t>
      </w:r>
      <w:proofErr w:type="spellStart"/>
      <w:r w:rsidRPr="006F7456">
        <w:t>το</w:t>
      </w:r>
      <w:proofErr w:type="spellEnd"/>
      <w:r w:rsidRPr="006F7456">
        <w:t xml:space="preserve"> 2009</w:t>
      </w:r>
    </w:p>
    <w:p w14:paraId="2A00E05B" w14:textId="77777777" w:rsidR="006F7456" w:rsidRPr="006F7456" w:rsidRDefault="006F7456" w:rsidP="006F7456">
      <w:pPr>
        <w:numPr>
          <w:ilvl w:val="0"/>
          <w:numId w:val="5"/>
        </w:numPr>
        <w:rPr>
          <w:lang w:val="el-GR"/>
        </w:rPr>
      </w:pPr>
      <w:r w:rsidRPr="006F7456">
        <w:rPr>
          <w:b/>
          <w:bCs/>
          <w:lang w:val="el-GR"/>
        </w:rPr>
        <w:t>Παράβαση</w:t>
      </w:r>
      <w:r w:rsidRPr="006F7456">
        <w:rPr>
          <w:lang w:val="el-GR"/>
        </w:rPr>
        <w:t xml:space="preserve">: Ο ΟΛΠ και η </w:t>
      </w:r>
      <w:r w:rsidRPr="006F7456">
        <w:t>MSC</w:t>
      </w:r>
      <w:r w:rsidRPr="006F7456">
        <w:rPr>
          <w:lang w:val="el-GR"/>
        </w:rPr>
        <w:t xml:space="preserve"> συνήψαν συμφωνία που παρείχε προτεραιότητα στα πλοία της </w:t>
      </w:r>
      <w:r w:rsidRPr="006F7456">
        <w:t>MSC</w:t>
      </w:r>
      <w:r w:rsidRPr="006F7456">
        <w:rPr>
          <w:lang w:val="el-GR"/>
        </w:rPr>
        <w:t xml:space="preserve"> στη χρήση των λιμενικών υποδομών για διαμετακομιστικό φορτίο, περιορίζοντας την πρόσβαση ανταγωνιστών.</w:t>
      </w:r>
    </w:p>
    <w:p w14:paraId="7EABC764" w14:textId="77777777" w:rsidR="006F7456" w:rsidRPr="006F7456" w:rsidRDefault="006F7456" w:rsidP="006F7456">
      <w:pPr>
        <w:numPr>
          <w:ilvl w:val="0"/>
          <w:numId w:val="5"/>
        </w:numPr>
      </w:pPr>
      <w:r w:rsidRPr="006F7456">
        <w:rPr>
          <w:b/>
          <w:bCs/>
          <w:lang w:val="el-GR"/>
        </w:rPr>
        <w:t>Νομική Βάση</w:t>
      </w:r>
      <w:r w:rsidRPr="006F7456">
        <w:rPr>
          <w:lang w:val="el-GR"/>
        </w:rPr>
        <w:t xml:space="preserve">: Παραβίαση του Άρθρου 1 του Ν. 703/77 και του Άρθρου 81 ΣΛΕΕ. </w:t>
      </w:r>
      <w:r w:rsidRPr="006F7456">
        <w:rPr>
          <w:rFonts w:ascii="Arial" w:hAnsi="Arial" w:cs="Arial"/>
          <w:lang w:val="el-GR"/>
        </w:rPr>
        <w:t>​</w:t>
      </w:r>
      <w:hyperlink r:id="rId9" w:tgtFrame="_blank" w:history="1">
        <w:proofErr w:type="spellStart"/>
        <w:r w:rsidRPr="006F7456">
          <w:rPr>
            <w:rStyle w:val="-"/>
          </w:rPr>
          <w:t>Concurrences</w:t>
        </w:r>
      </w:hyperlink>
      <w:hyperlink r:id="rId10" w:tgtFrame="_blank" w:history="1">
        <w:r w:rsidRPr="006F7456">
          <w:rPr>
            <w:rStyle w:val="-"/>
          </w:rPr>
          <w:t>Concurrences</w:t>
        </w:r>
        <w:proofErr w:type="spellEnd"/>
      </w:hyperlink>
    </w:p>
    <w:p w14:paraId="392524A8" w14:textId="77777777" w:rsidR="00474327" w:rsidRDefault="00474327"/>
    <w:p w14:paraId="3F9BE9FB" w14:textId="77777777" w:rsidR="00DA3598" w:rsidRDefault="00DA3598"/>
    <w:p w14:paraId="5E8457F4" w14:textId="162F0987" w:rsidR="00DA3598" w:rsidRDefault="00DA3598">
      <w:r>
        <w:br w:type="page"/>
      </w:r>
    </w:p>
    <w:p w14:paraId="059B77C8" w14:textId="77777777" w:rsidR="00DA3598" w:rsidRPr="00DA3598" w:rsidRDefault="00DA3598" w:rsidP="00DA3598">
      <w:r w:rsidRPr="00DA3598">
        <w:lastRenderedPageBreak/>
        <w:t>Between 1996 and 2019, the Hellenic Competition Commission (HCC) investigated several cases involving anticompetitive practices related to the imposition of unreasonable prices—either excessively high or low—by dominant firms or associations in markets with homogeneous conditions. Below are notable cases where competition law infringements were identified, and fines were imposed:</w:t>
      </w:r>
      <w:r w:rsidRPr="00DA3598">
        <w:rPr>
          <w:rFonts w:ascii="Arial" w:hAnsi="Arial" w:cs="Arial"/>
        </w:rPr>
        <w:t>​</w:t>
      </w:r>
    </w:p>
    <w:p w14:paraId="384EE7F5" w14:textId="77777777" w:rsidR="00DA3598" w:rsidRPr="00DA3598" w:rsidRDefault="00505ECD" w:rsidP="00DA3598">
      <w:r>
        <w:pict w14:anchorId="71C1114A">
          <v:rect id="_x0000_i1030" style="width:0;height:1.5pt" o:hralign="center" o:hrstd="t" o:hr="t" fillcolor="#a0a0a0" stroked="f"/>
        </w:pict>
      </w:r>
    </w:p>
    <w:p w14:paraId="4625739A" w14:textId="77777777" w:rsidR="00DA3598" w:rsidRPr="00DA3598" w:rsidRDefault="00DA3598" w:rsidP="00DA3598">
      <w:pPr>
        <w:rPr>
          <w:b/>
          <w:bCs/>
        </w:rPr>
      </w:pPr>
      <w:r w:rsidRPr="00DA3598">
        <w:rPr>
          <w:rFonts w:ascii="Segoe UI Emoji" w:hAnsi="Segoe UI Emoji" w:cs="Segoe UI Emoji"/>
          <w:b/>
          <w:bCs/>
        </w:rPr>
        <w:t>🏭</w:t>
      </w:r>
      <w:r w:rsidRPr="00DA3598">
        <w:rPr>
          <w:b/>
          <w:bCs/>
        </w:rPr>
        <w:t xml:space="preserve"> 1. Athenian Brewery (Heineken) – Abuse of Dominant Position in the Beer Market</w:t>
      </w:r>
    </w:p>
    <w:p w14:paraId="25D0AD5E" w14:textId="77777777" w:rsidR="00DA3598" w:rsidRPr="00DA3598" w:rsidRDefault="00DA3598" w:rsidP="00DA3598">
      <w:pPr>
        <w:numPr>
          <w:ilvl w:val="0"/>
          <w:numId w:val="6"/>
        </w:numPr>
      </w:pPr>
      <w:r w:rsidRPr="00DA3598">
        <w:rPr>
          <w:b/>
          <w:bCs/>
        </w:rPr>
        <w:t>Period</w:t>
      </w:r>
      <w:r w:rsidRPr="00DA3598">
        <w:t>: 1998–2014</w:t>
      </w:r>
    </w:p>
    <w:p w14:paraId="5197C17E" w14:textId="77777777" w:rsidR="00DA3598" w:rsidRPr="00DA3598" w:rsidRDefault="00DA3598" w:rsidP="00DA3598">
      <w:pPr>
        <w:numPr>
          <w:ilvl w:val="0"/>
          <w:numId w:val="6"/>
        </w:numPr>
      </w:pPr>
      <w:r w:rsidRPr="00DA3598">
        <w:rPr>
          <w:b/>
          <w:bCs/>
        </w:rPr>
        <w:t>Violation</w:t>
      </w:r>
      <w:r w:rsidRPr="00DA3598">
        <w:t>: Athenian Brewery, a subsidiary of Heineken, was found to have abused its dominant position in the Greek beer market by implementing exclusivity agreements and offering financial incentives to retailers, effectively excluding competitors from bars, restaurants, and hotels.</w:t>
      </w:r>
    </w:p>
    <w:p w14:paraId="45E6F084" w14:textId="77777777" w:rsidR="00DA3598" w:rsidRPr="00DA3598" w:rsidRDefault="00DA3598" w:rsidP="00DA3598">
      <w:pPr>
        <w:numPr>
          <w:ilvl w:val="0"/>
          <w:numId w:val="6"/>
        </w:numPr>
      </w:pPr>
      <w:r w:rsidRPr="00DA3598">
        <w:rPr>
          <w:b/>
          <w:bCs/>
        </w:rPr>
        <w:t>Fine</w:t>
      </w:r>
      <w:r w:rsidRPr="00DA3598">
        <w:t>: €31.5 million, later reduced to €26.7 million upon appeal.</w:t>
      </w:r>
    </w:p>
    <w:p w14:paraId="47A5C774" w14:textId="77777777" w:rsidR="00DA3598" w:rsidRPr="00DA3598" w:rsidRDefault="00DA3598" w:rsidP="00DA3598">
      <w:pPr>
        <w:numPr>
          <w:ilvl w:val="0"/>
          <w:numId w:val="6"/>
        </w:numPr>
      </w:pPr>
      <w:r w:rsidRPr="00DA3598">
        <w:rPr>
          <w:b/>
          <w:bCs/>
        </w:rPr>
        <w:t>Further Developments</w:t>
      </w:r>
      <w:r w:rsidRPr="00DA3598">
        <w:t xml:space="preserve">: In 2024, a Dutch court held Heineken jointly liable for the anticompetitive practices of its Greek subsidiary, potentially exposing the company to significant damages claims from competitors. </w:t>
      </w:r>
      <w:r w:rsidRPr="00DA3598">
        <w:rPr>
          <w:rFonts w:ascii="Arial" w:hAnsi="Arial" w:cs="Arial"/>
        </w:rPr>
        <w:t>​</w:t>
      </w:r>
      <w:hyperlink r:id="rId11" w:tgtFrame="_blank" w:history="1">
        <w:r w:rsidRPr="00DA3598">
          <w:rPr>
            <w:rStyle w:val="-"/>
          </w:rPr>
          <w:t>Financial Times</w:t>
        </w:r>
      </w:hyperlink>
    </w:p>
    <w:p w14:paraId="3DE17C44" w14:textId="77777777" w:rsidR="00DA3598" w:rsidRPr="00DA3598" w:rsidRDefault="00505ECD" w:rsidP="00DA3598">
      <w:r>
        <w:pict w14:anchorId="16C13028">
          <v:rect id="_x0000_i1031" style="width:0;height:1.5pt" o:hralign="center" o:hrstd="t" o:hr="t" fillcolor="#a0a0a0" stroked="f"/>
        </w:pict>
      </w:r>
    </w:p>
    <w:p w14:paraId="0E690F5A" w14:textId="77777777" w:rsidR="00DA3598" w:rsidRPr="00DA3598" w:rsidRDefault="00DA3598" w:rsidP="00DA3598">
      <w:pPr>
        <w:rPr>
          <w:b/>
          <w:bCs/>
        </w:rPr>
      </w:pPr>
      <w:r w:rsidRPr="00DA3598">
        <w:rPr>
          <w:rFonts w:ascii="Segoe UI Emoji" w:hAnsi="Segoe UI Emoji" w:cs="Segoe UI Emoji"/>
          <w:b/>
          <w:bCs/>
        </w:rPr>
        <w:t>🍟</w:t>
      </w:r>
      <w:r w:rsidRPr="00DA3598">
        <w:rPr>
          <w:b/>
          <w:bCs/>
        </w:rPr>
        <w:t xml:space="preserve"> 2. Tasty Foods (PepsiCo) – Abuse of Dominant Position in the Salty Snacks Market</w:t>
      </w:r>
    </w:p>
    <w:p w14:paraId="6F7EB095" w14:textId="77777777" w:rsidR="00DA3598" w:rsidRPr="00DA3598" w:rsidRDefault="00DA3598" w:rsidP="00DA3598">
      <w:pPr>
        <w:numPr>
          <w:ilvl w:val="0"/>
          <w:numId w:val="7"/>
        </w:numPr>
      </w:pPr>
      <w:r w:rsidRPr="00DA3598">
        <w:rPr>
          <w:b/>
          <w:bCs/>
        </w:rPr>
        <w:t>Period</w:t>
      </w:r>
      <w:r w:rsidRPr="00DA3598">
        <w:t>: 2000–2008</w:t>
      </w:r>
    </w:p>
    <w:p w14:paraId="6A492981" w14:textId="77777777" w:rsidR="00DA3598" w:rsidRPr="00DA3598" w:rsidRDefault="00DA3598" w:rsidP="00DA3598">
      <w:pPr>
        <w:numPr>
          <w:ilvl w:val="0"/>
          <w:numId w:val="7"/>
        </w:numPr>
      </w:pPr>
      <w:r w:rsidRPr="00DA3598">
        <w:rPr>
          <w:b/>
          <w:bCs/>
        </w:rPr>
        <w:t>Violation</w:t>
      </w:r>
      <w:r w:rsidRPr="00DA3598">
        <w:t>: Tasty Foods, a PepsiCo subsidiary, abused its dominant position by enforcing exclusive agreements with small retailers (e.g., kiosks, mini-markets), thereby limiting competitors' access to these sales channels.</w:t>
      </w:r>
    </w:p>
    <w:p w14:paraId="13CA30ED" w14:textId="77777777" w:rsidR="00DA3598" w:rsidRPr="00DA3598" w:rsidRDefault="00DA3598" w:rsidP="00DA3598">
      <w:pPr>
        <w:numPr>
          <w:ilvl w:val="0"/>
          <w:numId w:val="7"/>
        </w:numPr>
      </w:pPr>
      <w:r w:rsidRPr="00DA3598">
        <w:rPr>
          <w:b/>
          <w:bCs/>
        </w:rPr>
        <w:t>Fine</w:t>
      </w:r>
      <w:r w:rsidRPr="00DA3598">
        <w:t>: €16.2 million.</w:t>
      </w:r>
    </w:p>
    <w:p w14:paraId="4EC3BFA0" w14:textId="77777777" w:rsidR="00DA3598" w:rsidRPr="00DA3598" w:rsidRDefault="00DA3598" w:rsidP="00DA3598">
      <w:pPr>
        <w:numPr>
          <w:ilvl w:val="0"/>
          <w:numId w:val="7"/>
        </w:numPr>
      </w:pPr>
      <w:r w:rsidRPr="00DA3598">
        <w:rPr>
          <w:b/>
          <w:bCs/>
        </w:rPr>
        <w:t>Legal Basis</w:t>
      </w:r>
      <w:r w:rsidRPr="00DA3598">
        <w:t>: Violation of Articles 1 and 2 of Law 703/77 and Articles 101 and 102 of the Treaty on the Functioning of the European Union (TFEU).</w:t>
      </w:r>
      <w:r w:rsidRPr="00DA3598">
        <w:rPr>
          <w:rFonts w:ascii="Arial" w:hAnsi="Arial" w:cs="Arial"/>
        </w:rPr>
        <w:t>​</w:t>
      </w:r>
    </w:p>
    <w:p w14:paraId="469B3A8F" w14:textId="77777777" w:rsidR="00DA3598" w:rsidRPr="00DA3598" w:rsidRDefault="00505ECD" w:rsidP="00DA3598">
      <w:r>
        <w:pict w14:anchorId="0C613425">
          <v:rect id="_x0000_i1032" style="width:0;height:1.5pt" o:hralign="center" o:hrstd="t" o:hr="t" fillcolor="#a0a0a0" stroked="f"/>
        </w:pict>
      </w:r>
    </w:p>
    <w:p w14:paraId="4C226D32" w14:textId="77777777" w:rsidR="00DA3598" w:rsidRPr="00DA3598" w:rsidRDefault="00DA3598" w:rsidP="00DA3598">
      <w:pPr>
        <w:rPr>
          <w:b/>
          <w:bCs/>
        </w:rPr>
      </w:pPr>
      <w:r w:rsidRPr="00DA3598">
        <w:rPr>
          <w:rFonts w:ascii="Segoe UI Emoji" w:hAnsi="Segoe UI Emoji" w:cs="Segoe UI Emoji"/>
          <w:b/>
          <w:bCs/>
        </w:rPr>
        <w:t>🛒</w:t>
      </w:r>
      <w:r w:rsidRPr="00DA3598">
        <w:rPr>
          <w:b/>
          <w:bCs/>
        </w:rPr>
        <w:t xml:space="preserve"> 3. Carrefour Marinopoulos – Resale Price Maintenance and Restrictions in Franchise Network</w:t>
      </w:r>
    </w:p>
    <w:p w14:paraId="5FC3EA8F" w14:textId="77777777" w:rsidR="00DA3598" w:rsidRPr="00DA3598" w:rsidRDefault="00DA3598" w:rsidP="00DA3598">
      <w:pPr>
        <w:numPr>
          <w:ilvl w:val="0"/>
          <w:numId w:val="8"/>
        </w:numPr>
      </w:pPr>
      <w:r w:rsidRPr="00DA3598">
        <w:rPr>
          <w:b/>
          <w:bCs/>
        </w:rPr>
        <w:t>Period</w:t>
      </w:r>
      <w:r w:rsidRPr="00DA3598">
        <w:t>: Up to 2010</w:t>
      </w:r>
    </w:p>
    <w:p w14:paraId="7A0A5027" w14:textId="77777777" w:rsidR="00DA3598" w:rsidRPr="00DA3598" w:rsidRDefault="00DA3598" w:rsidP="00DA3598">
      <w:pPr>
        <w:numPr>
          <w:ilvl w:val="0"/>
          <w:numId w:val="8"/>
        </w:numPr>
      </w:pPr>
      <w:r w:rsidRPr="00DA3598">
        <w:rPr>
          <w:b/>
          <w:bCs/>
        </w:rPr>
        <w:t>Violation</w:t>
      </w:r>
      <w:r w:rsidRPr="00DA3598">
        <w:t>: Carrefour Marinopoulos imposed fixed resale prices and restricted cross-supplies among franchisees, limiting competition within its franchise network.</w:t>
      </w:r>
    </w:p>
    <w:p w14:paraId="78B1F10F" w14:textId="77777777" w:rsidR="00DA3598" w:rsidRPr="00DA3598" w:rsidRDefault="00DA3598" w:rsidP="00DA3598">
      <w:pPr>
        <w:numPr>
          <w:ilvl w:val="0"/>
          <w:numId w:val="8"/>
        </w:numPr>
      </w:pPr>
      <w:r w:rsidRPr="00DA3598">
        <w:rPr>
          <w:b/>
          <w:bCs/>
        </w:rPr>
        <w:lastRenderedPageBreak/>
        <w:t>Fine</w:t>
      </w:r>
      <w:r w:rsidRPr="00DA3598">
        <w:t>: €12.5 million.</w:t>
      </w:r>
    </w:p>
    <w:p w14:paraId="5D79C741" w14:textId="77777777" w:rsidR="00DA3598" w:rsidRPr="00DA3598" w:rsidRDefault="00DA3598" w:rsidP="00DA3598">
      <w:pPr>
        <w:numPr>
          <w:ilvl w:val="0"/>
          <w:numId w:val="8"/>
        </w:numPr>
      </w:pPr>
      <w:r w:rsidRPr="00DA3598">
        <w:rPr>
          <w:b/>
          <w:bCs/>
        </w:rPr>
        <w:t>Legal Basis</w:t>
      </w:r>
      <w:r w:rsidRPr="00DA3598">
        <w:t>: Violation of Articles 1 and 2a of Law 703/77 and Article 101 TFEU.</w:t>
      </w:r>
      <w:r w:rsidRPr="00DA3598">
        <w:rPr>
          <w:rFonts w:ascii="Arial" w:hAnsi="Arial" w:cs="Arial"/>
        </w:rPr>
        <w:t>​</w:t>
      </w:r>
    </w:p>
    <w:p w14:paraId="23DDFDBA" w14:textId="77777777" w:rsidR="00DA3598" w:rsidRPr="00DA3598" w:rsidRDefault="00505ECD" w:rsidP="00DA3598">
      <w:r>
        <w:pict w14:anchorId="081A191B">
          <v:rect id="_x0000_i1033" style="width:0;height:1.5pt" o:hralign="center" o:hrstd="t" o:hr="t" fillcolor="#a0a0a0" stroked="f"/>
        </w:pict>
      </w:r>
    </w:p>
    <w:p w14:paraId="165B9EBE" w14:textId="77777777" w:rsidR="00DA3598" w:rsidRPr="00DA3598" w:rsidRDefault="00DA3598" w:rsidP="00DA3598">
      <w:pPr>
        <w:rPr>
          <w:b/>
          <w:bCs/>
        </w:rPr>
      </w:pPr>
      <w:r w:rsidRPr="00DA3598">
        <w:rPr>
          <w:rFonts w:ascii="Segoe UI Emoji" w:hAnsi="Segoe UI Emoji" w:cs="Segoe UI Emoji"/>
          <w:b/>
          <w:bCs/>
        </w:rPr>
        <w:t>🥛</w:t>
      </w:r>
      <w:r w:rsidRPr="00DA3598">
        <w:rPr>
          <w:b/>
          <w:bCs/>
        </w:rPr>
        <w:t xml:space="preserve"> 4. Supermarkets and Dairy Processors – Anticompetitive Vertical Agreements</w:t>
      </w:r>
    </w:p>
    <w:p w14:paraId="53E58E27" w14:textId="77777777" w:rsidR="00DA3598" w:rsidRPr="00DA3598" w:rsidRDefault="00DA3598" w:rsidP="00DA3598">
      <w:pPr>
        <w:numPr>
          <w:ilvl w:val="0"/>
          <w:numId w:val="9"/>
        </w:numPr>
      </w:pPr>
      <w:r w:rsidRPr="00DA3598">
        <w:rPr>
          <w:b/>
          <w:bCs/>
        </w:rPr>
        <w:t>Period</w:t>
      </w:r>
      <w:r w:rsidRPr="00DA3598">
        <w:t>: Prior to 2007</w:t>
      </w:r>
    </w:p>
    <w:p w14:paraId="288B51AD" w14:textId="77777777" w:rsidR="00DA3598" w:rsidRPr="00DA3598" w:rsidRDefault="00DA3598" w:rsidP="00DA3598">
      <w:pPr>
        <w:numPr>
          <w:ilvl w:val="0"/>
          <w:numId w:val="9"/>
        </w:numPr>
      </w:pPr>
      <w:r w:rsidRPr="00DA3598">
        <w:rPr>
          <w:b/>
          <w:bCs/>
        </w:rPr>
        <w:t>Violation</w:t>
      </w:r>
      <w:r w:rsidRPr="00DA3598">
        <w:t>: Six supermarket chains and four dairy processors engaged in vertical agreements that included resale price maintenance and restrictions on passive sales, reducing competition in the dairy products market.</w:t>
      </w:r>
    </w:p>
    <w:p w14:paraId="03C915B8" w14:textId="77777777" w:rsidR="00DA3598" w:rsidRPr="00DA3598" w:rsidRDefault="00DA3598" w:rsidP="00DA3598">
      <w:pPr>
        <w:numPr>
          <w:ilvl w:val="0"/>
          <w:numId w:val="9"/>
        </w:numPr>
      </w:pPr>
      <w:r w:rsidRPr="00DA3598">
        <w:rPr>
          <w:b/>
          <w:bCs/>
        </w:rPr>
        <w:t>Fine</w:t>
      </w:r>
      <w:r w:rsidRPr="00DA3598">
        <w:t>: Total fines amounted to €28.5 million.</w:t>
      </w:r>
    </w:p>
    <w:p w14:paraId="5452EC57" w14:textId="77777777" w:rsidR="00DA3598" w:rsidRPr="00DA3598" w:rsidRDefault="00DA3598" w:rsidP="00DA3598">
      <w:pPr>
        <w:numPr>
          <w:ilvl w:val="0"/>
          <w:numId w:val="9"/>
        </w:numPr>
      </w:pPr>
      <w:r w:rsidRPr="00DA3598">
        <w:rPr>
          <w:b/>
          <w:bCs/>
        </w:rPr>
        <w:t>Legal Basis</w:t>
      </w:r>
      <w:r w:rsidRPr="00DA3598">
        <w:t>: Violation of Article 1(1) of Law 703/77.</w:t>
      </w:r>
      <w:r w:rsidRPr="00DA3598">
        <w:rPr>
          <w:rFonts w:ascii="Arial" w:hAnsi="Arial" w:cs="Arial"/>
        </w:rPr>
        <w:t>​</w:t>
      </w:r>
      <w:hyperlink r:id="rId12" w:tgtFrame="_blank" w:history="1">
        <w:r w:rsidRPr="00DA3598">
          <w:rPr>
            <w:rStyle w:val="-"/>
          </w:rPr>
          <w:t>Concurrences+1Distribution Law Center+1</w:t>
        </w:r>
      </w:hyperlink>
      <w:hyperlink r:id="rId13" w:tgtFrame="_blank" w:history="1">
        <w:r w:rsidRPr="00DA3598">
          <w:rPr>
            <w:rStyle w:val="-"/>
          </w:rPr>
          <w:t>Distribution Law Center</w:t>
        </w:r>
      </w:hyperlink>
    </w:p>
    <w:p w14:paraId="0C419DCD" w14:textId="77777777" w:rsidR="00DA3598" w:rsidRPr="00DA3598" w:rsidRDefault="00505ECD" w:rsidP="00DA3598">
      <w:r>
        <w:pict w14:anchorId="6C41D3FB">
          <v:rect id="_x0000_i1034" style="width:0;height:1.5pt" o:hralign="center" o:hrstd="t" o:hr="t" fillcolor="#a0a0a0" stroked="f"/>
        </w:pict>
      </w:r>
    </w:p>
    <w:p w14:paraId="4C4F6CEE" w14:textId="77777777" w:rsidR="00DA3598" w:rsidRPr="00DA3598" w:rsidRDefault="00DA3598" w:rsidP="00DA3598">
      <w:pPr>
        <w:rPr>
          <w:b/>
          <w:bCs/>
        </w:rPr>
      </w:pPr>
      <w:r w:rsidRPr="00DA3598">
        <w:rPr>
          <w:rFonts w:ascii="Segoe UI Emoji" w:hAnsi="Segoe UI Emoji" w:cs="Segoe UI Emoji"/>
          <w:b/>
          <w:bCs/>
        </w:rPr>
        <w:t>⚡</w:t>
      </w:r>
      <w:r w:rsidRPr="00DA3598">
        <w:rPr>
          <w:b/>
          <w:bCs/>
        </w:rPr>
        <w:t xml:space="preserve"> 5. Public Power Corporation (PPC) – Alleged Predatory Pricing in the Electricity Market</w:t>
      </w:r>
    </w:p>
    <w:p w14:paraId="1E12CDCA" w14:textId="77777777" w:rsidR="00DA3598" w:rsidRPr="00DA3598" w:rsidRDefault="00DA3598" w:rsidP="00DA3598">
      <w:pPr>
        <w:numPr>
          <w:ilvl w:val="0"/>
          <w:numId w:val="10"/>
        </w:numPr>
      </w:pPr>
      <w:r w:rsidRPr="00DA3598">
        <w:rPr>
          <w:b/>
          <w:bCs/>
        </w:rPr>
        <w:t>Period</w:t>
      </w:r>
      <w:r w:rsidRPr="00DA3598">
        <w:t>: Investigation initiated in 2021</w:t>
      </w:r>
    </w:p>
    <w:p w14:paraId="526D845D" w14:textId="77777777" w:rsidR="00DA3598" w:rsidRPr="00DA3598" w:rsidRDefault="00DA3598" w:rsidP="00DA3598">
      <w:pPr>
        <w:numPr>
          <w:ilvl w:val="0"/>
          <w:numId w:val="10"/>
        </w:numPr>
      </w:pPr>
      <w:r w:rsidRPr="00DA3598">
        <w:rPr>
          <w:b/>
          <w:bCs/>
        </w:rPr>
        <w:t>Allegation</w:t>
      </w:r>
      <w:r w:rsidRPr="00DA3598">
        <w:t>: The European Commission opened a formal investigation into PPC for allegedly abusing its dominant position in the Greek wholesale electricity market through predatory bidding strategies, potentially hindering competition and the transition to greener energy sources.</w:t>
      </w:r>
    </w:p>
    <w:p w14:paraId="4E7BD6A6" w14:textId="77777777" w:rsidR="00DA3598" w:rsidRPr="00DA3598" w:rsidRDefault="00DA3598" w:rsidP="00DA3598">
      <w:pPr>
        <w:numPr>
          <w:ilvl w:val="0"/>
          <w:numId w:val="10"/>
        </w:numPr>
      </w:pPr>
      <w:r w:rsidRPr="00DA3598">
        <w:rPr>
          <w:b/>
          <w:bCs/>
        </w:rPr>
        <w:t>Status</w:t>
      </w:r>
      <w:r w:rsidRPr="00DA3598">
        <w:t xml:space="preserve">: As of the latest available information, the investigation was ongoing, and no fine had been imposed yet. </w:t>
      </w:r>
      <w:r w:rsidRPr="00DA3598">
        <w:rPr>
          <w:rFonts w:ascii="Arial" w:hAnsi="Arial" w:cs="Arial"/>
        </w:rPr>
        <w:t>​</w:t>
      </w:r>
      <w:hyperlink r:id="rId14" w:tgtFrame="_blank" w:history="1">
        <w:r w:rsidRPr="00DA3598">
          <w:rPr>
            <w:rStyle w:val="-"/>
          </w:rPr>
          <w:t>Concurrences+4clearyantitrustwatch.com+4European Commission+4</w:t>
        </w:r>
      </w:hyperlink>
    </w:p>
    <w:p w14:paraId="7FE68999" w14:textId="77777777" w:rsidR="00DA3598" w:rsidRPr="00DA3598" w:rsidRDefault="00505ECD" w:rsidP="00DA3598">
      <w:r>
        <w:pict w14:anchorId="346E46B6">
          <v:rect id="_x0000_i1035" style="width:0;height:1.5pt" o:hralign="center" o:hrstd="t" o:hr="t" fillcolor="#a0a0a0" stroked="f"/>
        </w:pict>
      </w:r>
    </w:p>
    <w:p w14:paraId="4A39B6FB" w14:textId="77777777" w:rsidR="00DA3598" w:rsidRPr="00DA3598" w:rsidRDefault="00DA3598" w:rsidP="00DA3598">
      <w:r w:rsidRPr="00DA3598">
        <w:t>These cases illustrate the HCC's commitment to enforcing competition law and addressing anticompetitive practices related to pricing in various sectors within Greece. If you require more detailed information on any of these cases or additional examples, please let me know.</w:t>
      </w:r>
      <w:r w:rsidRPr="00DA3598">
        <w:rPr>
          <w:rFonts w:ascii="Arial" w:hAnsi="Arial" w:cs="Arial"/>
        </w:rPr>
        <w:t>​</w:t>
      </w:r>
      <w:hyperlink r:id="rId15" w:tgtFrame="_blank" w:history="1">
        <w:r w:rsidRPr="00DA3598">
          <w:rPr>
            <w:rStyle w:val="-"/>
          </w:rPr>
          <w:t>Distribution Law Center+6Επ</w:t>
        </w:r>
        <w:proofErr w:type="spellStart"/>
        <w:r w:rsidRPr="00DA3598">
          <w:rPr>
            <w:rStyle w:val="-"/>
          </w:rPr>
          <w:t>ιτρο</w:t>
        </w:r>
        <w:proofErr w:type="spellEnd"/>
        <w:r w:rsidRPr="00DA3598">
          <w:rPr>
            <w:rStyle w:val="-"/>
          </w:rPr>
          <w:t xml:space="preserve">πή </w:t>
        </w:r>
        <w:proofErr w:type="spellStart"/>
        <w:r w:rsidRPr="00DA3598">
          <w:rPr>
            <w:rStyle w:val="-"/>
          </w:rPr>
          <w:t>Αντ</w:t>
        </w:r>
        <w:proofErr w:type="spellEnd"/>
        <w:r w:rsidRPr="00DA3598">
          <w:rPr>
            <w:rStyle w:val="-"/>
          </w:rPr>
          <w:t>αγωνισμού+6zeya.com+6</w:t>
        </w:r>
      </w:hyperlink>
    </w:p>
    <w:p w14:paraId="258D4A60" w14:textId="77777777" w:rsidR="00DA3598" w:rsidRPr="00DA3598" w:rsidRDefault="00DA3598"/>
    <w:sectPr w:rsidR="00DA3598" w:rsidRPr="00DA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41EC6"/>
    <w:multiLevelType w:val="multilevel"/>
    <w:tmpl w:val="AED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85E12"/>
    <w:multiLevelType w:val="multilevel"/>
    <w:tmpl w:val="3AD6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342AD"/>
    <w:multiLevelType w:val="multilevel"/>
    <w:tmpl w:val="6AD2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54075"/>
    <w:multiLevelType w:val="multilevel"/>
    <w:tmpl w:val="2DF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05D27"/>
    <w:multiLevelType w:val="multilevel"/>
    <w:tmpl w:val="D43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82F30"/>
    <w:multiLevelType w:val="multilevel"/>
    <w:tmpl w:val="EA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9244F"/>
    <w:multiLevelType w:val="multilevel"/>
    <w:tmpl w:val="2BFC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A59E2"/>
    <w:multiLevelType w:val="multilevel"/>
    <w:tmpl w:val="DD4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11E42"/>
    <w:multiLevelType w:val="multilevel"/>
    <w:tmpl w:val="F96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02487"/>
    <w:multiLevelType w:val="multilevel"/>
    <w:tmpl w:val="1E9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
  </w:num>
  <w:num w:numId="5">
    <w:abstractNumId w:val="2"/>
  </w:num>
  <w:num w:numId="6">
    <w:abstractNumId w:val="7"/>
  </w:num>
  <w:num w:numId="7">
    <w:abstractNumId w:val="6"/>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56"/>
    <w:rsid w:val="002D411B"/>
    <w:rsid w:val="00474327"/>
    <w:rsid w:val="00505ECD"/>
    <w:rsid w:val="006F7456"/>
    <w:rsid w:val="00DA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B2B60"/>
  <w15:chartTrackingRefBased/>
  <w15:docId w15:val="{E6D8F042-C097-461B-BB3F-423104CF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F7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F7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F74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F74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F74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F74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F74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F74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F74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F745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F745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F745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F745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F745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F745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F745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F745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F7456"/>
    <w:rPr>
      <w:rFonts w:eastAsiaTheme="majorEastAsia" w:cstheme="majorBidi"/>
      <w:color w:val="272727" w:themeColor="text1" w:themeTint="D8"/>
    </w:rPr>
  </w:style>
  <w:style w:type="paragraph" w:styleId="a3">
    <w:name w:val="Title"/>
    <w:basedOn w:val="a"/>
    <w:next w:val="a"/>
    <w:link w:val="Char"/>
    <w:uiPriority w:val="10"/>
    <w:qFormat/>
    <w:rsid w:val="006F7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F745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F745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F745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F7456"/>
    <w:pPr>
      <w:spacing w:before="160"/>
      <w:jc w:val="center"/>
    </w:pPr>
    <w:rPr>
      <w:i/>
      <w:iCs/>
      <w:color w:val="404040" w:themeColor="text1" w:themeTint="BF"/>
    </w:rPr>
  </w:style>
  <w:style w:type="character" w:customStyle="1" w:styleId="Char1">
    <w:name w:val="Απόσπασμα Char"/>
    <w:basedOn w:val="a0"/>
    <w:link w:val="a5"/>
    <w:uiPriority w:val="29"/>
    <w:rsid w:val="006F7456"/>
    <w:rPr>
      <w:i/>
      <w:iCs/>
      <w:color w:val="404040" w:themeColor="text1" w:themeTint="BF"/>
    </w:rPr>
  </w:style>
  <w:style w:type="paragraph" w:styleId="a6">
    <w:name w:val="List Paragraph"/>
    <w:basedOn w:val="a"/>
    <w:uiPriority w:val="34"/>
    <w:qFormat/>
    <w:rsid w:val="006F7456"/>
    <w:pPr>
      <w:ind w:left="720"/>
      <w:contextualSpacing/>
    </w:pPr>
  </w:style>
  <w:style w:type="character" w:styleId="a7">
    <w:name w:val="Intense Emphasis"/>
    <w:basedOn w:val="a0"/>
    <w:uiPriority w:val="21"/>
    <w:qFormat/>
    <w:rsid w:val="006F7456"/>
    <w:rPr>
      <w:i/>
      <w:iCs/>
      <w:color w:val="0F4761" w:themeColor="accent1" w:themeShade="BF"/>
    </w:rPr>
  </w:style>
  <w:style w:type="paragraph" w:styleId="a8">
    <w:name w:val="Intense Quote"/>
    <w:basedOn w:val="a"/>
    <w:next w:val="a"/>
    <w:link w:val="Char2"/>
    <w:uiPriority w:val="30"/>
    <w:qFormat/>
    <w:rsid w:val="006F7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F7456"/>
    <w:rPr>
      <w:i/>
      <w:iCs/>
      <w:color w:val="0F4761" w:themeColor="accent1" w:themeShade="BF"/>
    </w:rPr>
  </w:style>
  <w:style w:type="character" w:styleId="a9">
    <w:name w:val="Intense Reference"/>
    <w:basedOn w:val="a0"/>
    <w:uiPriority w:val="32"/>
    <w:qFormat/>
    <w:rsid w:val="006F7456"/>
    <w:rPr>
      <w:b/>
      <w:bCs/>
      <w:smallCaps/>
      <w:color w:val="0F4761" w:themeColor="accent1" w:themeShade="BF"/>
      <w:spacing w:val="5"/>
    </w:rPr>
  </w:style>
  <w:style w:type="character" w:styleId="-">
    <w:name w:val="Hyperlink"/>
    <w:basedOn w:val="a0"/>
    <w:uiPriority w:val="99"/>
    <w:unhideWhenUsed/>
    <w:rsid w:val="006F7456"/>
    <w:rPr>
      <w:color w:val="467886" w:themeColor="hyperlink"/>
      <w:u w:val="single"/>
    </w:rPr>
  </w:style>
  <w:style w:type="character" w:customStyle="1" w:styleId="UnresolvedMention">
    <w:name w:val="Unresolved Mention"/>
    <w:basedOn w:val="a0"/>
    <w:uiPriority w:val="99"/>
    <w:semiHidden/>
    <w:unhideWhenUsed/>
    <w:rsid w:val="006F7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166">
      <w:bodyDiv w:val="1"/>
      <w:marLeft w:val="0"/>
      <w:marRight w:val="0"/>
      <w:marTop w:val="0"/>
      <w:marBottom w:val="0"/>
      <w:divBdr>
        <w:top w:val="none" w:sz="0" w:space="0" w:color="auto"/>
        <w:left w:val="none" w:sz="0" w:space="0" w:color="auto"/>
        <w:bottom w:val="none" w:sz="0" w:space="0" w:color="auto"/>
        <w:right w:val="none" w:sz="0" w:space="0" w:color="auto"/>
      </w:divBdr>
    </w:div>
    <w:div w:id="349381882">
      <w:bodyDiv w:val="1"/>
      <w:marLeft w:val="0"/>
      <w:marRight w:val="0"/>
      <w:marTop w:val="0"/>
      <w:marBottom w:val="0"/>
      <w:divBdr>
        <w:top w:val="none" w:sz="0" w:space="0" w:color="auto"/>
        <w:left w:val="none" w:sz="0" w:space="0" w:color="auto"/>
        <w:bottom w:val="none" w:sz="0" w:space="0" w:color="auto"/>
        <w:right w:val="none" w:sz="0" w:space="0" w:color="auto"/>
      </w:divBdr>
    </w:div>
    <w:div w:id="457535305">
      <w:bodyDiv w:val="1"/>
      <w:marLeft w:val="0"/>
      <w:marRight w:val="0"/>
      <w:marTop w:val="0"/>
      <w:marBottom w:val="0"/>
      <w:divBdr>
        <w:top w:val="none" w:sz="0" w:space="0" w:color="auto"/>
        <w:left w:val="none" w:sz="0" w:space="0" w:color="auto"/>
        <w:bottom w:val="none" w:sz="0" w:space="0" w:color="auto"/>
        <w:right w:val="none" w:sz="0" w:space="0" w:color="auto"/>
      </w:divBdr>
    </w:div>
    <w:div w:id="20236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finopoulos.com/6266/the-hellenic-competition-commission-imposes-total-fines-of-285-million-euro-on-super-markets-and-dairy-processors-for-entering-into-anti-competitive-vertical-agreements/?utm_source=chatgpt.com" TargetMode="External"/><Relationship Id="rId13" Type="http://schemas.openxmlformats.org/officeDocument/2006/relationships/hyperlink" Target="https://distributionlawcenter.com/news-analysis/hellenic-competition-commission-hcc-imposes-fines-of-eur-453-573-for-resale-price-fixing-on-three-undertakings-active-in-the/?utm_source=chatgpt.com" TargetMode="External"/><Relationship Id="rId3" Type="http://schemas.openxmlformats.org/officeDocument/2006/relationships/settings" Target="settings.xml"/><Relationship Id="rId7" Type="http://schemas.openxmlformats.org/officeDocument/2006/relationships/hyperlink" Target="https://www.concurrences.com/en/bulletin/news-issues/july-2010/The-Hellenic-Competition-33885?utm_source=chatgpt.com" TargetMode="External"/><Relationship Id="rId12" Type="http://schemas.openxmlformats.org/officeDocument/2006/relationships/hyperlink" Target="https://www.concurrences.com/en/bulletin/news-issues/december-2023/the-hellenic-competition-authority-imposes-a-fine-amounting-to-eur278k-against?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mnts.com/cpi-posts/hellenic-competition-commission-fines-pepsico-snack-unit-16-2-million-euros/?utm_source=chatgpt.com" TargetMode="External"/><Relationship Id="rId11" Type="http://schemas.openxmlformats.org/officeDocument/2006/relationships/hyperlink" Target="https://www.ft.com/content/68c0b8d2-92d6-4785-b5bf-7af7d76618b1?utm_source=chatgpt.com" TargetMode="External"/><Relationship Id="rId5" Type="http://schemas.openxmlformats.org/officeDocument/2006/relationships/hyperlink" Target="https://www.ft.com/content/68c0b8d2-92d6-4785-b5bf-7af7d76618b1?utm_source=chatgpt.com" TargetMode="External"/><Relationship Id="rId15" Type="http://schemas.openxmlformats.org/officeDocument/2006/relationships/hyperlink" Target="https://www.epant.gr/en/information/citizens-business/learn-about-us.html?utm_source=chatgpt.com" TargetMode="External"/><Relationship Id="rId10" Type="http://schemas.openxmlformats.org/officeDocument/2006/relationships/hyperlink" Target="https://www.concurrences.com/en/bulletin/news-issues/january-2009/the-hellenic-competition-commission-imposes-fines-for-prohibited-vertical-en?utm_source=chatgpt.com" TargetMode="External"/><Relationship Id="rId4" Type="http://schemas.openxmlformats.org/officeDocument/2006/relationships/webSettings" Target="webSettings.xml"/><Relationship Id="rId9" Type="http://schemas.openxmlformats.org/officeDocument/2006/relationships/hyperlink" Target="https://www.concurrences.com/en/bulletin/news-issues/july-2010/The-Hellenic-Competition-33885?utm_source=chatgpt.com" TargetMode="External"/><Relationship Id="rId14" Type="http://schemas.openxmlformats.org/officeDocument/2006/relationships/hyperlink" Target="https://www.clearyantitrustwatch.com/2021/03/commission-says-ppc-might-have-engaged-in-predatory-bidding-and-hindered-greeces-efforts-to-go-gree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6593</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Γκιντώνη Ευγενία</dc:creator>
  <cp:keywords/>
  <dc:description/>
  <cp:lastModifiedBy>ΓΕΩΡΓΙΑ ΚΑΟΥΡΑ</cp:lastModifiedBy>
  <cp:revision>2</cp:revision>
  <dcterms:created xsi:type="dcterms:W3CDTF">2025-04-30T04:05:00Z</dcterms:created>
  <dcterms:modified xsi:type="dcterms:W3CDTF">2025-04-30T04:05:00Z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81691154-6cf3-4cad-94e5-9c3f5ed1d72b</vt:lpwstr>
  </property>
</Properties>
</file>