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6"/>
        </w:rPr>
        <w:t>BỘ TÀI LIỆU NGHIỆP VỤ CRM</w:t>
      </w:r>
    </w:p>
    <w:p>
      <w:pPr>
        <w:jc w:val="center"/>
      </w:pPr>
      <w:r>
        <w:rPr>
          <w:color w:val="2E5E87"/>
          <w:sz w:val="30"/>
        </w:rPr>
        <w:t>Tập 1 - BRD, phạm vi và quy trình đầu-cuối</w:t>
      </w:r>
    </w:p>
    <w:p/>
    <w:tbl>
      <w:tblPr>
        <w:tblStyle w:val="TableGrid"/>
        <w:tblW w:type="auto" w:w="0"/>
        <w:jc w:val="center"/>
        <w:tblLook w:firstColumn="1" w:firstRow="1" w:lastColumn="0" w:lastRow="0" w:noHBand="0" w:noVBand="1" w:val="04A0"/>
      </w:tblPr>
      <w:tblGrid>
        <w:gridCol w:w="5043"/>
        <w:gridCol w:w="5043"/>
      </w:tblGrid>
      <w:tr>
        <w:tc>
          <w:tcPr>
            <w:tcW w:type="dxa" w:w="5043"/>
            <w:shd w:fill="D9EAF7"/>
            <w:tcMar>
              <w:top w:w="80" w:type="dxa"/>
              <w:start w:w="80" w:type="dxa"/>
              <w:bottom w:w="80" w:type="dxa"/>
              <w:end w:w="80" w:type="dxa"/>
            </w:tcMar>
          </w:tcPr>
          <w:p>
            <w:r>
              <w:rPr>
                <w:b/>
              </w:rPr>
              <w:t>Loại tài liệu</w:t>
            </w:r>
          </w:p>
        </w:tc>
        <w:tc>
          <w:tcPr>
            <w:tcW w:type="dxa" w:w="5043"/>
            <w:tcMar>
              <w:top w:w="80" w:type="dxa"/>
              <w:start w:w="80" w:type="dxa"/>
              <w:bottom w:w="80" w:type="dxa"/>
              <w:end w:w="80" w:type="dxa"/>
            </w:tcMar>
          </w:tcPr>
          <w:p>
            <w:r>
              <w:t>Tài liệu phân tích nghiệp vụ dành cho BA</w:t>
            </w:r>
          </w:p>
        </w:tc>
      </w:tr>
      <w:tr>
        <w:tc>
          <w:tcPr>
            <w:tcW w:type="dxa" w:w="5043"/>
            <w:shd w:fill="D9EAF7"/>
            <w:tcMar>
              <w:top w:w="80" w:type="dxa"/>
              <w:start w:w="80" w:type="dxa"/>
              <w:bottom w:w="80" w:type="dxa"/>
              <w:end w:w="80" w:type="dxa"/>
            </w:tcMar>
          </w:tcPr>
          <w:p>
            <w:r>
              <w:rPr>
                <w:b/>
              </w:rPr>
              <w:t>Phiên bản</w:t>
            </w:r>
          </w:p>
        </w:tc>
        <w:tc>
          <w:tcPr>
            <w:tcW w:type="dxa" w:w="5043"/>
            <w:tcMar>
              <w:top w:w="80" w:type="dxa"/>
              <w:start w:w="80" w:type="dxa"/>
              <w:bottom w:w="80" w:type="dxa"/>
              <w:end w:w="80" w:type="dxa"/>
            </w:tcMar>
          </w:tcPr>
          <w:p>
            <w:r>
              <w:t>1.0</w:t>
            </w:r>
          </w:p>
        </w:tc>
      </w:tr>
      <w:tr>
        <w:tc>
          <w:tcPr>
            <w:tcW w:type="dxa" w:w="5043"/>
            <w:shd w:fill="D9EAF7"/>
            <w:tcMar>
              <w:top w:w="80" w:type="dxa"/>
              <w:start w:w="80" w:type="dxa"/>
              <w:bottom w:w="80" w:type="dxa"/>
              <w:end w:w="80" w:type="dxa"/>
            </w:tcMar>
          </w:tcPr>
          <w:p>
            <w:r>
              <w:rPr>
                <w:b/>
              </w:rPr>
              <w:t>Ngày phát hành</w:t>
            </w:r>
          </w:p>
        </w:tc>
        <w:tc>
          <w:tcPr>
            <w:tcW w:type="dxa" w:w="5043"/>
            <w:tcMar>
              <w:top w:w="80" w:type="dxa"/>
              <w:start w:w="80" w:type="dxa"/>
              <w:bottom w:w="80" w:type="dxa"/>
              <w:end w:w="80" w:type="dxa"/>
            </w:tcMar>
          </w:tcPr>
          <w:p>
            <w:r>
              <w:t>03/08/2026</w:t>
            </w:r>
          </w:p>
        </w:tc>
      </w:tr>
      <w:tr>
        <w:tc>
          <w:tcPr>
            <w:tcW w:type="dxa" w:w="5043"/>
            <w:shd w:fill="D9EAF7"/>
            <w:tcMar>
              <w:top w:w="80" w:type="dxa"/>
              <w:start w:w="80" w:type="dxa"/>
              <w:bottom w:w="80" w:type="dxa"/>
              <w:end w:w="80" w:type="dxa"/>
            </w:tcMar>
          </w:tcPr>
          <w:p>
            <w:r>
              <w:rPr>
                <w:b/>
              </w:rPr>
              <w:t>Nguồn phân tích</w:t>
            </w:r>
          </w:p>
        </w:tc>
        <w:tc>
          <w:tcPr>
            <w:tcW w:type="dxa" w:w="5043"/>
            <w:tcMar>
              <w:top w:w="80" w:type="dxa"/>
              <w:start w:w="80" w:type="dxa"/>
              <w:bottom w:w="80" w:type="dxa"/>
              <w:end w:w="80" w:type="dxa"/>
            </w:tcMar>
          </w:tcPr>
          <w:p>
            <w:r>
              <w:t>crm_mysql80.sql (MySQL 8.0)</w:t>
            </w:r>
          </w:p>
        </w:tc>
      </w:tr>
      <w:tr>
        <w:tc>
          <w:tcPr>
            <w:tcW w:type="dxa" w:w="5043"/>
            <w:shd w:fill="D9EAF7"/>
            <w:tcMar>
              <w:top w:w="80" w:type="dxa"/>
              <w:start w:w="80" w:type="dxa"/>
              <w:bottom w:w="80" w:type="dxa"/>
              <w:end w:w="80" w:type="dxa"/>
            </w:tcMar>
          </w:tcPr>
          <w:p>
            <w:r>
              <w:rPr>
                <w:b/>
              </w:rPr>
              <w:t>SHA-256 nguồn</w:t>
            </w:r>
          </w:p>
        </w:tc>
        <w:tc>
          <w:tcPr>
            <w:tcW w:type="dxa" w:w="5043"/>
            <w:tcMar>
              <w:top w:w="80" w:type="dxa"/>
              <w:start w:w="80" w:type="dxa"/>
              <w:bottom w:w="80" w:type="dxa"/>
              <w:end w:w="80" w:type="dxa"/>
            </w:tcMar>
          </w:tcPr>
          <w:p>
            <w:r>
              <w:t>595c40a91c1b144001bc24befac4aef1…</w:t>
            </w:r>
          </w:p>
        </w:tc>
      </w:tr>
      <w:tr>
        <w:tc>
          <w:tcPr>
            <w:tcW w:type="dxa" w:w="5043"/>
            <w:shd w:fill="D9EAF7"/>
            <w:tcMar>
              <w:top w:w="80" w:type="dxa"/>
              <w:start w:w="80" w:type="dxa"/>
              <w:bottom w:w="80" w:type="dxa"/>
              <w:end w:w="80" w:type="dxa"/>
            </w:tcMar>
          </w:tcPr>
          <w:p>
            <w:r>
              <w:rPr>
                <w:b/>
              </w:rPr>
              <w:t>Trạng thái</w:t>
            </w:r>
          </w:p>
        </w:tc>
        <w:tc>
          <w:tcPr>
            <w:tcW w:type="dxa" w:w="5043"/>
            <w:tcMar>
              <w:top w:w="80" w:type="dxa"/>
              <w:start w:w="80" w:type="dxa"/>
              <w:bottom w:w="80" w:type="dxa"/>
              <w:end w:w="80" w:type="dxa"/>
            </w:tcMar>
          </w:tcPr>
          <w:p>
            <w:r>
              <w:t>Bản cơ sở để review và xác nhận nghiệp vụ</w:t>
            </w:r>
          </w:p>
        </w:tc>
      </w:tr>
    </w:tbl>
    <w:p/>
    <w:p>
      <w:pPr>
        <w:pStyle w:val="BANote"/>
        <w:jc w:val="center"/>
      </w:pPr>
      <w:r>
        <w:t>Quy ước: “DB-confirmed” là quy tắc được thể hiện bằng cấu trúc/constraint của SQL; “BA-inferred” là quy tắc vận hành suy luận và cần Product Owner/BA xác nhận trước triển khai.</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5043"/>
        <w:gridCol w:w="5043"/>
      </w:tblGrid>
      <w:tr>
        <w:tc>
          <w:tcPr>
            <w:tcW w:type="dxa" w:w="2268"/>
            <w:shd w:fill="1F4E78"/>
            <w:vAlign w:val="center"/>
            <w:tcMar>
              <w:top w:w="80" w:type="dxa"/>
              <w:start w:w="80" w:type="dxa"/>
              <w:bottom w:w="80" w:type="dxa"/>
              <w:end w:w="80" w:type="dxa"/>
            </w:tcMar>
          </w:tcPr>
          <w:p>
            <w:r>
              <w:rPr>
                <w:b/>
                <w:color w:val="FFFFFF"/>
              </w:rPr>
              <w:t>Mục</w:t>
            </w:r>
          </w:p>
        </w:tc>
        <w:tc>
          <w:tcPr>
            <w:tcW w:type="dxa" w:w="7370"/>
            <w:shd w:fill="1F4E78"/>
            <w:vAlign w:val="center"/>
            <w:tcMar>
              <w:top w:w="80" w:type="dxa"/>
              <w:start w:w="80" w:type="dxa"/>
              <w:bottom w:w="80" w:type="dxa"/>
              <w:end w:w="80" w:type="dxa"/>
            </w:tcMar>
          </w:tcPr>
          <w:p>
            <w:r>
              <w:rPr>
                <w:b/>
                <w:color w:val="FFFFFF"/>
              </w:rPr>
              <w:t>Nội dung</w:t>
            </w:r>
          </w:p>
        </w:tc>
      </w:tr>
      <w:tr>
        <w:tc>
          <w:tcPr>
            <w:tcW w:type="dxa" w:w="2268"/>
            <w:vAlign w:val="top"/>
            <w:tcMar>
              <w:top w:w="80" w:type="dxa"/>
              <w:start w:w="80" w:type="dxa"/>
              <w:bottom w:w="80" w:type="dxa"/>
              <w:end w:w="80" w:type="dxa"/>
            </w:tcMar>
          </w:tcPr>
          <w:p>
            <w:r>
              <w:rPr>
                <w:sz w:val="18"/>
              </w:rPr>
              <w:t>Mục đích</w:t>
            </w:r>
          </w:p>
        </w:tc>
        <w:tc>
          <w:tcPr>
            <w:tcW w:type="dxa" w:w="7370"/>
            <w:vAlign w:val="top"/>
            <w:tcMar>
              <w:top w:w="80" w:type="dxa"/>
              <w:start w:w="80" w:type="dxa"/>
              <w:bottom w:w="80" w:type="dxa"/>
              <w:end w:w="80" w:type="dxa"/>
            </w:tcMar>
          </w:tcPr>
          <w:p>
            <w:r>
              <w:rPr>
                <w:sz w:val="18"/>
              </w:rPr>
              <w:t>Chuyển cấu trúc dữ liệu CRM thành ngôn ngữ nghiệp vụ để BA, Product Owner, QA và Development cùng review.</w:t>
            </w:r>
          </w:p>
        </w:tc>
      </w:tr>
      <w:tr>
        <w:tc>
          <w:tcPr>
            <w:tcW w:type="dxa" w:w="2268"/>
            <w:vAlign w:val="top"/>
            <w:tcMar>
              <w:top w:w="80" w:type="dxa"/>
              <w:start w:w="80" w:type="dxa"/>
              <w:bottom w:w="80" w:type="dxa"/>
              <w:end w:w="80" w:type="dxa"/>
            </w:tcMar>
          </w:tcPr>
          <w:p>
            <w:r>
              <w:rPr>
                <w:sz w:val="18"/>
              </w:rPr>
              <w:t>Phạm vi nguồn</w:t>
            </w:r>
          </w:p>
        </w:tc>
        <w:tc>
          <w:tcPr>
            <w:tcW w:type="dxa" w:w="7370"/>
            <w:vAlign w:val="top"/>
            <w:tcMar>
              <w:top w:w="80" w:type="dxa"/>
              <w:start w:w="80" w:type="dxa"/>
              <w:bottom w:w="80" w:type="dxa"/>
              <w:end w:w="80" w:type="dxa"/>
            </w:tcMar>
          </w:tcPr>
          <w:p>
            <w:r>
              <w:rPr>
                <w:sz w:val="18"/>
              </w:rPr>
              <w:t>66 bảng, 42 trigger cập nhật audit fields, 4 function, 3 procedure và 1 view trong crm_mysql80.sql.</w:t>
            </w:r>
          </w:p>
        </w:tc>
      </w:tr>
      <w:tr>
        <w:tc>
          <w:tcPr>
            <w:tcW w:type="dxa" w:w="2268"/>
            <w:vAlign w:val="top"/>
            <w:tcMar>
              <w:top w:w="80" w:type="dxa"/>
              <w:start w:w="80" w:type="dxa"/>
              <w:bottom w:w="80" w:type="dxa"/>
              <w:end w:w="80" w:type="dxa"/>
            </w:tcMar>
          </w:tcPr>
          <w:p>
            <w:r>
              <w:rPr>
                <w:sz w:val="18"/>
              </w:rPr>
              <w:t>Mức độ chắc chắn</w:t>
            </w:r>
          </w:p>
        </w:tc>
        <w:tc>
          <w:tcPr>
            <w:tcW w:type="dxa" w:w="7370"/>
            <w:vAlign w:val="top"/>
            <w:tcMar>
              <w:top w:w="80" w:type="dxa"/>
              <w:start w:w="80" w:type="dxa"/>
              <w:bottom w:w="80" w:type="dxa"/>
              <w:end w:w="80" w:type="dxa"/>
            </w:tcMar>
          </w:tcPr>
          <w:p>
            <w:r>
              <w:rPr>
                <w:sz w:val="18"/>
              </w:rPr>
              <w:t>Constraint/foreign key/enum được coi là xác nhận kỹ thuật; luồng chuyển trạng thái và vai trò chuẩn là đề xuất BA.</w:t>
            </w:r>
          </w:p>
        </w:tc>
      </w:tr>
      <w:tr>
        <w:tc>
          <w:tcPr>
            <w:tcW w:type="dxa" w:w="2268"/>
            <w:vAlign w:val="top"/>
            <w:tcMar>
              <w:top w:w="80" w:type="dxa"/>
              <w:start w:w="80" w:type="dxa"/>
              <w:bottom w:w="80" w:type="dxa"/>
              <w:end w:w="80" w:type="dxa"/>
            </w:tcMar>
          </w:tcPr>
          <w:p>
            <w:r>
              <w:rPr>
                <w:sz w:val="18"/>
              </w:rPr>
              <w:t>Cách sử dụng</w:t>
            </w:r>
          </w:p>
        </w:tc>
        <w:tc>
          <w:tcPr>
            <w:tcW w:type="dxa" w:w="7370"/>
            <w:vAlign w:val="top"/>
            <w:tcMar>
              <w:top w:w="80" w:type="dxa"/>
              <w:start w:w="80" w:type="dxa"/>
              <w:bottom w:w="80" w:type="dxa"/>
              <w:end w:w="80" w:type="dxa"/>
            </w:tcMar>
          </w:tcPr>
          <w:p>
            <w:r>
              <w:rPr>
                <w:sz w:val="18"/>
              </w:rPr>
              <w:t>Dùng BRD để chốt phạm vi, FSD để viết story/test case, Rules/RBAC để chốt rule và quyền, workbook để truy vết dữ liệu.</w:t>
            </w:r>
          </w:p>
        </w:tc>
      </w:tr>
      <w:tr>
        <w:tc>
          <w:tcPr>
            <w:tcW w:type="dxa" w:w="2268"/>
            <w:vAlign w:val="top"/>
            <w:tcMar>
              <w:top w:w="80" w:type="dxa"/>
              <w:start w:w="80" w:type="dxa"/>
              <w:bottom w:w="80" w:type="dxa"/>
              <w:end w:w="80" w:type="dxa"/>
            </w:tcMar>
          </w:tcPr>
          <w:p>
            <w:r>
              <w:rPr>
                <w:sz w:val="18"/>
              </w:rPr>
              <w:t>Không bao gồm</w:t>
            </w:r>
          </w:p>
        </w:tc>
        <w:tc>
          <w:tcPr>
            <w:tcW w:type="dxa" w:w="7370"/>
            <w:vAlign w:val="top"/>
            <w:tcMar>
              <w:top w:w="80" w:type="dxa"/>
              <w:start w:w="80" w:type="dxa"/>
              <w:bottom w:w="80" w:type="dxa"/>
              <w:end w:w="80" w:type="dxa"/>
            </w:tcMar>
          </w:tcPr>
          <w:p>
            <w:r>
              <w:rPr>
                <w:sz w:val="18"/>
              </w:rPr>
              <w:t>Thiết kế UI chi tiết, API contract, kiến trúc triển khai và source code.</w:t>
            </w:r>
          </w:p>
        </w:tc>
      </w:tr>
    </w:tbl>
    <w:p/>
    <w:p>
      <w:pPr>
        <w:pStyle w:val="Heading1"/>
      </w:pPr>
      <w:r>
        <w:t>1. Tóm tắt điều hành</w:t>
      </w:r>
    </w:p>
    <w:p>
      <w:r>
        <w:t>Hệ thống được mô hình hóa là CRM đa tenant phục vụ quản lý toàn bộ vòng đời từ thu hút lead, chuyển đổi thành khách hàng, quản lý cơ hội, báo giá, đơn hàng, hợp đồng, chiến dịch marketing, chăm sóc khách hàng, quyền riêng tư và tích hợp. Thiết kế dữ liệu ưu tiên khả năng truy vết, phân tách tenant, lịch sử trạng thái và mở rộng theo module.</w:t>
      </w:r>
    </w:p>
    <w:tbl>
      <w:tblPr>
        <w:tblStyle w:val="TableGrid"/>
        <w:tblW w:type="auto" w:w="0"/>
        <w:tblLook w:firstColumn="1" w:firstRow="1" w:lastColumn="0" w:lastRow="0" w:noHBand="0" w:noVBand="1" w:val="04A0"/>
      </w:tblPr>
      <w:tblGrid>
        <w:gridCol w:w="10086"/>
      </w:tblGrid>
      <w:tr>
        <w:tc>
          <w:tcPr>
            <w:tcW w:type="dxa" w:w="10086"/>
            <w:shd w:fill="EAF2F8"/>
            <w:tcMar>
              <w:top w:w="120" w:type="dxa"/>
              <w:start w:w="120" w:type="dxa"/>
              <w:bottom w:w="120" w:type="dxa"/>
              <w:end w:w="120" w:type="dxa"/>
            </w:tcMar>
          </w:tcPr>
          <w:p>
            <w:r>
              <w:rPr>
                <w:b/>
              </w:rPr>
              <w:t xml:space="preserve">Kết luận phân tích: </w:t>
            </w:r>
            <w:r>
              <w:t>Schema không chỉ là CRM bán hàng cơ bản; đây là nền tảng CRM doanh nghiệp gồm Sales, Marketing, Service, Privacy, Integration và Audit. BA nên triển khai theo modular monolith/giai đoạn, nhưng duy trì một mô hình tenant và identity thống nhất.</w:t>
            </w:r>
          </w:p>
        </w:tc>
      </w:tr>
    </w:tbl>
    <w:p/>
    <w:p>
      <w:pPr>
        <w:pStyle w:val="Heading1"/>
      </w:pPr>
      <w:r>
        <w:t>2. Mục tiêu kinh doanh</w:t>
      </w:r>
    </w:p>
    <w:p>
      <w:pPr>
        <w:pStyle w:val="ListBullet"/>
      </w:pPr>
      <w:r>
        <w:t>Tạo một hồ sơ 360 độ thống nhất cho account, contact và toàn bộ tương tác liên quan.</w:t>
      </w:r>
    </w:p>
    <w:p>
      <w:pPr>
        <w:pStyle w:val="ListBullet"/>
      </w:pPr>
      <w:r>
        <w:t>Chuẩn hóa quy trình lead-to-opportunity và đo lường conversion, aging, forecast.</w:t>
      </w:r>
    </w:p>
    <w:p>
      <w:pPr>
        <w:pStyle w:val="ListBullet"/>
      </w:pPr>
      <w:r>
        <w:t>Quản lý quy trình thương mại từ báo giá đến đơn hàng và hợp đồng với snapshot dữ liệu.</w:t>
      </w:r>
    </w:p>
    <w:p>
      <w:pPr>
        <w:pStyle w:val="ListBullet"/>
      </w:pPr>
      <w:r>
        <w:t>Kết nối Marketing và Customer Service với cùng dữ liệu khách hàng.</w:t>
      </w:r>
    </w:p>
    <w:p>
      <w:pPr>
        <w:pStyle w:val="ListBullet"/>
      </w:pPr>
      <w:r>
        <w:t>Hỗ trợ quyền riêng tư, lưu giữ dữ liệu, audit và truy vết truy cập nhạy cảm.</w:t>
      </w:r>
    </w:p>
    <w:p>
      <w:pPr>
        <w:pStyle w:val="ListBullet"/>
      </w:pPr>
      <w:r>
        <w:t>Cho phép tích hợp đáng tin cậy qua outbox, webhook, import và idempotency.</w:t>
      </w:r>
    </w:p>
    <w:p>
      <w:pPr>
        <w:pStyle w:val="ListBullet"/>
      </w:pPr>
      <w:r>
        <w:t>Cho phép nhiều tổ chức dùng chung nền tảng nhưng dữ liệu và quyền tách biệt tuyệt đối theo tenant.</w:t>
      </w:r>
    </w:p>
    <w:p>
      <w:pPr>
        <w:pStyle w:val="Heading1"/>
      </w:pPr>
      <w:r>
        <w:t>3. Phạm vi nghiệp vụ</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417"/>
            <w:shd w:fill="1F4E78"/>
            <w:vAlign w:val="center"/>
            <w:tcMar>
              <w:top w:w="80" w:type="dxa"/>
              <w:start w:w="80" w:type="dxa"/>
              <w:bottom w:w="80" w:type="dxa"/>
              <w:end w:w="80" w:type="dxa"/>
            </w:tcMar>
          </w:tcPr>
          <w:p>
            <w:r>
              <w:rPr>
                <w:b/>
                <w:color w:val="FFFFFF"/>
              </w:rPr>
              <w:t>Mã module</w:t>
            </w:r>
          </w:p>
        </w:tc>
        <w:tc>
          <w:tcPr>
            <w:tcW w:type="dxa" w:w="2268"/>
            <w:shd w:fill="1F4E78"/>
            <w:vAlign w:val="center"/>
            <w:tcMar>
              <w:top w:w="80" w:type="dxa"/>
              <w:start w:w="80" w:type="dxa"/>
              <w:bottom w:w="80" w:type="dxa"/>
              <w:end w:w="80" w:type="dxa"/>
            </w:tcMar>
          </w:tcPr>
          <w:p>
            <w:r>
              <w:rPr>
                <w:b/>
                <w:color w:val="FFFFFF"/>
              </w:rPr>
              <w:t>Tên nghiệp vụ</w:t>
            </w:r>
          </w:p>
        </w:tc>
        <w:tc>
          <w:tcPr>
            <w:tcW w:type="dxa" w:w="5102"/>
            <w:shd w:fill="1F4E78"/>
            <w:vAlign w:val="center"/>
            <w:tcMar>
              <w:top w:w="80" w:type="dxa"/>
              <w:start w:w="80" w:type="dxa"/>
              <w:bottom w:w="80" w:type="dxa"/>
              <w:end w:w="80" w:type="dxa"/>
            </w:tcMar>
          </w:tcPr>
          <w:p>
            <w:r>
              <w:rPr>
                <w:b/>
                <w:color w:val="FFFFFF"/>
              </w:rPr>
              <w:t>Phạm vi</w:t>
            </w:r>
          </w:p>
        </w:tc>
        <w:tc>
          <w:tcPr>
            <w:tcW w:type="dxa" w:w="850"/>
            <w:shd w:fill="1F4E78"/>
            <w:vAlign w:val="center"/>
            <w:tcMar>
              <w:top w:w="80" w:type="dxa"/>
              <w:start w:w="80" w:type="dxa"/>
              <w:bottom w:w="80" w:type="dxa"/>
              <w:end w:w="80" w:type="dxa"/>
            </w:tcMar>
          </w:tcPr>
          <w:p>
            <w:r>
              <w:rPr>
                <w:b/>
                <w:color w:val="FFFFFF"/>
              </w:rPr>
              <w:t>Số bảng</w:t>
            </w:r>
          </w:p>
        </w:tc>
      </w:tr>
      <w:tr>
        <w:tc>
          <w:tcPr>
            <w:tcW w:type="dxa" w:w="1417"/>
            <w:vAlign w:val="top"/>
            <w:tcMar>
              <w:top w:w="80" w:type="dxa"/>
              <w:start w:w="80" w:type="dxa"/>
              <w:bottom w:w="80" w:type="dxa"/>
              <w:end w:w="80" w:type="dxa"/>
            </w:tcMar>
          </w:tcPr>
          <w:p>
            <w:r>
              <w:rPr>
                <w:sz w:val="16"/>
              </w:rPr>
              <w:t>PLATFORM</w:t>
            </w:r>
          </w:p>
        </w:tc>
        <w:tc>
          <w:tcPr>
            <w:tcW w:type="dxa" w:w="2268"/>
            <w:vAlign w:val="top"/>
            <w:tcMar>
              <w:top w:w="80" w:type="dxa"/>
              <w:start w:w="80" w:type="dxa"/>
              <w:bottom w:w="80" w:type="dxa"/>
              <w:end w:w="80" w:type="dxa"/>
            </w:tcMar>
          </w:tcPr>
          <w:p>
            <w:r>
              <w:rPr>
                <w:sz w:val="16"/>
              </w:rPr>
              <w:t>Nền tảng &amp; phân quyền</w:t>
            </w:r>
          </w:p>
        </w:tc>
        <w:tc>
          <w:tcPr>
            <w:tcW w:type="dxa" w:w="5102"/>
            <w:vAlign w:val="top"/>
            <w:tcMar>
              <w:top w:w="80" w:type="dxa"/>
              <w:start w:w="80" w:type="dxa"/>
              <w:bottom w:w="80" w:type="dxa"/>
              <w:end w:w="80" w:type="dxa"/>
            </w:tcMar>
          </w:tcPr>
          <w:p>
            <w:r>
              <w:rPr>
                <w:sz w:val="16"/>
              </w:rPr>
              <w:t>Quản lý tenant, người dùng, thành viên, đội nhóm, vai trò, quyền và phạm vi dữ liệu.</w:t>
            </w:r>
          </w:p>
        </w:tc>
        <w:tc>
          <w:tcPr>
            <w:tcW w:type="dxa" w:w="850"/>
            <w:vAlign w:val="top"/>
            <w:tcMar>
              <w:top w:w="80" w:type="dxa"/>
              <w:start w:w="80" w:type="dxa"/>
              <w:bottom w:w="80" w:type="dxa"/>
              <w:end w:w="80" w:type="dxa"/>
            </w:tcMar>
          </w:tcPr>
          <w:p>
            <w:r>
              <w:rPr>
                <w:sz w:val="16"/>
              </w:rPr>
              <w:t>12</w:t>
            </w:r>
          </w:p>
        </w:tc>
      </w:tr>
      <w:tr>
        <w:tc>
          <w:tcPr>
            <w:tcW w:type="dxa" w:w="1417"/>
            <w:vAlign w:val="top"/>
            <w:tcMar>
              <w:top w:w="80" w:type="dxa"/>
              <w:start w:w="80" w:type="dxa"/>
              <w:bottom w:w="80" w:type="dxa"/>
              <w:end w:w="80" w:type="dxa"/>
            </w:tcMar>
          </w:tcPr>
          <w:p>
            <w:r>
              <w:rPr>
                <w:sz w:val="16"/>
              </w:rPr>
              <w:t>CRM</w:t>
            </w:r>
          </w:p>
        </w:tc>
        <w:tc>
          <w:tcPr>
            <w:tcW w:type="dxa" w:w="2268"/>
            <w:vAlign w:val="top"/>
            <w:tcMar>
              <w:top w:w="80" w:type="dxa"/>
              <w:start w:w="80" w:type="dxa"/>
              <w:bottom w:w="80" w:type="dxa"/>
              <w:end w:w="80" w:type="dxa"/>
            </w:tcMar>
          </w:tcPr>
          <w:p>
            <w:r>
              <w:rPr>
                <w:sz w:val="16"/>
              </w:rPr>
              <w:t>CRM lõi</w:t>
            </w:r>
          </w:p>
        </w:tc>
        <w:tc>
          <w:tcPr>
            <w:tcW w:type="dxa" w:w="5102"/>
            <w:vAlign w:val="top"/>
            <w:tcMar>
              <w:top w:w="80" w:type="dxa"/>
              <w:start w:w="80" w:type="dxa"/>
              <w:bottom w:w="80" w:type="dxa"/>
              <w:end w:w="80" w:type="dxa"/>
            </w:tcMar>
          </w:tcPr>
          <w:p>
            <w:r>
              <w:rPr>
                <w:sz w:val="16"/>
              </w:rPr>
              <w:t>Quản lý khách hàng, liên hệ, lead, cơ hội, hoạt động, ghi chú, thẻ và trường tùy chỉnh.</w:t>
            </w:r>
          </w:p>
        </w:tc>
        <w:tc>
          <w:tcPr>
            <w:tcW w:type="dxa" w:w="850"/>
            <w:vAlign w:val="top"/>
            <w:tcMar>
              <w:top w:w="80" w:type="dxa"/>
              <w:start w:w="80" w:type="dxa"/>
              <w:bottom w:w="80" w:type="dxa"/>
              <w:end w:w="80" w:type="dxa"/>
            </w:tcMar>
          </w:tcPr>
          <w:p>
            <w:r>
              <w:rPr>
                <w:sz w:val="16"/>
              </w:rPr>
              <w:t>25</w:t>
            </w:r>
          </w:p>
        </w:tc>
      </w:tr>
      <w:tr>
        <w:tc>
          <w:tcPr>
            <w:tcW w:type="dxa" w:w="1417"/>
            <w:vAlign w:val="top"/>
            <w:tcMar>
              <w:top w:w="80" w:type="dxa"/>
              <w:start w:w="80" w:type="dxa"/>
              <w:bottom w:w="80" w:type="dxa"/>
              <w:end w:w="80" w:type="dxa"/>
            </w:tcMar>
          </w:tcPr>
          <w:p>
            <w:r>
              <w:rPr>
                <w:sz w:val="16"/>
              </w:rPr>
              <w:t>CATALOG</w:t>
            </w:r>
          </w:p>
        </w:tc>
        <w:tc>
          <w:tcPr>
            <w:tcW w:type="dxa" w:w="2268"/>
            <w:vAlign w:val="top"/>
            <w:tcMar>
              <w:top w:w="80" w:type="dxa"/>
              <w:start w:w="80" w:type="dxa"/>
              <w:bottom w:w="80" w:type="dxa"/>
              <w:end w:w="80" w:type="dxa"/>
            </w:tcMar>
          </w:tcPr>
          <w:p>
            <w:r>
              <w:rPr>
                <w:sz w:val="16"/>
              </w:rPr>
              <w:t>Danh mục sản phẩm &amp; giá</w:t>
            </w:r>
          </w:p>
        </w:tc>
        <w:tc>
          <w:tcPr>
            <w:tcW w:type="dxa" w:w="5102"/>
            <w:vAlign w:val="top"/>
            <w:tcMar>
              <w:top w:w="80" w:type="dxa"/>
              <w:start w:w="80" w:type="dxa"/>
              <w:bottom w:w="80" w:type="dxa"/>
              <w:end w:w="80" w:type="dxa"/>
            </w:tcMar>
          </w:tcPr>
          <w:p>
            <w:r>
              <w:rPr>
                <w:sz w:val="16"/>
              </w:rPr>
              <w:t>Quản lý danh mục sản phẩm, sản phẩm, bảng giá và mức giá theo thời gian.</w:t>
            </w:r>
          </w:p>
        </w:tc>
        <w:tc>
          <w:tcPr>
            <w:tcW w:type="dxa" w:w="850"/>
            <w:vAlign w:val="top"/>
            <w:tcMar>
              <w:top w:w="80" w:type="dxa"/>
              <w:start w:w="80" w:type="dxa"/>
              <w:bottom w:w="80" w:type="dxa"/>
              <w:end w:w="80" w:type="dxa"/>
            </w:tcMar>
          </w:tcPr>
          <w:p>
            <w:r>
              <w:rPr>
                <w:sz w:val="16"/>
              </w:rPr>
              <w:t>4</w:t>
            </w:r>
          </w:p>
        </w:tc>
      </w:tr>
      <w:tr>
        <w:tc>
          <w:tcPr>
            <w:tcW w:type="dxa" w:w="1417"/>
            <w:vAlign w:val="top"/>
            <w:tcMar>
              <w:top w:w="80" w:type="dxa"/>
              <w:start w:w="80" w:type="dxa"/>
              <w:bottom w:w="80" w:type="dxa"/>
              <w:end w:w="80" w:type="dxa"/>
            </w:tcMar>
          </w:tcPr>
          <w:p>
            <w:r>
              <w:rPr>
                <w:sz w:val="16"/>
              </w:rPr>
              <w:t>SALES</w:t>
            </w:r>
          </w:p>
        </w:tc>
        <w:tc>
          <w:tcPr>
            <w:tcW w:type="dxa" w:w="2268"/>
            <w:vAlign w:val="top"/>
            <w:tcMar>
              <w:top w:w="80" w:type="dxa"/>
              <w:start w:w="80" w:type="dxa"/>
              <w:bottom w:w="80" w:type="dxa"/>
              <w:end w:w="80" w:type="dxa"/>
            </w:tcMar>
          </w:tcPr>
          <w:p>
            <w:r>
              <w:rPr>
                <w:sz w:val="16"/>
              </w:rPr>
              <w:t>Bán hàng</w:t>
            </w:r>
          </w:p>
        </w:tc>
        <w:tc>
          <w:tcPr>
            <w:tcW w:type="dxa" w:w="5102"/>
            <w:vAlign w:val="top"/>
            <w:tcMar>
              <w:top w:w="80" w:type="dxa"/>
              <w:start w:w="80" w:type="dxa"/>
              <w:bottom w:w="80" w:type="dxa"/>
              <w:end w:w="80" w:type="dxa"/>
            </w:tcMar>
          </w:tcPr>
          <w:p>
            <w:r>
              <w:rPr>
                <w:sz w:val="16"/>
              </w:rPr>
              <w:t>Quản lý báo giá, phê duyệt, đơn hàng và hợp đồng.</w:t>
            </w:r>
          </w:p>
        </w:tc>
        <w:tc>
          <w:tcPr>
            <w:tcW w:type="dxa" w:w="850"/>
            <w:vAlign w:val="top"/>
            <w:tcMar>
              <w:top w:w="80" w:type="dxa"/>
              <w:start w:w="80" w:type="dxa"/>
              <w:bottom w:w="80" w:type="dxa"/>
              <w:end w:w="80" w:type="dxa"/>
            </w:tcMar>
          </w:tcPr>
          <w:p>
            <w:r>
              <w:rPr>
                <w:sz w:val="16"/>
              </w:rPr>
              <w:t>6</w:t>
            </w:r>
          </w:p>
        </w:tc>
      </w:tr>
      <w:tr>
        <w:tc>
          <w:tcPr>
            <w:tcW w:type="dxa" w:w="1417"/>
            <w:vAlign w:val="top"/>
            <w:tcMar>
              <w:top w:w="80" w:type="dxa"/>
              <w:start w:w="80" w:type="dxa"/>
              <w:bottom w:w="80" w:type="dxa"/>
              <w:end w:w="80" w:type="dxa"/>
            </w:tcMar>
          </w:tcPr>
          <w:p>
            <w:r>
              <w:rPr>
                <w:sz w:val="16"/>
              </w:rPr>
              <w:t>MARKETING</w:t>
            </w:r>
          </w:p>
        </w:tc>
        <w:tc>
          <w:tcPr>
            <w:tcW w:type="dxa" w:w="2268"/>
            <w:vAlign w:val="top"/>
            <w:tcMar>
              <w:top w:w="80" w:type="dxa"/>
              <w:start w:w="80" w:type="dxa"/>
              <w:bottom w:w="80" w:type="dxa"/>
              <w:end w:w="80" w:type="dxa"/>
            </w:tcMar>
          </w:tcPr>
          <w:p>
            <w:r>
              <w:rPr>
                <w:sz w:val="16"/>
              </w:rPr>
              <w:t>Marketing</w:t>
            </w:r>
          </w:p>
        </w:tc>
        <w:tc>
          <w:tcPr>
            <w:tcW w:type="dxa" w:w="5102"/>
            <w:vAlign w:val="top"/>
            <w:tcMar>
              <w:top w:w="80" w:type="dxa"/>
              <w:start w:w="80" w:type="dxa"/>
              <w:bottom w:w="80" w:type="dxa"/>
              <w:end w:w="80" w:type="dxa"/>
            </w:tcMar>
          </w:tcPr>
          <w:p>
            <w:r>
              <w:rPr>
                <w:sz w:val="16"/>
              </w:rPr>
              <w:t>Quản lý chiến dịch và thành viên chiến dịch.</w:t>
            </w:r>
          </w:p>
        </w:tc>
        <w:tc>
          <w:tcPr>
            <w:tcW w:type="dxa" w:w="850"/>
            <w:vAlign w:val="top"/>
            <w:tcMar>
              <w:top w:w="80" w:type="dxa"/>
              <w:start w:w="80" w:type="dxa"/>
              <w:bottom w:w="80" w:type="dxa"/>
              <w:end w:w="80" w:type="dxa"/>
            </w:tcMar>
          </w:tcPr>
          <w:p>
            <w:r>
              <w:rPr>
                <w:sz w:val="16"/>
              </w:rPr>
              <w:t>2</w:t>
            </w:r>
          </w:p>
        </w:tc>
      </w:tr>
      <w:tr>
        <w:tc>
          <w:tcPr>
            <w:tcW w:type="dxa" w:w="1417"/>
            <w:vAlign w:val="top"/>
            <w:tcMar>
              <w:top w:w="80" w:type="dxa"/>
              <w:start w:w="80" w:type="dxa"/>
              <w:bottom w:w="80" w:type="dxa"/>
              <w:end w:w="80" w:type="dxa"/>
            </w:tcMar>
          </w:tcPr>
          <w:p>
            <w:r>
              <w:rPr>
                <w:sz w:val="16"/>
              </w:rPr>
              <w:t>SERVICE</w:t>
            </w:r>
          </w:p>
        </w:tc>
        <w:tc>
          <w:tcPr>
            <w:tcW w:type="dxa" w:w="2268"/>
            <w:vAlign w:val="top"/>
            <w:tcMar>
              <w:top w:w="80" w:type="dxa"/>
              <w:start w:w="80" w:type="dxa"/>
              <w:bottom w:w="80" w:type="dxa"/>
              <w:end w:w="80" w:type="dxa"/>
            </w:tcMar>
          </w:tcPr>
          <w:p>
            <w:r>
              <w:rPr>
                <w:sz w:val="16"/>
              </w:rPr>
              <w:t>Chăm sóc khách hàng</w:t>
            </w:r>
          </w:p>
        </w:tc>
        <w:tc>
          <w:tcPr>
            <w:tcW w:type="dxa" w:w="5102"/>
            <w:vAlign w:val="top"/>
            <w:tcMar>
              <w:top w:w="80" w:type="dxa"/>
              <w:start w:w="80" w:type="dxa"/>
              <w:bottom w:w="80" w:type="dxa"/>
              <w:end w:w="80" w:type="dxa"/>
            </w:tcMar>
          </w:tcPr>
          <w:p>
            <w:r>
              <w:rPr>
                <w:sz w:val="16"/>
              </w:rPr>
              <w:t>Quản lý ticket, danh mục ticket, SLA, trao đổi và lịch sử sự kiện.</w:t>
            </w:r>
          </w:p>
        </w:tc>
        <w:tc>
          <w:tcPr>
            <w:tcW w:type="dxa" w:w="850"/>
            <w:vAlign w:val="top"/>
            <w:tcMar>
              <w:top w:w="80" w:type="dxa"/>
              <w:start w:w="80" w:type="dxa"/>
              <w:bottom w:w="80" w:type="dxa"/>
              <w:end w:w="80" w:type="dxa"/>
            </w:tcMar>
          </w:tcPr>
          <w:p>
            <w:r>
              <w:rPr>
                <w:sz w:val="16"/>
              </w:rPr>
              <w:t>5</w:t>
            </w:r>
          </w:p>
        </w:tc>
      </w:tr>
      <w:tr>
        <w:tc>
          <w:tcPr>
            <w:tcW w:type="dxa" w:w="1417"/>
            <w:vAlign w:val="top"/>
            <w:tcMar>
              <w:top w:w="80" w:type="dxa"/>
              <w:start w:w="80" w:type="dxa"/>
              <w:bottom w:w="80" w:type="dxa"/>
              <w:end w:w="80" w:type="dxa"/>
            </w:tcMar>
          </w:tcPr>
          <w:p>
            <w:r>
              <w:rPr>
                <w:sz w:val="16"/>
              </w:rPr>
              <w:t>PRIVACY</w:t>
            </w:r>
          </w:p>
        </w:tc>
        <w:tc>
          <w:tcPr>
            <w:tcW w:type="dxa" w:w="2268"/>
            <w:vAlign w:val="top"/>
            <w:tcMar>
              <w:top w:w="80" w:type="dxa"/>
              <w:start w:w="80" w:type="dxa"/>
              <w:bottom w:w="80" w:type="dxa"/>
              <w:end w:w="80" w:type="dxa"/>
            </w:tcMar>
          </w:tcPr>
          <w:p>
            <w:r>
              <w:rPr>
                <w:sz w:val="16"/>
              </w:rPr>
              <w:t>Quyền riêng tư</w:t>
            </w:r>
          </w:p>
        </w:tc>
        <w:tc>
          <w:tcPr>
            <w:tcW w:type="dxa" w:w="5102"/>
            <w:vAlign w:val="top"/>
            <w:tcMar>
              <w:top w:w="80" w:type="dxa"/>
              <w:start w:w="80" w:type="dxa"/>
              <w:bottom w:w="80" w:type="dxa"/>
              <w:end w:w="80" w:type="dxa"/>
            </w:tcMar>
          </w:tcPr>
          <w:p>
            <w:r>
              <w:rPr>
                <w:sz w:val="16"/>
              </w:rPr>
              <w:t>Quản lý consent, lưu giữ dữ liệu, yêu cầu chủ thể dữ liệu và legal hold.</w:t>
            </w:r>
          </w:p>
        </w:tc>
        <w:tc>
          <w:tcPr>
            <w:tcW w:type="dxa" w:w="850"/>
            <w:vAlign w:val="top"/>
            <w:tcMar>
              <w:top w:w="80" w:type="dxa"/>
              <w:start w:w="80" w:type="dxa"/>
              <w:bottom w:w="80" w:type="dxa"/>
              <w:end w:w="80" w:type="dxa"/>
            </w:tcMar>
          </w:tcPr>
          <w:p>
            <w:r>
              <w:rPr>
                <w:sz w:val="16"/>
              </w:rPr>
              <w:t>4</w:t>
            </w:r>
          </w:p>
        </w:tc>
      </w:tr>
      <w:tr>
        <w:tc>
          <w:tcPr>
            <w:tcW w:type="dxa" w:w="1417"/>
            <w:vAlign w:val="top"/>
            <w:tcMar>
              <w:top w:w="80" w:type="dxa"/>
              <w:start w:w="80" w:type="dxa"/>
              <w:bottom w:w="80" w:type="dxa"/>
              <w:end w:w="80" w:type="dxa"/>
            </w:tcMar>
          </w:tcPr>
          <w:p>
            <w:r>
              <w:rPr>
                <w:sz w:val="16"/>
              </w:rPr>
              <w:t>INTEGRATION</w:t>
            </w:r>
          </w:p>
        </w:tc>
        <w:tc>
          <w:tcPr>
            <w:tcW w:type="dxa" w:w="2268"/>
            <w:vAlign w:val="top"/>
            <w:tcMar>
              <w:top w:w="80" w:type="dxa"/>
              <w:start w:w="80" w:type="dxa"/>
              <w:bottom w:w="80" w:type="dxa"/>
              <w:end w:w="80" w:type="dxa"/>
            </w:tcMar>
          </w:tcPr>
          <w:p>
            <w:r>
              <w:rPr>
                <w:sz w:val="16"/>
              </w:rPr>
              <w:t>Tích hợp</w:t>
            </w:r>
          </w:p>
        </w:tc>
        <w:tc>
          <w:tcPr>
            <w:tcW w:type="dxa" w:w="5102"/>
            <w:vAlign w:val="top"/>
            <w:tcMar>
              <w:top w:w="80" w:type="dxa"/>
              <w:start w:w="80" w:type="dxa"/>
              <w:bottom w:w="80" w:type="dxa"/>
              <w:end w:w="80" w:type="dxa"/>
            </w:tcMar>
          </w:tcPr>
          <w:p>
            <w:r>
              <w:rPr>
                <w:sz w:val="16"/>
              </w:rPr>
              <w:t>Đồng bộ ID, outbox event, webhook, idempotency và import dữ liệu.</w:t>
            </w:r>
          </w:p>
        </w:tc>
        <w:tc>
          <w:tcPr>
            <w:tcW w:type="dxa" w:w="850"/>
            <w:vAlign w:val="top"/>
            <w:tcMar>
              <w:top w:w="80" w:type="dxa"/>
              <w:start w:w="80" w:type="dxa"/>
              <w:bottom w:w="80" w:type="dxa"/>
              <w:end w:w="80" w:type="dxa"/>
            </w:tcMar>
          </w:tcPr>
          <w:p>
            <w:r>
              <w:rPr>
                <w:sz w:val="16"/>
              </w:rPr>
              <w:t>6</w:t>
            </w:r>
          </w:p>
        </w:tc>
      </w:tr>
      <w:tr>
        <w:tc>
          <w:tcPr>
            <w:tcW w:type="dxa" w:w="1417"/>
            <w:vAlign w:val="top"/>
            <w:tcMar>
              <w:top w:w="80" w:type="dxa"/>
              <w:start w:w="80" w:type="dxa"/>
              <w:bottom w:w="80" w:type="dxa"/>
              <w:end w:w="80" w:type="dxa"/>
            </w:tcMar>
          </w:tcPr>
          <w:p>
            <w:r>
              <w:rPr>
                <w:sz w:val="16"/>
              </w:rPr>
              <w:t>AUDIT</w:t>
            </w:r>
          </w:p>
        </w:tc>
        <w:tc>
          <w:tcPr>
            <w:tcW w:type="dxa" w:w="2268"/>
            <w:vAlign w:val="top"/>
            <w:tcMar>
              <w:top w:w="80" w:type="dxa"/>
              <w:start w:w="80" w:type="dxa"/>
              <w:bottom w:w="80" w:type="dxa"/>
              <w:end w:w="80" w:type="dxa"/>
            </w:tcMar>
          </w:tcPr>
          <w:p>
            <w:r>
              <w:rPr>
                <w:sz w:val="16"/>
              </w:rPr>
              <w:t>Kiểm toán</w:t>
            </w:r>
          </w:p>
        </w:tc>
        <w:tc>
          <w:tcPr>
            <w:tcW w:type="dxa" w:w="5102"/>
            <w:vAlign w:val="top"/>
            <w:tcMar>
              <w:top w:w="80" w:type="dxa"/>
              <w:start w:w="80" w:type="dxa"/>
              <w:bottom w:w="80" w:type="dxa"/>
              <w:end w:w="80" w:type="dxa"/>
            </w:tcMar>
          </w:tcPr>
          <w:p>
            <w:r>
              <w:rPr>
                <w:sz w:val="16"/>
              </w:rPr>
              <w:t>Lưu lịch sử thay đổi và lịch sử truy cập dữ liệu nhạy cảm.</w:t>
            </w:r>
          </w:p>
        </w:tc>
        <w:tc>
          <w:tcPr>
            <w:tcW w:type="dxa" w:w="850"/>
            <w:vAlign w:val="top"/>
            <w:tcMar>
              <w:top w:w="80" w:type="dxa"/>
              <w:start w:w="80" w:type="dxa"/>
              <w:bottom w:w="80" w:type="dxa"/>
              <w:end w:w="80" w:type="dxa"/>
            </w:tcMar>
          </w:tcPr>
          <w:p>
            <w:r>
              <w:rPr>
                <w:sz w:val="16"/>
              </w:rPr>
              <w:t>2</w:t>
            </w:r>
          </w:p>
        </w:tc>
      </w:tr>
    </w:tbl>
    <w:p/>
    <w:p>
      <w:pPr>
        <w:jc w:val="center"/>
      </w:pPr>
      <w:r>
        <w:drawing>
          <wp:inline xmlns:a="http://schemas.openxmlformats.org/drawingml/2006/main" xmlns:pic="http://schemas.openxmlformats.org/drawingml/2006/picture">
            <wp:extent cx="6120000" cy="2980623"/>
            <wp:docPr id="1" name="Picture 1"/>
            <wp:cNvGraphicFramePr>
              <a:graphicFrameLocks noChangeAspect="1"/>
            </wp:cNvGraphicFramePr>
            <a:graphic>
              <a:graphicData uri="http://schemas.openxmlformats.org/drawingml/2006/picture">
                <pic:pic>
                  <pic:nvPicPr>
                    <pic:cNvPr id="0" name="module_map.png"/>
                    <pic:cNvPicPr/>
                  </pic:nvPicPr>
                  <pic:blipFill>
                    <a:blip r:embed="rId11"/>
                    <a:stretch>
                      <a:fillRect/>
                    </a:stretch>
                  </pic:blipFill>
                  <pic:spPr>
                    <a:xfrm>
                      <a:off x="0" y="0"/>
                      <a:ext cx="6120000" cy="2980623"/>
                    </a:xfrm>
                    <a:prstGeom prst="rect"/>
                  </pic:spPr>
                </pic:pic>
              </a:graphicData>
            </a:graphic>
          </wp:inline>
        </w:drawing>
      </w:r>
    </w:p>
    <w:p>
      <w:pPr>
        <w:pStyle w:val="BANote"/>
        <w:jc w:val="center"/>
      </w:pPr>
      <w:r>
        <w:t>Hình 1 - Bản đồ module và quan hệ phụ thuộc nghiệp vụ</w:t>
      </w:r>
    </w:p>
    <w:p>
      <w:pPr>
        <w:pStyle w:val="Heading1"/>
      </w:pPr>
      <w:r>
        <w:t>4. Phạm vi ngoài hệ thống</w:t>
      </w:r>
    </w:p>
    <w:p>
      <w:pPr>
        <w:pStyle w:val="ListBullet"/>
      </w:pPr>
      <w:r>
        <w:t>Kế toán tổng hợp, hóa đơn điện tử, thu tiền và đối soát tài chính đầy đủ.</w:t>
      </w:r>
    </w:p>
    <w:p>
      <w:pPr>
        <w:pStyle w:val="ListBullet"/>
      </w:pPr>
      <w:r>
        <w:t>Kho vận, tồn kho, mua hàng và logistics chi tiết.</w:t>
      </w:r>
    </w:p>
    <w:p>
      <w:pPr>
        <w:pStyle w:val="ListBullet"/>
      </w:pPr>
      <w:r>
        <w:t>Thiết kế nội dung email/SMS và hạ tầng gửi marketing chuyên dụng.</w:t>
      </w:r>
    </w:p>
    <w:p>
      <w:pPr>
        <w:pStyle w:val="ListBullet"/>
      </w:pPr>
      <w:r>
        <w:t>Quản lý tài liệu pháp lý vật lý; schema chỉ lưu document_reference/terms snapshot.</w:t>
      </w:r>
    </w:p>
    <w:p>
      <w:pPr>
        <w:pStyle w:val="ListBullet"/>
      </w:pPr>
      <w:r>
        <w:t>Thiết kế giao diện, mobile app và API contract cụ thể.</w:t>
      </w:r>
    </w:p>
    <w:p>
      <w:pPr>
        <w:pStyle w:val="ListBullet"/>
      </w:pPr>
      <w:r>
        <w:t>Quy tắc thuế theo từng quốc gia; database chỉ lưu tax category, rate và số tiền snapshot.</w:t>
      </w:r>
    </w:p>
    <w:p>
      <w:pPr>
        <w:pStyle w:val="Heading1"/>
      </w:pPr>
      <w:r>
        <w:t>5. Đối tượng tham gia</w:t>
      </w:r>
    </w:p>
    <w:tbl>
      <w:tblPr>
        <w:tblStyle w:val="TableGrid"/>
        <w:tblW w:type="auto" w:w="0"/>
        <w:jc w:val="center"/>
        <w:tblLook w:firstColumn="1" w:firstRow="1" w:lastColumn="0" w:lastRow="0" w:noHBand="0" w:noVBand="1" w:val="04A0"/>
      </w:tblPr>
      <w:tblGrid>
        <w:gridCol w:w="5043"/>
        <w:gridCol w:w="5043"/>
      </w:tblGrid>
      <w:tr>
        <w:tc>
          <w:tcPr>
            <w:tcW w:type="dxa" w:w="2835"/>
            <w:shd w:fill="1F4E78"/>
            <w:vAlign w:val="center"/>
            <w:tcMar>
              <w:top w:w="80" w:type="dxa"/>
              <w:start w:w="80" w:type="dxa"/>
              <w:bottom w:w="80" w:type="dxa"/>
              <w:end w:w="80" w:type="dxa"/>
            </w:tcMar>
          </w:tcPr>
          <w:p>
            <w:r>
              <w:rPr>
                <w:b/>
                <w:color w:val="FFFFFF"/>
              </w:rPr>
              <w:t>Actor</w:t>
            </w:r>
          </w:p>
        </w:tc>
        <w:tc>
          <w:tcPr>
            <w:tcW w:type="dxa" w:w="6803"/>
            <w:shd w:fill="1F4E78"/>
            <w:vAlign w:val="center"/>
            <w:tcMar>
              <w:top w:w="80" w:type="dxa"/>
              <w:start w:w="80" w:type="dxa"/>
              <w:bottom w:w="80" w:type="dxa"/>
              <w:end w:w="80" w:type="dxa"/>
            </w:tcMar>
          </w:tcPr>
          <w:p>
            <w:r>
              <w:rPr>
                <w:b/>
                <w:color w:val="FFFFFF"/>
              </w:rPr>
              <w:t>Trách nhiệm chính</w:t>
            </w:r>
          </w:p>
        </w:tc>
      </w:tr>
      <w:tr>
        <w:tc>
          <w:tcPr>
            <w:tcW w:type="dxa" w:w="2835"/>
            <w:vAlign w:val="top"/>
            <w:tcMar>
              <w:top w:w="80" w:type="dxa"/>
              <w:start w:w="80" w:type="dxa"/>
              <w:bottom w:w="80" w:type="dxa"/>
              <w:end w:w="80" w:type="dxa"/>
            </w:tcMar>
          </w:tcPr>
          <w:p>
            <w:r>
              <w:rPr>
                <w:sz w:val="18"/>
              </w:rPr>
              <w:t>Tenant Administrator</w:t>
            </w:r>
          </w:p>
        </w:tc>
        <w:tc>
          <w:tcPr>
            <w:tcW w:type="dxa" w:w="6803"/>
            <w:vAlign w:val="top"/>
            <w:tcMar>
              <w:top w:w="80" w:type="dxa"/>
              <w:start w:w="80" w:type="dxa"/>
              <w:bottom w:w="80" w:type="dxa"/>
              <w:end w:w="80" w:type="dxa"/>
            </w:tcMar>
          </w:tcPr>
          <w:p>
            <w:r>
              <w:rPr>
                <w:sz w:val="18"/>
              </w:rPr>
              <w:t>Quản trị cấu hình tenant, thành viên, vai trò, phạm vi dữ liệu và thiết lập chung.</w:t>
            </w:r>
          </w:p>
        </w:tc>
      </w:tr>
      <w:tr>
        <w:tc>
          <w:tcPr>
            <w:tcW w:type="dxa" w:w="2835"/>
            <w:vAlign w:val="top"/>
            <w:tcMar>
              <w:top w:w="80" w:type="dxa"/>
              <w:start w:w="80" w:type="dxa"/>
              <w:bottom w:w="80" w:type="dxa"/>
              <w:end w:w="80" w:type="dxa"/>
            </w:tcMar>
          </w:tcPr>
          <w:p>
            <w:r>
              <w:rPr>
                <w:sz w:val="18"/>
              </w:rPr>
              <w:t>Sales Manager</w:t>
            </w:r>
          </w:p>
        </w:tc>
        <w:tc>
          <w:tcPr>
            <w:tcW w:type="dxa" w:w="6803"/>
            <w:vAlign w:val="top"/>
            <w:tcMar>
              <w:top w:w="80" w:type="dxa"/>
              <w:start w:w="80" w:type="dxa"/>
              <w:bottom w:w="80" w:type="dxa"/>
              <w:end w:w="80" w:type="dxa"/>
            </w:tcMar>
          </w:tcPr>
          <w:p>
            <w:r>
              <w:rPr>
                <w:sz w:val="18"/>
              </w:rPr>
              <w:t>Quản lý pipeline, phân công lead/cơ hội, phê duyệt nghiệp vụ và theo dõi dự báo bán hàng.</w:t>
            </w:r>
          </w:p>
        </w:tc>
      </w:tr>
      <w:tr>
        <w:tc>
          <w:tcPr>
            <w:tcW w:type="dxa" w:w="2835"/>
            <w:vAlign w:val="top"/>
            <w:tcMar>
              <w:top w:w="80" w:type="dxa"/>
              <w:start w:w="80" w:type="dxa"/>
              <w:bottom w:w="80" w:type="dxa"/>
              <w:end w:w="80" w:type="dxa"/>
            </w:tcMar>
          </w:tcPr>
          <w:p>
            <w:r>
              <w:rPr>
                <w:sz w:val="18"/>
              </w:rPr>
              <w:t>Sales Representative</w:t>
            </w:r>
          </w:p>
        </w:tc>
        <w:tc>
          <w:tcPr>
            <w:tcW w:type="dxa" w:w="6803"/>
            <w:vAlign w:val="top"/>
            <w:tcMar>
              <w:top w:w="80" w:type="dxa"/>
              <w:start w:w="80" w:type="dxa"/>
              <w:bottom w:w="80" w:type="dxa"/>
              <w:end w:w="80" w:type="dxa"/>
            </w:tcMar>
          </w:tcPr>
          <w:p>
            <w:r>
              <w:rPr>
                <w:sz w:val="18"/>
              </w:rPr>
              <w:t>Quản lý account, contact, lead, cơ hội, hoạt động, báo giá và theo dõi đơn hàng.</w:t>
            </w:r>
          </w:p>
        </w:tc>
      </w:tr>
      <w:tr>
        <w:tc>
          <w:tcPr>
            <w:tcW w:type="dxa" w:w="2835"/>
            <w:vAlign w:val="top"/>
            <w:tcMar>
              <w:top w:w="80" w:type="dxa"/>
              <w:start w:w="80" w:type="dxa"/>
              <w:bottom w:w="80" w:type="dxa"/>
              <w:end w:w="80" w:type="dxa"/>
            </w:tcMar>
          </w:tcPr>
          <w:p>
            <w:r>
              <w:rPr>
                <w:sz w:val="18"/>
              </w:rPr>
              <w:t>Marketing Specialist</w:t>
            </w:r>
          </w:p>
        </w:tc>
        <w:tc>
          <w:tcPr>
            <w:tcW w:type="dxa" w:w="6803"/>
            <w:vAlign w:val="top"/>
            <w:tcMar>
              <w:top w:w="80" w:type="dxa"/>
              <w:start w:w="80" w:type="dxa"/>
              <w:bottom w:w="80" w:type="dxa"/>
              <w:end w:w="80" w:type="dxa"/>
            </w:tcMar>
          </w:tcPr>
          <w:p>
            <w:r>
              <w:rPr>
                <w:sz w:val="18"/>
              </w:rPr>
              <w:t>Quản lý chiến dịch, danh sách thành viên, nguồn lead và đo lường tương tác.</w:t>
            </w:r>
          </w:p>
        </w:tc>
      </w:tr>
      <w:tr>
        <w:tc>
          <w:tcPr>
            <w:tcW w:type="dxa" w:w="2835"/>
            <w:vAlign w:val="top"/>
            <w:tcMar>
              <w:top w:w="80" w:type="dxa"/>
              <w:start w:w="80" w:type="dxa"/>
              <w:bottom w:w="80" w:type="dxa"/>
              <w:end w:w="80" w:type="dxa"/>
            </w:tcMar>
          </w:tcPr>
          <w:p>
            <w:r>
              <w:rPr>
                <w:sz w:val="18"/>
              </w:rPr>
              <w:t>Product/Pricing Administrator</w:t>
            </w:r>
          </w:p>
        </w:tc>
        <w:tc>
          <w:tcPr>
            <w:tcW w:type="dxa" w:w="6803"/>
            <w:vAlign w:val="top"/>
            <w:tcMar>
              <w:top w:w="80" w:type="dxa"/>
              <w:start w:w="80" w:type="dxa"/>
              <w:bottom w:w="80" w:type="dxa"/>
              <w:end w:w="80" w:type="dxa"/>
            </w:tcMar>
          </w:tcPr>
          <w:p>
            <w:r>
              <w:rPr>
                <w:sz w:val="18"/>
              </w:rPr>
              <w:t>Quản lý danh mục sản phẩm, bảng giá và hiệu lực giá.</w:t>
            </w:r>
          </w:p>
        </w:tc>
      </w:tr>
      <w:tr>
        <w:tc>
          <w:tcPr>
            <w:tcW w:type="dxa" w:w="2835"/>
            <w:vAlign w:val="top"/>
            <w:tcMar>
              <w:top w:w="80" w:type="dxa"/>
              <w:start w:w="80" w:type="dxa"/>
              <w:bottom w:w="80" w:type="dxa"/>
              <w:end w:w="80" w:type="dxa"/>
            </w:tcMar>
          </w:tcPr>
          <w:p>
            <w:r>
              <w:rPr>
                <w:sz w:val="18"/>
              </w:rPr>
              <w:t>Support Manager</w:t>
            </w:r>
          </w:p>
        </w:tc>
        <w:tc>
          <w:tcPr>
            <w:tcW w:type="dxa" w:w="6803"/>
            <w:vAlign w:val="top"/>
            <w:tcMar>
              <w:top w:w="80" w:type="dxa"/>
              <w:start w:w="80" w:type="dxa"/>
              <w:bottom w:w="80" w:type="dxa"/>
              <w:end w:w="80" w:type="dxa"/>
            </w:tcMar>
          </w:tcPr>
          <w:p>
            <w:r>
              <w:rPr>
                <w:sz w:val="18"/>
              </w:rPr>
              <w:t>Quản lý category, SLA, phân công ticket và theo dõi chất lượng dịch vụ.</w:t>
            </w:r>
          </w:p>
        </w:tc>
      </w:tr>
      <w:tr>
        <w:tc>
          <w:tcPr>
            <w:tcW w:type="dxa" w:w="2835"/>
            <w:vAlign w:val="top"/>
            <w:tcMar>
              <w:top w:w="80" w:type="dxa"/>
              <w:start w:w="80" w:type="dxa"/>
              <w:bottom w:w="80" w:type="dxa"/>
              <w:end w:w="80" w:type="dxa"/>
            </w:tcMar>
          </w:tcPr>
          <w:p>
            <w:r>
              <w:rPr>
                <w:sz w:val="18"/>
              </w:rPr>
              <w:t>Support Agent</w:t>
            </w:r>
          </w:p>
        </w:tc>
        <w:tc>
          <w:tcPr>
            <w:tcW w:type="dxa" w:w="6803"/>
            <w:vAlign w:val="top"/>
            <w:tcMar>
              <w:top w:w="80" w:type="dxa"/>
              <w:start w:w="80" w:type="dxa"/>
              <w:bottom w:w="80" w:type="dxa"/>
              <w:end w:w="80" w:type="dxa"/>
            </w:tcMar>
          </w:tcPr>
          <w:p>
            <w:r>
              <w:rPr>
                <w:sz w:val="18"/>
              </w:rPr>
              <w:t>Tiếp nhận, xử lý, phản hồi và đóng ticket.</w:t>
            </w:r>
          </w:p>
        </w:tc>
      </w:tr>
      <w:tr>
        <w:tc>
          <w:tcPr>
            <w:tcW w:type="dxa" w:w="2835"/>
            <w:vAlign w:val="top"/>
            <w:tcMar>
              <w:top w:w="80" w:type="dxa"/>
              <w:start w:w="80" w:type="dxa"/>
              <w:bottom w:w="80" w:type="dxa"/>
              <w:end w:w="80" w:type="dxa"/>
            </w:tcMar>
          </w:tcPr>
          <w:p>
            <w:r>
              <w:rPr>
                <w:sz w:val="18"/>
              </w:rPr>
              <w:t>Legal/Privacy Officer</w:t>
            </w:r>
          </w:p>
        </w:tc>
        <w:tc>
          <w:tcPr>
            <w:tcW w:type="dxa" w:w="6803"/>
            <w:vAlign w:val="top"/>
            <w:tcMar>
              <w:top w:w="80" w:type="dxa"/>
              <w:start w:w="80" w:type="dxa"/>
              <w:bottom w:w="80" w:type="dxa"/>
              <w:end w:w="80" w:type="dxa"/>
            </w:tcMar>
          </w:tcPr>
          <w:p>
            <w:r>
              <w:rPr>
                <w:sz w:val="18"/>
              </w:rPr>
              <w:t>Quản lý consent, retention, data subject request và legal hold.</w:t>
            </w:r>
          </w:p>
        </w:tc>
      </w:tr>
      <w:tr>
        <w:tc>
          <w:tcPr>
            <w:tcW w:type="dxa" w:w="2835"/>
            <w:vAlign w:val="top"/>
            <w:tcMar>
              <w:top w:w="80" w:type="dxa"/>
              <w:start w:w="80" w:type="dxa"/>
              <w:bottom w:w="80" w:type="dxa"/>
              <w:end w:w="80" w:type="dxa"/>
            </w:tcMar>
          </w:tcPr>
          <w:p>
            <w:r>
              <w:rPr>
                <w:sz w:val="18"/>
              </w:rPr>
              <w:t>Integration Operator</w:t>
            </w:r>
          </w:p>
        </w:tc>
        <w:tc>
          <w:tcPr>
            <w:tcW w:type="dxa" w:w="6803"/>
            <w:vAlign w:val="top"/>
            <w:tcMar>
              <w:top w:w="80" w:type="dxa"/>
              <w:start w:w="80" w:type="dxa"/>
              <w:bottom w:w="80" w:type="dxa"/>
              <w:end w:w="80" w:type="dxa"/>
            </w:tcMar>
          </w:tcPr>
          <w:p>
            <w:r>
              <w:rPr>
                <w:sz w:val="18"/>
              </w:rPr>
              <w:t>Quản lý webhook, import, external ID mapping và xử lý lỗi tích hợp.</w:t>
            </w:r>
          </w:p>
        </w:tc>
      </w:tr>
      <w:tr>
        <w:tc>
          <w:tcPr>
            <w:tcW w:type="dxa" w:w="2835"/>
            <w:vAlign w:val="top"/>
            <w:tcMar>
              <w:top w:w="80" w:type="dxa"/>
              <w:start w:w="80" w:type="dxa"/>
              <w:bottom w:w="80" w:type="dxa"/>
              <w:end w:w="80" w:type="dxa"/>
            </w:tcMar>
          </w:tcPr>
          <w:p>
            <w:r>
              <w:rPr>
                <w:sz w:val="18"/>
              </w:rPr>
              <w:t>Auditor/Compliance Reviewer</w:t>
            </w:r>
          </w:p>
        </w:tc>
        <w:tc>
          <w:tcPr>
            <w:tcW w:type="dxa" w:w="6803"/>
            <w:vAlign w:val="top"/>
            <w:tcMar>
              <w:top w:w="80" w:type="dxa"/>
              <w:start w:w="80" w:type="dxa"/>
              <w:bottom w:w="80" w:type="dxa"/>
              <w:end w:w="80" w:type="dxa"/>
            </w:tcMar>
          </w:tcPr>
          <w:p>
            <w:r>
              <w:rPr>
                <w:sz w:val="18"/>
              </w:rPr>
              <w:t>Tra cứu audit event và data access event theo quyền được cấp.</w:t>
            </w:r>
          </w:p>
        </w:tc>
      </w:tr>
      <w:tr>
        <w:tc>
          <w:tcPr>
            <w:tcW w:type="dxa" w:w="2835"/>
            <w:vAlign w:val="top"/>
            <w:tcMar>
              <w:top w:w="80" w:type="dxa"/>
              <w:start w:w="80" w:type="dxa"/>
              <w:bottom w:w="80" w:type="dxa"/>
              <w:end w:w="80" w:type="dxa"/>
            </w:tcMar>
          </w:tcPr>
          <w:p>
            <w:r>
              <w:rPr>
                <w:sz w:val="18"/>
              </w:rPr>
              <w:t>External Customer/Contact</w:t>
            </w:r>
          </w:p>
        </w:tc>
        <w:tc>
          <w:tcPr>
            <w:tcW w:type="dxa" w:w="6803"/>
            <w:vAlign w:val="top"/>
            <w:tcMar>
              <w:top w:w="80" w:type="dxa"/>
              <w:start w:w="80" w:type="dxa"/>
              <w:bottom w:w="80" w:type="dxa"/>
              <w:end w:w="80" w:type="dxa"/>
            </w:tcMar>
          </w:tcPr>
          <w:p>
            <w:r>
              <w:rPr>
                <w:sz w:val="18"/>
              </w:rPr>
              <w:t>Khách hàng hoặc người liên hệ nhận báo giá, phản hồi chiến dịch, gửi ticket hoặc yêu cầu quyền riêng tư.</w:t>
            </w:r>
          </w:p>
        </w:tc>
      </w:tr>
      <w:tr>
        <w:tc>
          <w:tcPr>
            <w:tcW w:type="dxa" w:w="2835"/>
            <w:vAlign w:val="top"/>
            <w:tcMar>
              <w:top w:w="80" w:type="dxa"/>
              <w:start w:w="80" w:type="dxa"/>
              <w:bottom w:w="80" w:type="dxa"/>
              <w:end w:w="80" w:type="dxa"/>
            </w:tcMar>
          </w:tcPr>
          <w:p>
            <w:r>
              <w:rPr>
                <w:sz w:val="18"/>
              </w:rPr>
              <w:t>External System</w:t>
            </w:r>
          </w:p>
        </w:tc>
        <w:tc>
          <w:tcPr>
            <w:tcW w:type="dxa" w:w="6803"/>
            <w:vAlign w:val="top"/>
            <w:tcMar>
              <w:top w:w="80" w:type="dxa"/>
              <w:start w:w="80" w:type="dxa"/>
              <w:bottom w:w="80" w:type="dxa"/>
              <w:end w:w="80" w:type="dxa"/>
            </w:tcMar>
          </w:tcPr>
          <w:p>
            <w:r>
              <w:rPr>
                <w:sz w:val="18"/>
              </w:rPr>
              <w:t>Hệ thống bên ngoài gửi/nhận dữ liệu qua API, import hoặc webhook.</w:t>
            </w:r>
          </w:p>
        </w:tc>
      </w:tr>
    </w:tbl>
    <w:p/>
    <w:p>
      <w:pPr>
        <w:pStyle w:val="Heading1"/>
      </w:pPr>
      <w:r>
        <w:t>6. Nguyên tắc vận hành cốt lõi</w:t>
      </w:r>
    </w:p>
    <w:p>
      <w:pPr>
        <w:pStyle w:val="ListBullet"/>
      </w:pPr>
      <w:r>
        <w:t>Tenant-first: mọi dữ liệu nghiệp vụ thuộc tenant và không được tham chiếu chéo tenant.</w:t>
      </w:r>
    </w:p>
    <w:p>
      <w:pPr>
        <w:pStyle w:val="ListBullet"/>
      </w:pPr>
      <w:r>
        <w:t>Owner và team xác định trách nhiệm; role + permission + data scope xác định quyền thực hiện và phạm vi dữ liệu.</w:t>
      </w:r>
    </w:p>
    <w:p>
      <w:pPr>
        <w:pStyle w:val="ListBullet"/>
      </w:pPr>
      <w:r>
        <w:t>Không cập nhật đè lịch sử quan trọng: lead status, opportunity stage, ticket event, approval, audit và consent được lưu theo sự kiện.</w:t>
      </w:r>
    </w:p>
    <w:p>
      <w:pPr>
        <w:pStyle w:val="ListBullet"/>
      </w:pPr>
      <w:r>
        <w:t>Chứng từ thương mại sử dụng snapshot để dữ liệu lịch sử không thay đổi khi product, giá hoặc địa chỉ được cập nhật.</w:t>
      </w:r>
    </w:p>
    <w:p>
      <w:pPr>
        <w:pStyle w:val="ListBullet"/>
      </w:pPr>
      <w:r>
        <w:t>Soft delete áp dụng cho master data cần bảo toàn tham chiếu; audit và event data là append-only.</w:t>
      </w:r>
    </w:p>
    <w:p>
      <w:pPr>
        <w:pStyle w:val="ListBullet"/>
      </w:pPr>
      <w:r>
        <w:t>Các thao tác nhiều bước như lead conversion và tạo outbox event phải nguyên tử trong một transaction.</w:t>
      </w:r>
    </w:p>
    <w:p>
      <w:pPr>
        <w:pStyle w:val="ListBullet"/>
      </w:pPr>
      <w:r>
        <w:t>Dữ liệu nhạy cảm được tối thiểu hóa, kiểm soát quyền và ghi nhận data access event.</w:t>
      </w:r>
    </w:p>
    <w:p>
      <w:pPr>
        <w:pStyle w:val="Heading1"/>
      </w:pPr>
      <w:r>
        <w:t>7. Quy trình đầu-cuối</w:t>
      </w:r>
    </w:p>
    <w:p>
      <w:pPr>
        <w:pStyle w:val="Heading2"/>
      </w:pPr>
      <w:r>
        <w:t>7.1 Lead-to-Customer</w:t>
      </w:r>
    </w:p>
    <w:p>
      <w:pPr>
        <w:jc w:val="center"/>
      </w:pPr>
      <w:r>
        <w:drawing>
          <wp:inline xmlns:a="http://schemas.openxmlformats.org/drawingml/2006/main" xmlns:pic="http://schemas.openxmlformats.org/drawingml/2006/picture">
            <wp:extent cx="5760000" cy="982061"/>
            <wp:docPr id="2" name="Picture 2"/>
            <wp:cNvGraphicFramePr>
              <a:graphicFrameLocks noChangeAspect="1"/>
            </wp:cNvGraphicFramePr>
            <a:graphic>
              <a:graphicData uri="http://schemas.openxmlformats.org/drawingml/2006/picture">
                <pic:pic>
                  <pic:nvPicPr>
                    <pic:cNvPr id="0" name="lead_flow.png"/>
                    <pic:cNvPicPr/>
                  </pic:nvPicPr>
                  <pic:blipFill>
                    <a:blip r:embed="rId12"/>
                    <a:stretch>
                      <a:fillRect/>
                    </a:stretch>
                  </pic:blipFill>
                  <pic:spPr>
                    <a:xfrm>
                      <a:off x="0" y="0"/>
                      <a:ext cx="5760000" cy="982061"/>
                    </a:xfrm>
                    <a:prstGeom prst="rect"/>
                  </pic:spPr>
                </pic:pic>
              </a:graphicData>
            </a:graphic>
          </wp:inline>
        </w:drawing>
      </w:r>
    </w:p>
    <w:p>
      <w:pPr>
        <w:pStyle w:val="BANote"/>
        <w:jc w:val="center"/>
      </w:pPr>
      <w:r>
        <w:t>Hình 2 - Luồng lead từ tiếp nhận đến chuyển đổi</w:t>
      </w:r>
    </w:p>
    <w:p>
      <w:pPr>
        <w:ind w:left="255" w:hanging="255"/>
      </w:pPr>
      <w:r>
        <w:rPr>
          <w:b/>
        </w:rPr>
        <w:t xml:space="preserve">1. </w:t>
      </w:r>
      <w:r>
        <w:t>Lead được tạo từ nhập tay, campaign, import hoặc integration và nhận nguồn, trạng thái, owner.</w:t>
      </w:r>
    </w:p>
    <w:p>
      <w:pPr>
        <w:ind w:left="255" w:hanging="255"/>
      </w:pPr>
      <w:r>
        <w:rPr>
          <w:b/>
        </w:rPr>
        <w:t xml:space="preserve">2. </w:t>
      </w:r>
      <w:r>
        <w:t>Sales thực hiện hoạt động qualification, cập nhật lịch sử trạng thái và lý do.</w:t>
      </w:r>
    </w:p>
    <w:p>
      <w:pPr>
        <w:ind w:left="255" w:hanging="255"/>
      </w:pPr>
      <w:r>
        <w:rPr>
          <w:b/>
        </w:rPr>
        <w:t xml:space="preserve">3. </w:t>
      </w:r>
      <w:r>
        <w:t>Lead đủ điều kiện được convert nguyên tử thành account/contact và tùy chọn opportunity.</w:t>
      </w:r>
    </w:p>
    <w:p>
      <w:pPr>
        <w:ind w:left="255" w:hanging="255"/>
      </w:pPr>
      <w:r>
        <w:rPr>
          <w:b/>
        </w:rPr>
        <w:t xml:space="preserve">4. </w:t>
      </w:r>
      <w:r>
        <w:t>Các thực thể mới tiếp tục tham gia pipeline, báo giá và chăm sóc; lead giữ liên kết converted_* để truy vết.</w:t>
      </w:r>
    </w:p>
    <w:p>
      <w:pPr>
        <w:pStyle w:val="Heading2"/>
      </w:pPr>
      <w:r>
        <w:t>7.2 Opportunity-to-Revenue</w:t>
      </w:r>
    </w:p>
    <w:p>
      <w:pPr>
        <w:jc w:val="center"/>
      </w:pPr>
      <w:r>
        <w:drawing>
          <wp:inline xmlns:a="http://schemas.openxmlformats.org/drawingml/2006/main" xmlns:pic="http://schemas.openxmlformats.org/drawingml/2006/picture">
            <wp:extent cx="5760000" cy="785079"/>
            <wp:docPr id="3" name="Picture 3"/>
            <wp:cNvGraphicFramePr>
              <a:graphicFrameLocks noChangeAspect="1"/>
            </wp:cNvGraphicFramePr>
            <a:graphic>
              <a:graphicData uri="http://schemas.openxmlformats.org/drawingml/2006/picture">
                <pic:pic>
                  <pic:nvPicPr>
                    <pic:cNvPr id="0" name="sales_flow.png"/>
                    <pic:cNvPicPr/>
                  </pic:nvPicPr>
                  <pic:blipFill>
                    <a:blip r:embed="rId13"/>
                    <a:stretch>
                      <a:fillRect/>
                    </a:stretch>
                  </pic:blipFill>
                  <pic:spPr>
                    <a:xfrm>
                      <a:off x="0" y="0"/>
                      <a:ext cx="5760000" cy="785079"/>
                    </a:xfrm>
                    <a:prstGeom prst="rect"/>
                  </pic:spPr>
                </pic:pic>
              </a:graphicData>
            </a:graphic>
          </wp:inline>
        </w:drawing>
      </w:r>
    </w:p>
    <w:p>
      <w:pPr>
        <w:pStyle w:val="BANote"/>
        <w:jc w:val="center"/>
      </w:pPr>
      <w:r>
        <w:t>Hình 3 - Luồng cơ hội, báo giá, đơn hàng và hợp đồng</w:t>
      </w:r>
    </w:p>
    <w:p>
      <w:pPr>
        <w:ind w:left="255" w:hanging="255"/>
      </w:pPr>
      <w:r>
        <w:rPr>
          <w:b/>
        </w:rPr>
        <w:t xml:space="preserve">1. </w:t>
      </w:r>
      <w:r>
        <w:t>Opportunity được quản lý trong pipeline và lưu lịch sử stage.</w:t>
      </w:r>
    </w:p>
    <w:p>
      <w:pPr>
        <w:ind w:left="255" w:hanging="255"/>
      </w:pPr>
      <w:r>
        <w:rPr>
          <w:b/>
        </w:rPr>
        <w:t xml:space="preserve">2. </w:t>
      </w:r>
      <w:r>
        <w:t>Quote sử dụng price book và snapshot line/address; có thể qua nhiều cấp phê duyệt.</w:t>
      </w:r>
    </w:p>
    <w:p>
      <w:pPr>
        <w:ind w:left="255" w:hanging="255"/>
      </w:pPr>
      <w:r>
        <w:rPr>
          <w:b/>
        </w:rPr>
        <w:t xml:space="preserve">3. </w:t>
      </w:r>
      <w:r>
        <w:t>Quote được gửi, chấp nhận/từ chối/hết hạn; bản sửa đổi tạo revision mới.</w:t>
      </w:r>
    </w:p>
    <w:p>
      <w:pPr>
        <w:ind w:left="255" w:hanging="255"/>
      </w:pPr>
      <w:r>
        <w:rPr>
          <w:b/>
        </w:rPr>
        <w:t xml:space="preserve">4. </w:t>
      </w:r>
      <w:r>
        <w:t>Quote accepted có thể tạo order và/hoặc contract; order theo dõi fulfillment, contract theo dõi ký và hiệu lực.</w:t>
      </w:r>
    </w:p>
    <w:p>
      <w:pPr>
        <w:pStyle w:val="Heading2"/>
      </w:pPr>
      <w:r>
        <w:t>7.3 Customer Service</w:t>
      </w:r>
    </w:p>
    <w:p>
      <w:pPr>
        <w:jc w:val="center"/>
      </w:pPr>
      <w:r>
        <w:drawing>
          <wp:inline xmlns:a="http://schemas.openxmlformats.org/drawingml/2006/main" xmlns:pic="http://schemas.openxmlformats.org/drawingml/2006/picture">
            <wp:extent cx="5400000" cy="2401744"/>
            <wp:docPr id="4" name="Picture 4"/>
            <wp:cNvGraphicFramePr>
              <a:graphicFrameLocks noChangeAspect="1"/>
            </wp:cNvGraphicFramePr>
            <a:graphic>
              <a:graphicData uri="http://schemas.openxmlformats.org/drawingml/2006/picture">
                <pic:pic>
                  <pic:nvPicPr>
                    <pic:cNvPr id="0" name="ticket_flow.png"/>
                    <pic:cNvPicPr/>
                  </pic:nvPicPr>
                  <pic:blipFill>
                    <a:blip r:embed="rId14"/>
                    <a:stretch>
                      <a:fillRect/>
                    </a:stretch>
                  </pic:blipFill>
                  <pic:spPr>
                    <a:xfrm>
                      <a:off x="0" y="0"/>
                      <a:ext cx="5400000" cy="2401744"/>
                    </a:xfrm>
                    <a:prstGeom prst="rect"/>
                  </pic:spPr>
                </pic:pic>
              </a:graphicData>
            </a:graphic>
          </wp:inline>
        </w:drawing>
      </w:r>
    </w:p>
    <w:p>
      <w:pPr>
        <w:pStyle w:val="BANote"/>
        <w:jc w:val="center"/>
      </w:pPr>
      <w:r>
        <w:t>Hình 4 - Vòng đời ticket đề xuất</w:t>
      </w:r>
    </w:p>
    <w:p>
      <w:pPr>
        <w:ind w:left="255" w:hanging="255"/>
      </w:pPr>
      <w:r>
        <w:rPr>
          <w:b/>
        </w:rPr>
        <w:t xml:space="preserve">1. </w:t>
      </w:r>
      <w:r>
        <w:t>Ticket được tiếp nhận từ nhiều kênh và liên kết account/contact.</w:t>
      </w:r>
    </w:p>
    <w:p>
      <w:pPr>
        <w:ind w:left="255" w:hanging="255"/>
      </w:pPr>
      <w:r>
        <w:rPr>
          <w:b/>
        </w:rPr>
        <w:t xml:space="preserve">2. </w:t>
      </w:r>
      <w:r>
        <w:t>Category và priority xác định team và SLA; hệ thống tính first response/resolution due time.</w:t>
      </w:r>
    </w:p>
    <w:p>
      <w:pPr>
        <w:ind w:left="255" w:hanging="255"/>
      </w:pPr>
      <w:r>
        <w:rPr>
          <w:b/>
        </w:rPr>
        <w:t xml:space="preserve">3. </w:t>
      </w:r>
      <w:r>
        <w:t>Public comment trao đổi với khách hàng; internal comment hỗ trợ phối hợp nội bộ.</w:t>
      </w:r>
    </w:p>
    <w:p>
      <w:pPr>
        <w:ind w:left="255" w:hanging="255"/>
      </w:pPr>
      <w:r>
        <w:rPr>
          <w:b/>
        </w:rPr>
        <w:t xml:space="preserve">4. </w:t>
      </w:r>
      <w:r>
        <w:t>Mọi thay đổi quan trọng tạo ticket event; sau resolved/closed có thể thu điểm hài lòng.</w:t>
      </w:r>
    </w:p>
    <w:p>
      <w:pPr>
        <w:pStyle w:val="Heading2"/>
      </w:pPr>
      <w:r>
        <w:t>7.4 Privacy &amp; Compliance</w:t>
      </w:r>
    </w:p>
    <w:p>
      <w:pPr>
        <w:jc w:val="center"/>
      </w:pPr>
      <w:r>
        <w:drawing>
          <wp:inline xmlns:a="http://schemas.openxmlformats.org/drawingml/2006/main" xmlns:pic="http://schemas.openxmlformats.org/drawingml/2006/picture">
            <wp:extent cx="5400000" cy="698131"/>
            <wp:docPr id="5" name="Picture 5"/>
            <wp:cNvGraphicFramePr>
              <a:graphicFrameLocks noChangeAspect="1"/>
            </wp:cNvGraphicFramePr>
            <a:graphic>
              <a:graphicData uri="http://schemas.openxmlformats.org/drawingml/2006/picture">
                <pic:pic>
                  <pic:nvPicPr>
                    <pic:cNvPr id="0" name="privacy_flow.png"/>
                    <pic:cNvPicPr/>
                  </pic:nvPicPr>
                  <pic:blipFill>
                    <a:blip r:embed="rId15"/>
                    <a:stretch>
                      <a:fillRect/>
                    </a:stretch>
                  </pic:blipFill>
                  <pic:spPr>
                    <a:xfrm>
                      <a:off x="0" y="0"/>
                      <a:ext cx="5400000" cy="698131"/>
                    </a:xfrm>
                    <a:prstGeom prst="rect"/>
                  </pic:spPr>
                </pic:pic>
              </a:graphicData>
            </a:graphic>
          </wp:inline>
        </w:drawing>
      </w:r>
    </w:p>
    <w:p>
      <w:pPr>
        <w:pStyle w:val="BANote"/>
        <w:jc w:val="center"/>
      </w:pPr>
      <w:r>
        <w:t>Hình 5 - Luồng data subject request</w:t>
      </w:r>
    </w:p>
    <w:p>
      <w:pPr>
        <w:ind w:left="255" w:hanging="255"/>
      </w:pPr>
      <w:r>
        <w:rPr>
          <w:b/>
        </w:rPr>
        <w:t xml:space="preserve">1. </w:t>
      </w:r>
      <w:r>
        <w:t>Consent được quản lý theo chủ thể, kênh, mục đích, lawful basis và phiên bản chính sách.</w:t>
      </w:r>
    </w:p>
    <w:p>
      <w:pPr>
        <w:ind w:left="255" w:hanging="255"/>
      </w:pPr>
      <w:r>
        <w:rPr>
          <w:b/>
        </w:rPr>
        <w:t xml:space="preserve">2. </w:t>
      </w:r>
      <w:r>
        <w:t>Retention policy xác định hành động khi hết hạn; legal hold tạm dừng xóa/anonymize.</w:t>
      </w:r>
    </w:p>
    <w:p>
      <w:pPr>
        <w:ind w:left="255" w:hanging="255"/>
      </w:pPr>
      <w:r>
        <w:rPr>
          <w:b/>
        </w:rPr>
        <w:t xml:space="preserve">3. </w:t>
      </w:r>
      <w:r>
        <w:t>Data subject request được tiếp nhận, xác minh danh tính, xử lý và hoàn thành/từ chối có lý do.</w:t>
      </w:r>
    </w:p>
    <w:p>
      <w:pPr>
        <w:ind w:left="255" w:hanging="255"/>
      </w:pPr>
      <w:r>
        <w:rPr>
          <w:b/>
        </w:rPr>
        <w:t xml:space="preserve">4. </w:t>
      </w:r>
      <w:r>
        <w:t>Mọi truy cập/xuất dữ liệu nhạy cảm được ghi data access event.</w:t>
      </w:r>
    </w:p>
    <w:p>
      <w:pPr>
        <w:pStyle w:val="Heading2"/>
      </w:pPr>
      <w:r>
        <w:t>7.5 Integration &amp; Audit</w:t>
      </w:r>
    </w:p>
    <w:p>
      <w:pPr>
        <w:jc w:val="center"/>
      </w:pPr>
      <w:r>
        <w:drawing>
          <wp:inline xmlns:a="http://schemas.openxmlformats.org/drawingml/2006/main" xmlns:pic="http://schemas.openxmlformats.org/drawingml/2006/picture">
            <wp:extent cx="5760000" cy="598737"/>
            <wp:docPr id="6" name="Picture 6"/>
            <wp:cNvGraphicFramePr>
              <a:graphicFrameLocks noChangeAspect="1"/>
            </wp:cNvGraphicFramePr>
            <a:graphic>
              <a:graphicData uri="http://schemas.openxmlformats.org/drawingml/2006/picture">
                <pic:pic>
                  <pic:nvPicPr>
                    <pic:cNvPr id="0" name="integration_flow.png"/>
                    <pic:cNvPicPr/>
                  </pic:nvPicPr>
                  <pic:blipFill>
                    <a:blip r:embed="rId16"/>
                    <a:stretch>
                      <a:fillRect/>
                    </a:stretch>
                  </pic:blipFill>
                  <pic:spPr>
                    <a:xfrm>
                      <a:off x="0" y="0"/>
                      <a:ext cx="5760000" cy="598737"/>
                    </a:xfrm>
                    <a:prstGeom prst="rect"/>
                  </pic:spPr>
                </pic:pic>
              </a:graphicData>
            </a:graphic>
          </wp:inline>
        </w:drawing>
      </w:r>
    </w:p>
    <w:p>
      <w:pPr>
        <w:pStyle w:val="BANote"/>
        <w:jc w:val="center"/>
      </w:pPr>
      <w:r>
        <w:t>Hình 6 - Transactional outbox và webhook delivery</w:t>
      </w:r>
    </w:p>
    <w:p>
      <w:pPr>
        <w:ind w:left="255" w:hanging="255"/>
      </w:pPr>
      <w:r>
        <w:rPr>
          <w:b/>
        </w:rPr>
        <w:t xml:space="preserve">1. </w:t>
      </w:r>
      <w:r>
        <w:t>Nghiệp vụ và outbox event được ghi trong cùng transaction.</w:t>
      </w:r>
    </w:p>
    <w:p>
      <w:pPr>
        <w:ind w:left="255" w:hanging="255"/>
      </w:pPr>
      <w:r>
        <w:rPr>
          <w:b/>
        </w:rPr>
        <w:t xml:space="preserve">2. </w:t>
      </w:r>
      <w:r>
        <w:t>Worker publish event theo trạng thái, lock và retry; event quá số lần thử chuyển DEAD.</w:t>
      </w:r>
    </w:p>
    <w:p>
      <w:pPr>
        <w:ind w:left="255" w:hanging="255"/>
      </w:pPr>
      <w:r>
        <w:rPr>
          <w:b/>
        </w:rPr>
        <w:t xml:space="preserve">3. </w:t>
      </w:r>
      <w:r>
        <w:t>Webhook subscription chọn event types, ký payload và lưu từng delivery attempt.</w:t>
      </w:r>
    </w:p>
    <w:p>
      <w:pPr>
        <w:ind w:left="255" w:hanging="255"/>
      </w:pPr>
      <w:r>
        <w:rPr>
          <w:b/>
        </w:rPr>
        <w:t xml:space="preserve">4. </w:t>
      </w:r>
      <w:r>
        <w:t>Audit event lưu thay đổi; data access event lưu hành vi xem/xuất/giải mã dữ liệu nhạy cảm.</w:t>
      </w:r>
    </w:p>
    <w:p>
      <w:pPr>
        <w:pStyle w:val="Heading1"/>
      </w:pPr>
      <w:r>
        <w:t>8. Yêu cầu phi chức năng ở mức BA</w:t>
      </w:r>
    </w:p>
    <w:tbl>
      <w:tblPr>
        <w:tblStyle w:val="TableGrid"/>
        <w:tblW w:type="auto" w:w="0"/>
        <w:jc w:val="center"/>
        <w:tblLook w:firstColumn="1" w:firstRow="1" w:lastColumn="0" w:lastRow="0" w:noHBand="0" w:noVBand="1" w:val="04A0"/>
      </w:tblPr>
      <w:tblGrid>
        <w:gridCol w:w="3362"/>
        <w:gridCol w:w="3362"/>
        <w:gridCol w:w="3362"/>
      </w:tblGrid>
      <w:tr>
        <w:tc>
          <w:tcPr>
            <w:tcW w:type="dxa" w:w="1247"/>
            <w:shd w:fill="1F4E78"/>
            <w:vAlign w:val="center"/>
            <w:tcMar>
              <w:top w:w="80" w:type="dxa"/>
              <w:start w:w="80" w:type="dxa"/>
              <w:bottom w:w="80" w:type="dxa"/>
              <w:end w:w="80" w:type="dxa"/>
            </w:tcMar>
          </w:tcPr>
          <w:p>
            <w:r>
              <w:rPr>
                <w:b/>
                <w:color w:val="FFFFFF"/>
              </w:rPr>
              <w:t>ID</w:t>
            </w:r>
          </w:p>
        </w:tc>
        <w:tc>
          <w:tcPr>
            <w:tcW w:type="dxa" w:w="1814"/>
            <w:shd w:fill="1F4E78"/>
            <w:vAlign w:val="center"/>
            <w:tcMar>
              <w:top w:w="80" w:type="dxa"/>
              <w:start w:w="80" w:type="dxa"/>
              <w:bottom w:w="80" w:type="dxa"/>
              <w:end w:w="80" w:type="dxa"/>
            </w:tcMar>
          </w:tcPr>
          <w:p>
            <w:r>
              <w:rPr>
                <w:b/>
                <w:color w:val="FFFFFF"/>
              </w:rPr>
              <w:t>Nhóm</w:t>
            </w:r>
          </w:p>
        </w:tc>
        <w:tc>
          <w:tcPr>
            <w:tcW w:type="dxa" w:w="6406"/>
            <w:shd w:fill="1F4E78"/>
            <w:vAlign w:val="center"/>
            <w:tcMar>
              <w:top w:w="80" w:type="dxa"/>
              <w:start w:w="80" w:type="dxa"/>
              <w:bottom w:w="80" w:type="dxa"/>
              <w:end w:w="80" w:type="dxa"/>
            </w:tcMar>
          </w:tcPr>
          <w:p>
            <w:r>
              <w:rPr>
                <w:b/>
                <w:color w:val="FFFFFF"/>
              </w:rPr>
              <w:t>Yêu cầu</w:t>
            </w:r>
          </w:p>
        </w:tc>
      </w:tr>
      <w:tr>
        <w:tc>
          <w:tcPr>
            <w:tcW w:type="dxa" w:w="1247"/>
            <w:vAlign w:val="top"/>
            <w:tcMar>
              <w:top w:w="80" w:type="dxa"/>
              <w:start w:w="80" w:type="dxa"/>
              <w:bottom w:w="80" w:type="dxa"/>
              <w:end w:w="80" w:type="dxa"/>
            </w:tcMar>
          </w:tcPr>
          <w:p>
            <w:r>
              <w:rPr>
                <w:sz w:val="16"/>
              </w:rPr>
              <w:t>NFR-001</w:t>
            </w:r>
          </w:p>
        </w:tc>
        <w:tc>
          <w:tcPr>
            <w:tcW w:type="dxa" w:w="1814"/>
            <w:vAlign w:val="top"/>
            <w:tcMar>
              <w:top w:w="80" w:type="dxa"/>
              <w:start w:w="80" w:type="dxa"/>
              <w:bottom w:w="80" w:type="dxa"/>
              <w:end w:w="80" w:type="dxa"/>
            </w:tcMar>
          </w:tcPr>
          <w:p>
            <w:r>
              <w:rPr>
                <w:sz w:val="16"/>
              </w:rPr>
              <w:t>Cách ly tenant</w:t>
            </w:r>
          </w:p>
        </w:tc>
        <w:tc>
          <w:tcPr>
            <w:tcW w:type="dxa" w:w="6406"/>
            <w:vAlign w:val="top"/>
            <w:tcMar>
              <w:top w:w="80" w:type="dxa"/>
              <w:start w:w="80" w:type="dxa"/>
              <w:bottom w:w="80" w:type="dxa"/>
              <w:end w:w="80" w:type="dxa"/>
            </w:tcMar>
          </w:tcPr>
          <w:p>
            <w:r>
              <w:rPr>
                <w:sz w:val="16"/>
              </w:rPr>
              <w:t>Không có truy vấn nghiệp vụ nào được phép trả hoặc sửa dữ liệu tenant khác. MySQL không có RLS tương đương PostgreSQL nên bắt buộc kiểm soát ở ứng dụng và kiểm thử tự động.</w:t>
            </w:r>
          </w:p>
        </w:tc>
      </w:tr>
      <w:tr>
        <w:tc>
          <w:tcPr>
            <w:tcW w:type="dxa" w:w="1247"/>
            <w:vAlign w:val="top"/>
            <w:tcMar>
              <w:top w:w="80" w:type="dxa"/>
              <w:start w:w="80" w:type="dxa"/>
              <w:bottom w:w="80" w:type="dxa"/>
              <w:end w:w="80" w:type="dxa"/>
            </w:tcMar>
          </w:tcPr>
          <w:p>
            <w:r>
              <w:rPr>
                <w:sz w:val="16"/>
              </w:rPr>
              <w:t>NFR-002</w:t>
            </w:r>
          </w:p>
        </w:tc>
        <w:tc>
          <w:tcPr>
            <w:tcW w:type="dxa" w:w="1814"/>
            <w:vAlign w:val="top"/>
            <w:tcMar>
              <w:top w:w="80" w:type="dxa"/>
              <w:start w:w="80" w:type="dxa"/>
              <w:bottom w:w="80" w:type="dxa"/>
              <w:end w:w="80" w:type="dxa"/>
            </w:tcMar>
          </w:tcPr>
          <w:p>
            <w:r>
              <w:rPr>
                <w:sz w:val="16"/>
              </w:rPr>
              <w:t>Tính toàn vẹn</w:t>
            </w:r>
          </w:p>
        </w:tc>
        <w:tc>
          <w:tcPr>
            <w:tcW w:type="dxa" w:w="6406"/>
            <w:vAlign w:val="top"/>
            <w:tcMar>
              <w:top w:w="80" w:type="dxa"/>
              <w:start w:w="80" w:type="dxa"/>
              <w:bottom w:w="80" w:type="dxa"/>
              <w:end w:w="80" w:type="dxa"/>
            </w:tcMar>
          </w:tcPr>
          <w:p>
            <w:r>
              <w:rPr>
                <w:sz w:val="16"/>
              </w:rPr>
              <w:t>Các thao tác chuyển đổi lead, tạo chứng từ và outbox phải dùng transaction; optimistic version tránh mất cập nhật.</w:t>
            </w:r>
          </w:p>
        </w:tc>
      </w:tr>
      <w:tr>
        <w:tc>
          <w:tcPr>
            <w:tcW w:type="dxa" w:w="1247"/>
            <w:vAlign w:val="top"/>
            <w:tcMar>
              <w:top w:w="80" w:type="dxa"/>
              <w:start w:w="80" w:type="dxa"/>
              <w:bottom w:w="80" w:type="dxa"/>
              <w:end w:w="80" w:type="dxa"/>
            </w:tcMar>
          </w:tcPr>
          <w:p>
            <w:r>
              <w:rPr>
                <w:sz w:val="16"/>
              </w:rPr>
              <w:t>NFR-003</w:t>
            </w:r>
          </w:p>
        </w:tc>
        <w:tc>
          <w:tcPr>
            <w:tcW w:type="dxa" w:w="1814"/>
            <w:vAlign w:val="top"/>
            <w:tcMar>
              <w:top w:w="80" w:type="dxa"/>
              <w:start w:w="80" w:type="dxa"/>
              <w:bottom w:w="80" w:type="dxa"/>
              <w:end w:w="80" w:type="dxa"/>
            </w:tcMar>
          </w:tcPr>
          <w:p>
            <w:r>
              <w:rPr>
                <w:sz w:val="16"/>
              </w:rPr>
              <w:t>Khả năng truy vết</w:t>
            </w:r>
          </w:p>
        </w:tc>
        <w:tc>
          <w:tcPr>
            <w:tcW w:type="dxa" w:w="6406"/>
            <w:vAlign w:val="top"/>
            <w:tcMar>
              <w:top w:w="80" w:type="dxa"/>
              <w:start w:w="80" w:type="dxa"/>
              <w:bottom w:w="80" w:type="dxa"/>
              <w:end w:w="80" w:type="dxa"/>
            </w:tcMar>
          </w:tcPr>
          <w:p>
            <w:r>
              <w:rPr>
                <w:sz w:val="16"/>
              </w:rPr>
              <w:t>Mọi thay đổi trạng thái quan trọng, phê duyệt, truy cập nhạy cảm và integration delivery phải có lịch sử.</w:t>
            </w:r>
          </w:p>
        </w:tc>
      </w:tr>
      <w:tr>
        <w:tc>
          <w:tcPr>
            <w:tcW w:type="dxa" w:w="1247"/>
            <w:vAlign w:val="top"/>
            <w:tcMar>
              <w:top w:w="80" w:type="dxa"/>
              <w:start w:w="80" w:type="dxa"/>
              <w:bottom w:w="80" w:type="dxa"/>
              <w:end w:w="80" w:type="dxa"/>
            </w:tcMar>
          </w:tcPr>
          <w:p>
            <w:r>
              <w:rPr>
                <w:sz w:val="16"/>
              </w:rPr>
              <w:t>NFR-004</w:t>
            </w:r>
          </w:p>
        </w:tc>
        <w:tc>
          <w:tcPr>
            <w:tcW w:type="dxa" w:w="1814"/>
            <w:vAlign w:val="top"/>
            <w:tcMar>
              <w:top w:w="80" w:type="dxa"/>
              <w:start w:w="80" w:type="dxa"/>
              <w:bottom w:w="80" w:type="dxa"/>
              <w:end w:w="80" w:type="dxa"/>
            </w:tcMar>
          </w:tcPr>
          <w:p>
            <w:r>
              <w:rPr>
                <w:sz w:val="16"/>
              </w:rPr>
              <w:t>Hiệu năng</w:t>
            </w:r>
          </w:p>
        </w:tc>
        <w:tc>
          <w:tcPr>
            <w:tcW w:type="dxa" w:w="6406"/>
            <w:vAlign w:val="top"/>
            <w:tcMar>
              <w:top w:w="80" w:type="dxa"/>
              <w:start w:w="80" w:type="dxa"/>
              <w:bottom w:w="80" w:type="dxa"/>
              <w:end w:w="80" w:type="dxa"/>
            </w:tcMar>
          </w:tcPr>
          <w:p>
            <w:r>
              <w:rPr>
                <w:sz w:val="16"/>
              </w:rPr>
              <w:t>Danh sách theo tenant/owner/status/date phải đáp ứng truy vấn vận hành; event/audit/import có chiến lược lưu trữ và archive.</w:t>
            </w:r>
          </w:p>
        </w:tc>
      </w:tr>
      <w:tr>
        <w:tc>
          <w:tcPr>
            <w:tcW w:type="dxa" w:w="1247"/>
            <w:vAlign w:val="top"/>
            <w:tcMar>
              <w:top w:w="80" w:type="dxa"/>
              <w:start w:w="80" w:type="dxa"/>
              <w:bottom w:w="80" w:type="dxa"/>
              <w:end w:w="80" w:type="dxa"/>
            </w:tcMar>
          </w:tcPr>
          <w:p>
            <w:r>
              <w:rPr>
                <w:sz w:val="16"/>
              </w:rPr>
              <w:t>NFR-005</w:t>
            </w:r>
          </w:p>
        </w:tc>
        <w:tc>
          <w:tcPr>
            <w:tcW w:type="dxa" w:w="1814"/>
            <w:vAlign w:val="top"/>
            <w:tcMar>
              <w:top w:w="80" w:type="dxa"/>
              <w:start w:w="80" w:type="dxa"/>
              <w:bottom w:w="80" w:type="dxa"/>
              <w:end w:w="80" w:type="dxa"/>
            </w:tcMar>
          </w:tcPr>
          <w:p>
            <w:r>
              <w:rPr>
                <w:sz w:val="16"/>
              </w:rPr>
              <w:t>Khả dụng</w:t>
            </w:r>
          </w:p>
        </w:tc>
        <w:tc>
          <w:tcPr>
            <w:tcW w:type="dxa" w:w="6406"/>
            <w:vAlign w:val="top"/>
            <w:tcMar>
              <w:top w:w="80" w:type="dxa"/>
              <w:start w:w="80" w:type="dxa"/>
              <w:bottom w:w="80" w:type="dxa"/>
              <w:end w:w="80" w:type="dxa"/>
            </w:tcMar>
          </w:tcPr>
          <w:p>
            <w:r>
              <w:rPr>
                <w:sz w:val="16"/>
              </w:rPr>
              <w:t>Tích hợp có retry, idempotency và dead-letter; không làm gián đoạn transaction chính khi endpoint ngoài lỗi.</w:t>
            </w:r>
          </w:p>
        </w:tc>
      </w:tr>
      <w:tr>
        <w:tc>
          <w:tcPr>
            <w:tcW w:type="dxa" w:w="1247"/>
            <w:vAlign w:val="top"/>
            <w:tcMar>
              <w:top w:w="80" w:type="dxa"/>
              <w:start w:w="80" w:type="dxa"/>
              <w:bottom w:w="80" w:type="dxa"/>
              <w:end w:w="80" w:type="dxa"/>
            </w:tcMar>
          </w:tcPr>
          <w:p>
            <w:r>
              <w:rPr>
                <w:sz w:val="16"/>
              </w:rPr>
              <w:t>NFR-006</w:t>
            </w:r>
          </w:p>
        </w:tc>
        <w:tc>
          <w:tcPr>
            <w:tcW w:type="dxa" w:w="1814"/>
            <w:vAlign w:val="top"/>
            <w:tcMar>
              <w:top w:w="80" w:type="dxa"/>
              <w:start w:w="80" w:type="dxa"/>
              <w:bottom w:w="80" w:type="dxa"/>
              <w:end w:w="80" w:type="dxa"/>
            </w:tcMar>
          </w:tcPr>
          <w:p>
            <w:r>
              <w:rPr>
                <w:sz w:val="16"/>
              </w:rPr>
              <w:t>Bảo mật</w:t>
            </w:r>
          </w:p>
        </w:tc>
        <w:tc>
          <w:tcPr>
            <w:tcW w:type="dxa" w:w="6406"/>
            <w:vAlign w:val="top"/>
            <w:tcMar>
              <w:top w:w="80" w:type="dxa"/>
              <w:start w:w="80" w:type="dxa"/>
              <w:bottom w:w="80" w:type="dxa"/>
              <w:end w:w="80" w:type="dxa"/>
            </w:tcMar>
          </w:tcPr>
          <w:p>
            <w:r>
              <w:rPr>
                <w:sz w:val="16"/>
              </w:rPr>
              <w:t>Phân quyền RBAC + data scope, mã hóa truyền, secret reference, mask field nhạy cảm, không log credential.</w:t>
            </w:r>
          </w:p>
        </w:tc>
      </w:tr>
      <w:tr>
        <w:tc>
          <w:tcPr>
            <w:tcW w:type="dxa" w:w="1247"/>
            <w:vAlign w:val="top"/>
            <w:tcMar>
              <w:top w:w="80" w:type="dxa"/>
              <w:start w:w="80" w:type="dxa"/>
              <w:bottom w:w="80" w:type="dxa"/>
              <w:end w:w="80" w:type="dxa"/>
            </w:tcMar>
          </w:tcPr>
          <w:p>
            <w:r>
              <w:rPr>
                <w:sz w:val="16"/>
              </w:rPr>
              <w:t>NFR-007</w:t>
            </w:r>
          </w:p>
        </w:tc>
        <w:tc>
          <w:tcPr>
            <w:tcW w:type="dxa" w:w="1814"/>
            <w:vAlign w:val="top"/>
            <w:tcMar>
              <w:top w:w="80" w:type="dxa"/>
              <w:start w:w="80" w:type="dxa"/>
              <w:bottom w:w="80" w:type="dxa"/>
              <w:end w:w="80" w:type="dxa"/>
            </w:tcMar>
          </w:tcPr>
          <w:p>
            <w:r>
              <w:rPr>
                <w:sz w:val="16"/>
              </w:rPr>
              <w:t>Quốc tế hóa</w:t>
            </w:r>
          </w:p>
        </w:tc>
        <w:tc>
          <w:tcPr>
            <w:tcW w:type="dxa" w:w="6406"/>
            <w:vAlign w:val="top"/>
            <w:tcMar>
              <w:top w:w="80" w:type="dxa"/>
              <w:start w:w="80" w:type="dxa"/>
              <w:bottom w:w="80" w:type="dxa"/>
              <w:end w:w="80" w:type="dxa"/>
            </w:tcMar>
          </w:tcPr>
          <w:p>
            <w:r>
              <w:rPr>
                <w:sz w:val="16"/>
              </w:rPr>
              <w:t>Tiền tệ, quốc gia, ngôn ngữ, timezone và số điện thoại sử dụng định dạng chuẩn đã thể hiện trong schema.</w:t>
            </w:r>
          </w:p>
        </w:tc>
      </w:tr>
      <w:tr>
        <w:tc>
          <w:tcPr>
            <w:tcW w:type="dxa" w:w="1247"/>
            <w:vAlign w:val="top"/>
            <w:tcMar>
              <w:top w:w="80" w:type="dxa"/>
              <w:start w:w="80" w:type="dxa"/>
              <w:bottom w:w="80" w:type="dxa"/>
              <w:end w:w="80" w:type="dxa"/>
            </w:tcMar>
          </w:tcPr>
          <w:p>
            <w:r>
              <w:rPr>
                <w:sz w:val="16"/>
              </w:rPr>
              <w:t>NFR-008</w:t>
            </w:r>
          </w:p>
        </w:tc>
        <w:tc>
          <w:tcPr>
            <w:tcW w:type="dxa" w:w="1814"/>
            <w:vAlign w:val="top"/>
            <w:tcMar>
              <w:top w:w="80" w:type="dxa"/>
              <w:start w:w="80" w:type="dxa"/>
              <w:bottom w:w="80" w:type="dxa"/>
              <w:end w:w="80" w:type="dxa"/>
            </w:tcMar>
          </w:tcPr>
          <w:p>
            <w:r>
              <w:rPr>
                <w:sz w:val="16"/>
              </w:rPr>
              <w:t>Khả năng mở rộng</w:t>
            </w:r>
          </w:p>
        </w:tc>
        <w:tc>
          <w:tcPr>
            <w:tcW w:type="dxa" w:w="6406"/>
            <w:vAlign w:val="top"/>
            <w:tcMar>
              <w:top w:w="80" w:type="dxa"/>
              <w:start w:w="80" w:type="dxa"/>
              <w:bottom w:w="80" w:type="dxa"/>
              <w:end w:w="80" w:type="dxa"/>
            </w:tcMar>
          </w:tcPr>
          <w:p>
            <w:r>
              <w:rPr>
                <w:sz w:val="16"/>
              </w:rPr>
              <w:t>Custom field dùng cho nhu cầu mở rộng có kiểm soát; không biến toàn bộ core data thành JSON.</w:t>
            </w:r>
          </w:p>
        </w:tc>
      </w:tr>
      <w:tr>
        <w:tc>
          <w:tcPr>
            <w:tcW w:type="dxa" w:w="1247"/>
            <w:vAlign w:val="top"/>
            <w:tcMar>
              <w:top w:w="80" w:type="dxa"/>
              <w:start w:w="80" w:type="dxa"/>
              <w:bottom w:w="80" w:type="dxa"/>
              <w:end w:w="80" w:type="dxa"/>
            </w:tcMar>
          </w:tcPr>
          <w:p>
            <w:r>
              <w:rPr>
                <w:sz w:val="16"/>
              </w:rPr>
              <w:t>NFR-009</w:t>
            </w:r>
          </w:p>
        </w:tc>
        <w:tc>
          <w:tcPr>
            <w:tcW w:type="dxa" w:w="1814"/>
            <w:vAlign w:val="top"/>
            <w:tcMar>
              <w:top w:w="80" w:type="dxa"/>
              <w:start w:w="80" w:type="dxa"/>
              <w:bottom w:w="80" w:type="dxa"/>
              <w:end w:w="80" w:type="dxa"/>
            </w:tcMar>
          </w:tcPr>
          <w:p>
            <w:r>
              <w:rPr>
                <w:sz w:val="16"/>
              </w:rPr>
              <w:t>Tính nhất quán thời gian</w:t>
            </w:r>
          </w:p>
        </w:tc>
        <w:tc>
          <w:tcPr>
            <w:tcW w:type="dxa" w:w="6406"/>
            <w:vAlign w:val="top"/>
            <w:tcMar>
              <w:top w:w="80" w:type="dxa"/>
              <w:start w:w="80" w:type="dxa"/>
              <w:bottom w:w="80" w:type="dxa"/>
              <w:end w:w="80" w:type="dxa"/>
            </w:tcMar>
          </w:tcPr>
          <w:p>
            <w:r>
              <w:rPr>
                <w:sz w:val="16"/>
              </w:rPr>
              <w:t>Database và backend lưu UTC; UI chuyển đổi sang timezone tenant/user.</w:t>
            </w:r>
          </w:p>
        </w:tc>
      </w:tr>
      <w:tr>
        <w:tc>
          <w:tcPr>
            <w:tcW w:type="dxa" w:w="1247"/>
            <w:vAlign w:val="top"/>
            <w:tcMar>
              <w:top w:w="80" w:type="dxa"/>
              <w:start w:w="80" w:type="dxa"/>
              <w:bottom w:w="80" w:type="dxa"/>
              <w:end w:w="80" w:type="dxa"/>
            </w:tcMar>
          </w:tcPr>
          <w:p>
            <w:r>
              <w:rPr>
                <w:sz w:val="16"/>
              </w:rPr>
              <w:t>NFR-010</w:t>
            </w:r>
          </w:p>
        </w:tc>
        <w:tc>
          <w:tcPr>
            <w:tcW w:type="dxa" w:w="1814"/>
            <w:vAlign w:val="top"/>
            <w:tcMar>
              <w:top w:w="80" w:type="dxa"/>
              <w:start w:w="80" w:type="dxa"/>
              <w:bottom w:w="80" w:type="dxa"/>
              <w:end w:w="80" w:type="dxa"/>
            </w:tcMar>
          </w:tcPr>
          <w:p>
            <w:r>
              <w:rPr>
                <w:sz w:val="16"/>
              </w:rPr>
              <w:t>Khả năng kiểm thử</w:t>
            </w:r>
          </w:p>
        </w:tc>
        <w:tc>
          <w:tcPr>
            <w:tcW w:type="dxa" w:w="6406"/>
            <w:vAlign w:val="top"/>
            <w:tcMar>
              <w:top w:w="80" w:type="dxa"/>
              <w:start w:w="80" w:type="dxa"/>
              <w:bottom w:w="80" w:type="dxa"/>
              <w:end w:w="80" w:type="dxa"/>
            </w:tcMar>
          </w:tcPr>
          <w:p>
            <w:r>
              <w:rPr>
                <w:sz w:val="16"/>
              </w:rPr>
              <w:t>Mỗi business rule và transition phải có acceptance criteria và test case dương/âm.</w:t>
            </w:r>
          </w:p>
        </w:tc>
      </w:tr>
    </w:tbl>
    <w:p/>
    <w:p>
      <w:pPr>
        <w:pStyle w:val="Heading1"/>
      </w:pPr>
      <w:r>
        <w:t>9. Giả định và điểm cần xác nhận</w:t>
      </w:r>
    </w:p>
    <w:tbl>
      <w:tblPr>
        <w:tblStyle w:val="TableGrid"/>
        <w:tblW w:type="auto" w:w="0"/>
        <w:tblLook w:firstColumn="1" w:firstRow="1" w:lastColumn="0" w:lastRow="0" w:noHBand="0" w:noVBand="1" w:val="04A0"/>
      </w:tblPr>
      <w:tblGrid>
        <w:gridCol w:w="10086"/>
      </w:tblGrid>
      <w:tr>
        <w:tc>
          <w:tcPr>
            <w:tcW w:type="dxa" w:w="10086"/>
            <w:shd w:fill="FFF4E5"/>
            <w:tcMar>
              <w:top w:w="120" w:type="dxa"/>
              <w:start w:w="120" w:type="dxa"/>
              <w:bottom w:w="120" w:type="dxa"/>
              <w:end w:w="120" w:type="dxa"/>
            </w:tcMar>
          </w:tcPr>
          <w:p>
            <w:r>
              <w:rPr>
                <w:b/>
              </w:rPr>
              <w:t xml:space="preserve">Cần xác nhận: </w:t>
            </w:r>
            <w:r>
              <w:t>Database thể hiện trạng thái hợp lệ nhưng không cưỡng chế đầy đủ đường chuyển trạng thái. Các state machine trong bộ tài liệu là đề xuất BA và cần Product Owner chốt.</w:t>
            </w:r>
          </w:p>
        </w:tc>
      </w:tr>
    </w:tbl>
    <w:p/>
    <w:p>
      <w:pPr>
        <w:pStyle w:val="ListBullet"/>
      </w:pPr>
      <w:r>
        <w:t>Quy tắc tự động phân công lead/ticket theo round-robin, territory hay team?</w:t>
      </w:r>
    </w:p>
    <w:p>
      <w:pPr>
        <w:pStyle w:val="ListBullet"/>
      </w:pPr>
      <w:r>
        <w:t>Điều kiện bắt buộc phê duyệt quote: theo discount, grand total, margin hay product?</w:t>
      </w:r>
    </w:p>
    <w:p>
      <w:pPr>
        <w:pStyle w:val="ListBullet"/>
      </w:pPr>
      <w:r>
        <w:t>Có cho phép tạo order trực tiếp không qua quote accepted?</w:t>
      </w:r>
    </w:p>
    <w:p>
      <w:pPr>
        <w:pStyle w:val="ListBullet"/>
      </w:pPr>
      <w:r>
        <w:t>Primary contact của opportunity có bắt buộc thuộc account không?</w:t>
      </w:r>
    </w:p>
    <w:p>
      <w:pPr>
        <w:pStyle w:val="ListBullet"/>
      </w:pPr>
      <w:r>
        <w:t>Quy tắc phát hiện và merge dữ liệu trùng account/contact/lead?</w:t>
      </w:r>
    </w:p>
    <w:p>
      <w:pPr>
        <w:pStyle w:val="ListBullet"/>
      </w:pPr>
      <w:r>
        <w:t>Cách tính SLA theo business hours, holiday và pause statuses cụ thể?</w:t>
      </w:r>
    </w:p>
    <w:p>
      <w:pPr>
        <w:pStyle w:val="ListBullet"/>
      </w:pPr>
      <w:r>
        <w:t>Chính sách retention theo từng entity và quốc gia/data region?</w:t>
      </w:r>
    </w:p>
    <w:p>
      <w:pPr>
        <w:pStyle w:val="ListBullet"/>
      </w:pPr>
      <w:r>
        <w:t>Những custom field nào là sensitive và cần data access logging?</w:t>
      </w:r>
    </w:p>
    <w:p>
      <w:pPr>
        <w:pStyle w:val="ListBullet"/>
      </w:pPr>
      <w:r>
        <w:t>Permission catalog và vai trò mặc định của từng tenant?</w:t>
      </w:r>
    </w:p>
    <w:p>
      <w:pPr>
        <w:pStyle w:val="ListBullet"/>
      </w:pPr>
      <w:r>
        <w:t>Quy tắc hủy/mở lại các trạng thái terminal và ai có quyền?</w:t>
      </w:r>
    </w:p>
    <w:p>
      <w:pPr>
        <w:pStyle w:val="Heading1"/>
      </w:pPr>
      <w:r>
        <w:t>10. Tiêu chí thành công cấp chương trình</w:t>
      </w:r>
    </w:p>
    <w:p>
      <w:pPr>
        <w:pStyle w:val="ListBullet"/>
      </w:pPr>
      <w:r>
        <w:t>100% nghiệp vụ đọc/ghi có tenant context và kiểm thử chống rò rỉ tenant.</w:t>
      </w:r>
    </w:p>
    <w:p>
      <w:pPr>
        <w:pStyle w:val="ListBullet"/>
      </w:pPr>
      <w:r>
        <w:t>Lead conversion và opportunity stage history truy vết được từ nguồn đến doanh thu.</w:t>
      </w:r>
    </w:p>
    <w:p>
      <w:pPr>
        <w:pStyle w:val="ListBullet"/>
      </w:pPr>
      <w:r>
        <w:t>Báo giá/đơn hàng/hợp đồng lịch sử không thay đổi khi catalog hoặc địa chỉ thay đổi.</w:t>
      </w:r>
    </w:p>
    <w:p>
      <w:pPr>
        <w:pStyle w:val="ListBullet"/>
      </w:pPr>
      <w:r>
        <w:t>Ticket có SLA, timeline và báo cáo overdue chính xác.</w:t>
      </w:r>
    </w:p>
    <w:p>
      <w:pPr>
        <w:pStyle w:val="ListBullet"/>
      </w:pPr>
      <w:r>
        <w:t>Outbound tuân consent/do-not-contact; privacy request có bằng chứng xử lý.</w:t>
      </w:r>
    </w:p>
    <w:p>
      <w:pPr>
        <w:pStyle w:val="ListBullet"/>
      </w:pPr>
      <w:r>
        <w:t>Tích hợp retry/idempotent và có khả năng điều tra từng event/delivery.</w:t>
      </w:r>
    </w:p>
    <w:p>
      <w:pPr>
        <w:pStyle w:val="ListBullet"/>
      </w:pPr>
      <w:r>
        <w:t>Business rule, use case, table và test case có traceability rõ ràng.</w:t>
      </w:r>
    </w:p>
    <w:sectPr w:rsidR="00FC693F" w:rsidRPr="0006063C" w:rsidSect="00034616">
      <w:headerReference w:type="default" r:id="rId9"/>
      <w:footerReference w:type="default" r:id="rId10"/>
      <w:pgSz w:w="12240" w:h="15840"/>
      <w:pgMar w:top="1020"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CRM BA Specification | Source: crm_mysql80.sql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E5E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3440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Note">
    <w:name w:val="BA Note"/>
    <w:rPr>
      <w:rFonts w:ascii="Liberation Sans" w:hAnsi="Liberation Sans"/>
      <w:i/>
      <w:color w:val="667085"/>
      <w:sz w:val="18"/>
    </w:rPr>
  </w:style>
  <w:style w:type="paragraph" w:customStyle="1" w:styleId="Small">
    <w:name w:val="Small"/>
    <w:rPr>
      <w:rFonts w:ascii="Liberation Sans" w:hAnsi="Liberation San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