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产品建设方案总册（目标态）</w:t>
      </w:r>
    </w:p>
    <w:p>
      <w:r>
        <w:t>本文档描述</w:t>
      </w:r>
      <w:r>
        <w:rPr>
          <w:b/>
        </w:rPr>
        <w:t>目标态</w:t>
      </w:r>
      <w:r>
        <w:t xml:space="preserve">产品能力与模块划分，用于对外讲清「产品由哪些大块构成」、对内支撑 </w:t>
        <w:t>模块化报价单 碳足迹系统_模块化报价单.xlsx</w:t>
        <w:t xml:space="preserve"> 与交付范围对齐。</w:t>
      </w:r>
      <w:r>
        <w:rPr>
          <w:b/>
        </w:rPr>
        <w:t>不替代</w:t>
      </w:r>
      <w:r>
        <w:t>业务流程与状态规则的权威表述：订单/任务/报告边界与申诉归档等仍以 01_整体业务与产品设计审查 ../docs/01_业务与流程/01_整体业务与产品设计审查.md、04_任务调度与状态机 ../docs/01_业务与流程/04_任务调度与状态机.md、08_PR_任务与报告边界设计方案 ../docs/02_功能与对接/08_PR_任务与报告边界设计方案.md 为准。迭代节奏见 迭代计划与排期说明 ../docs/00_迭代计划/迭代计划与排期说明.md。</w:t>
      </w:r>
    </w:p>
    <w:p>
      <w:pPr>
        <w:pStyle w:val="Heading2"/>
      </w:pPr>
      <w:r>
        <w:t>一、产品定位与范围边界</w:t>
      </w:r>
    </w:p>
    <w:p>
      <w:pPr>
        <w:pStyle w:val="Heading3"/>
      </w:pPr>
      <w:r>
        <w:t>1.1 价值主张</w:t>
      </w:r>
    </w:p>
    <w:p>
      <w:r>
        <w:t xml:space="preserve">为钢铁产业链提供 </w:t>
      </w:r>
      <w:r>
        <w:rPr>
          <w:b/>
        </w:rPr>
        <w:t>产品碳足迹核算与第三方核查认证</w:t>
      </w:r>
      <w:r>
        <w:t xml:space="preserve"> 的数字化闭环：从订单与任务编排、模板化数据采集与凭证、生命周期计算衔接、核查协作，到报告与证书的用印、下发、供应商确认或申诉、归档与可追溯，形成 </w:t>
      </w:r>
      <w:r>
        <w:rPr>
          <w:b/>
        </w:rPr>
        <w:t>订单 → 任务 → 报告</w:t>
      </w:r>
      <w:r>
        <w:t xml:space="preserve"> 的可运营链路。架构定位摘要见 01 §1.0 ../docs/01_业务与流程/01_整体业务与产品设计审查.md。</w:t>
      </w:r>
    </w:p>
    <w:p>
      <w:pPr>
        <w:pStyle w:val="Heading3"/>
      </w:pPr>
      <w:r>
        <w:t>1.2 在范围（目标能力）</w:t>
      </w:r>
    </w:p>
    <w:p>
      <w:pPr>
        <w:pStyle w:val="ListBullet"/>
      </w:pPr>
      <w:r>
        <w:t>多角色工作台：</w:t>
      </w:r>
      <w:r>
        <w:rPr>
          <w:b/>
        </w:rPr>
        <w:t>运营管理端</w:t>
      </w:r>
      <w:r>
        <w:t>、</w:t>
      </w:r>
      <w:r>
        <w:rPr>
          <w:b/>
        </w:rPr>
        <w:t>供应商工作台</w:t>
      </w:r>
      <w:r>
        <w:t>、</w:t>
      </w:r>
      <w:r>
        <w:rPr>
          <w:b/>
        </w:rPr>
        <w:t>认证/核查机构工作台</w:t>
      </w:r>
      <w:r>
        <w:t>（及门户入口）。</w:t>
      </w:r>
    </w:p>
    <w:p>
      <w:pPr>
        <w:pStyle w:val="ListBullet"/>
      </w:pPr>
      <w:r>
        <w:t xml:space="preserve">任务 </w:t>
      </w:r>
      <w:r>
        <w:rPr>
          <w:b/>
        </w:rPr>
        <w:t>五阶段</w:t>
      </w:r>
      <w:r>
        <w:t>：配置 → 采集（含审核）→ 计算 → 核查 → 报告阶段跳转与报告管理闭环（规则见 01/04/08）。</w:t>
      </w:r>
    </w:p>
    <w:p>
      <w:pPr>
        <w:pStyle w:val="ListBullet"/>
      </w:pPr>
      <w:r>
        <w:rPr>
          <w:b/>
        </w:rPr>
        <w:t>模板与结构化采集</w:t>
      </w:r>
      <w:r>
        <w:t>、</w:t>
      </w:r>
      <w:r>
        <w:rPr>
          <w:b/>
        </w:rPr>
        <w:t>协同澄清</w:t>
      </w:r>
      <w:r>
        <w:t>、</w:t>
      </w:r>
      <w:r>
        <w:rPr>
          <w:b/>
        </w:rPr>
        <w:t>报告与证书</w:t>
      </w:r>
      <w:r>
        <w:t>全周期在系统内可管理（含与 TDS/连接器能力的规划衔接，见 05 ../docs/05_标准与合规/、11 ../docs/02_功能与对接/11_接口与互操作设计（实施期）.md）。</w:t>
      </w:r>
    </w:p>
    <w:p>
      <w:pPr>
        <w:pStyle w:val="Heading3"/>
      </w:pPr>
      <w:r>
        <w:t>1.3 不在范围或需单独约定（与报价「假设与不包含」对齐）</w:t>
      </w:r>
    </w:p>
    <w:p>
      <w:pPr>
        <w:pStyle w:val="ListBullet"/>
      </w:pPr>
      <w:r>
        <w:rPr>
          <w:b/>
        </w:rPr>
        <w:t>L1 商城本体</w:t>
      </w:r>
      <w:r>
        <w:t>（下单支付页面与支付渠道）；本系统接收订单或对接回调，不产生商城代码交付。</w:t>
      </w:r>
    </w:p>
    <w:p>
      <w:pPr>
        <w:pStyle w:val="ListBullet"/>
      </w:pPr>
      <w:r>
        <w:rPr>
          <w:b/>
        </w:rPr>
        <w:t>生产级中心连接器</w:t>
      </w:r>
      <w:r>
        <w:t>全网能力可在后续阶段建设；第一阶段 «连接器基础版» 可为技术储备，参见 11 ../docs/02_功能与对接/11_接口与互操作设计（实施期）.md 与 第一阶段设计方案 ../docs/00_迭代计划/第一阶段设计方案.md。</w:t>
      </w:r>
    </w:p>
    <w:p>
      <w:pPr>
        <w:pStyle w:val="ListBullet"/>
      </w:pPr>
      <w:r>
        <w:rPr>
          <w:b/>
        </w:rPr>
        <w:t>OA 电子签章</w:t>
      </w:r>
      <w:r>
        <w:t xml:space="preserve">、部分 </w:t>
      </w:r>
      <w:r>
        <w:rPr>
          <w:b/>
        </w:rPr>
        <w:t>结算中心</w:t>
      </w:r>
      <w:r>
        <w:t xml:space="preserve"> 完整业务等，可按第二阶段及以后增强，见第一阶段方案「排除」列。</w:t>
      </w:r>
    </w:p>
    <w:p>
      <w:pPr>
        <w:pStyle w:val="ListBullet"/>
      </w:pPr>
      <w:r>
        <w:rPr>
          <w:b/>
        </w:rPr>
        <w:t>第三方表格控件商业授权</w:t>
      </w:r>
      <w:r>
        <w:t>（如 SpreadJS）费用由厂商报价或客户自采，与开发人天分列。</w:t>
      </w:r>
    </w:p>
    <w:p>
      <w:pPr>
        <w:pStyle w:val="Heading2"/>
      </w:pPr>
      <w:r>
        <w:t>二、业务价值层与应用模块层</w:t>
      </w:r>
    </w:p>
    <w:p>
      <w:pPr>
        <w:pStyle w:val="Heading3"/>
      </w:pPr>
      <w:r>
        <w:t>2.1 业务价值层（面向客户与决策）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价值主题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合约与订单贯通</w:t>
            </w:r>
          </w:p>
        </w:tc>
        <w:tc>
          <w:tcPr>
            <w:tcW w:type="dxa" w:w="0"/>
          </w:tcPr>
          <w:p>
            <w:r>
              <w:t>将商务订单转化为可执行任务，驱动全流程状态与终态。</w:t>
            </w:r>
          </w:p>
        </w:tc>
      </w:tr>
      <w:tr>
        <w:tc>
          <w:tcPr>
            <w:tcW w:type="dxa" w:w="0"/>
          </w:tcPr>
          <w:p>
            <w:r>
              <w:t>数据采集与质量</w:t>
            </w:r>
          </w:p>
        </w:tc>
        <w:tc>
          <w:tcPr>
            <w:tcW w:type="dxa" w:w="0"/>
          </w:tcPr>
          <w:p>
            <w:r>
              <w:t>模板化、凭证化采集，支撑复核与核查取证。</w:t>
            </w:r>
          </w:p>
        </w:tc>
      </w:tr>
      <w:tr>
        <w:tc>
          <w:tcPr>
            <w:tcW w:type="dxa" w:w="0"/>
          </w:tcPr>
          <w:p>
            <w:r>
              <w:t>核算与核查可信</w:t>
            </w:r>
          </w:p>
        </w:tc>
        <w:tc>
          <w:tcPr>
            <w:tcW w:type="dxa" w:w="0"/>
          </w:tcPr>
          <w:p>
            <w:r>
              <w:t>计算衔接与第三方核查协作，形成可问责的过程记录。</w:t>
            </w:r>
          </w:p>
        </w:tc>
      </w:tr>
      <w:tr>
        <w:tc>
          <w:tcPr>
            <w:tcW w:type="dxa" w:w="0"/>
          </w:tcPr>
          <w:p>
            <w:r>
              <w:t>报告与资产化</w:t>
            </w:r>
          </w:p>
        </w:tc>
        <w:tc>
          <w:tcPr>
            <w:tcW w:type="dxa" w:w="0"/>
          </w:tcPr>
          <w:p>
            <w:r>
              <w:t>用印报告与证书的下发、确认/申诉、归档与追溯。</w:t>
            </w:r>
          </w:p>
        </w:tc>
      </w:tr>
      <w:tr>
        <w:tc>
          <w:tcPr>
            <w:tcW w:type="dxa" w:w="0"/>
          </w:tcPr>
          <w:p>
            <w:r>
              <w:t>生态与平台运营</w:t>
            </w:r>
          </w:p>
        </w:tc>
        <w:tc>
          <w:tcPr>
            <w:tcW w:type="dxa" w:w="0"/>
          </w:tcPr>
          <w:p>
            <w:r>
              <w:t>供应商/核查机构主数据、模板中心、权限与审计、门户与品牌。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2.2 应用模块层（10 个模块，报价对照见第七节）</w:t>
      </w:r>
    </w:p>
    <w:p>
      <w:pPr>
        <w:pStyle w:val="Heading3"/>
      </w:pPr>
    </w:p>
    <w:p>
      <w:r>
        <w:t xml:space="preserve">模块命名与 </w:t>
        <w:t>模块化报价单 碳足迹系统_模块化报价单.xlsx</w:t>
        <w:t xml:space="preserve"> 「一级模块」为多对一映射：</w:t>
      </w:r>
      <w:r>
        <w:rPr>
          <w:b/>
        </w:rPr>
        <w:t>报价单列</w:t>
      </w:r>
      <w:r>
        <w:t>按端与横向能力拆分，</w:t>
      </w:r>
      <w:r>
        <w:rPr>
          <w:b/>
        </w:rPr>
        <w:t>本总册</w:t>
      </w:r>
      <w:r>
        <w:t>按产品能力聚合，避免与 HTML 文件名逐一对齐。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编号</w:t>
            </w:r>
          </w:p>
        </w:tc>
        <w:tc>
          <w:tcPr>
            <w:tcW w:type="dxa" w:w="0"/>
          </w:tcPr>
          <w:p>
            <w:r>
              <w:t>应用模块</w:t>
            </w:r>
          </w:p>
        </w:tc>
        <w:tc>
          <w:tcPr>
            <w:tcW w:type="dxa" w:w="0"/>
          </w:tcPr>
          <w:p>
            <w:r>
              <w:t>概要</w:t>
            </w:r>
          </w:p>
        </w:tc>
      </w:tr>
      <w:tr>
        <w:tc>
          <w:tcPr>
            <w:tcW w:type="dxa" w:w="0"/>
          </w:tcPr>
          <w:p>
            <w:r>
              <w:t>M01</w:t>
            </w:r>
          </w:p>
        </w:tc>
        <w:tc>
          <w:tcPr>
            <w:tcW w:type="dxa" w:w="0"/>
          </w:tcPr>
          <w:p>
            <w:r>
              <w:t>门户与品牌入口</w:t>
            </w:r>
          </w:p>
        </w:tc>
        <w:tc>
          <w:tcPr>
            <w:tcW w:type="dxa" w:w="0"/>
          </w:tcPr>
          <w:p>
            <w:r>
              <w:t>一级/二级门户、产品叙事、三端导航。</w:t>
            </w:r>
          </w:p>
        </w:tc>
      </w:tr>
      <w:tr>
        <w:tc>
          <w:tcPr>
            <w:tcW w:type="dxa" w:w="0"/>
          </w:tcPr>
          <w:p>
            <w:r>
              <w:t>M02</w:t>
            </w:r>
          </w:p>
        </w:tc>
        <w:tc>
          <w:tcPr>
            <w:tcW w:type="dxa" w:w="0"/>
          </w:tcPr>
          <w:p>
            <w:r>
              <w:t>订单与任务编排</w:t>
            </w:r>
          </w:p>
        </w:tc>
        <w:tc>
          <w:tcPr>
            <w:tcW w:type="dxa" w:w="0"/>
          </w:tcPr>
          <w:p>
            <w:r>
              <w:t>订单状态、确认分配任务、任务列表与五阶段详情/工作台。</w:t>
            </w:r>
          </w:p>
        </w:tc>
      </w:tr>
      <w:tr>
        <w:tc>
          <w:tcPr>
            <w:tcW w:type="dxa" w:w="0"/>
          </w:tcPr>
          <w:p>
            <w:r>
              <w:t>M03</w:t>
            </w:r>
          </w:p>
        </w:tc>
        <w:tc>
          <w:tcPr>
            <w:tcW w:type="dxa" w:w="0"/>
          </w:tcPr>
          <w:p>
            <w:r>
              <w:t>模板与结构化采集</w:t>
            </w:r>
          </w:p>
        </w:tc>
        <w:tc>
          <w:tcPr>
            <w:tcW w:type="dxa" w:w="0"/>
          </w:tcPr>
          <w:p>
            <w:r>
              <w:t>模板中心、Snapshot、表端填报与中心端采集审核。</w:t>
            </w:r>
          </w:p>
        </w:tc>
      </w:tr>
      <w:tr>
        <w:tc>
          <w:tcPr>
            <w:tcW w:type="dxa" w:w="0"/>
          </w:tcPr>
          <w:p>
            <w:r>
              <w:t>M04</w:t>
            </w:r>
          </w:p>
        </w:tc>
        <w:tc>
          <w:tcPr>
            <w:tcW w:type="dxa" w:w="0"/>
          </w:tcPr>
          <w:p>
            <w:r>
              <w:t>协同与澄清</w:t>
            </w:r>
          </w:p>
        </w:tc>
        <w:tc>
          <w:tcPr>
            <w:tcW w:type="dxa" w:w="0"/>
          </w:tcPr>
          <w:p>
            <w:r>
              <w:t>驳回/澄清/异议、消息与多端可见性（参见 04 目录文档）。</w:t>
            </w:r>
          </w:p>
        </w:tc>
      </w:tr>
      <w:tr>
        <w:tc>
          <w:tcPr>
            <w:tcW w:type="dxa" w:w="0"/>
          </w:tcPr>
          <w:p>
            <w:r>
              <w:t>M05</w:t>
            </w:r>
          </w:p>
        </w:tc>
        <w:tc>
          <w:tcPr>
            <w:tcW w:type="dxa" w:w="0"/>
          </w:tcPr>
          <w:p>
            <w:r>
              <w:t>LCA 与计算衔接</w:t>
            </w:r>
          </w:p>
        </w:tc>
        <w:tc>
          <w:tcPr>
            <w:tcW w:type="dxa" w:w="0"/>
          </w:tcPr>
          <w:p>
            <w:r>
              <w:t>计算阶段状态、与外部 LCA/SaaS 的手工或接口衔接。</w:t>
            </w:r>
          </w:p>
        </w:tc>
      </w:tr>
      <w:tr>
        <w:tc>
          <w:tcPr>
            <w:tcW w:type="dxa" w:w="0"/>
          </w:tcPr>
          <w:p>
            <w:r>
              <w:t>M06</w:t>
            </w:r>
          </w:p>
        </w:tc>
        <w:tc>
          <w:tcPr>
            <w:tcW w:type="dxa" w:w="0"/>
          </w:tcPr>
          <w:p>
            <w:r>
              <w:t>核查与认证协作</w:t>
            </w:r>
          </w:p>
        </w:tc>
        <w:tc>
          <w:tcPr>
            <w:tcW w:type="dxa" w:w="0"/>
          </w:tcPr>
          <w:p>
            <w:r>
              <w:t>核查任务列表与详情、通过/驳回/澄清、与运营侧衔接。</w:t>
            </w:r>
          </w:p>
        </w:tc>
      </w:tr>
      <w:tr>
        <w:tc>
          <w:tcPr>
            <w:tcW w:type="dxa" w:w="0"/>
          </w:tcPr>
          <w:p>
            <w:r>
              <w:t>M07</w:t>
            </w:r>
          </w:p>
        </w:tc>
        <w:tc>
          <w:tcPr>
            <w:tcW w:type="dxa" w:w="0"/>
          </w:tcPr>
          <w:p>
            <w:r>
              <w:t>报告与证书全周期</w:t>
            </w:r>
          </w:p>
        </w:tc>
        <w:tc>
          <w:tcPr>
            <w:tcW w:type="dxa" w:w="0"/>
          </w:tcPr>
          <w:p>
            <w:r>
              <w:t>报告管理：用印版、下发、供应商确认/申诉、申诉处理、归档规则（均在报告管理完成，见 01 §1.8）。</w:t>
            </w:r>
          </w:p>
        </w:tc>
      </w:tr>
      <w:tr>
        <w:tc>
          <w:tcPr>
            <w:tcW w:type="dxa" w:w="0"/>
          </w:tcPr>
          <w:p>
            <w:r>
              <w:t>M08</w:t>
            </w:r>
          </w:p>
        </w:tc>
        <w:tc>
          <w:tcPr>
            <w:tcW w:type="dxa" w:w="0"/>
          </w:tcPr>
          <w:p>
            <w:r>
              <w:t>生态主数据</w:t>
            </w:r>
          </w:p>
        </w:tc>
        <w:tc>
          <w:tcPr>
            <w:tcW w:type="dxa" w:w="0"/>
          </w:tcPr>
          <w:p>
            <w:r>
              <w:t>供应商与核查机构 CRM、企业与证照数据与任务关联。</w:t>
            </w:r>
          </w:p>
        </w:tc>
      </w:tr>
      <w:tr>
        <w:tc>
          <w:tcPr>
            <w:tcW w:type="dxa" w:w="0"/>
          </w:tcPr>
          <w:p>
            <w:r>
              <w:t>M09</w:t>
            </w:r>
          </w:p>
        </w:tc>
        <w:tc>
          <w:tcPr>
            <w:tcW w:type="dxa" w:w="0"/>
          </w:tcPr>
          <w:p>
            <w:r>
              <w:t>平台治理与安全基座</w:t>
            </w:r>
          </w:p>
        </w:tc>
        <w:tc>
          <w:tcPr>
            <w:tcW w:type="dxa" w:w="0"/>
          </w:tcPr>
          <w:p>
            <w:r>
              <w:t>用户、RBAC、操作日志、文件与安全策略等。</w:t>
            </w:r>
          </w:p>
        </w:tc>
      </w:tr>
      <w:tr>
        <w:tc>
          <w:tcPr>
            <w:tcW w:type="dxa" w:w="0"/>
          </w:tcPr>
          <w:p>
            <w:r>
              <w:t>M10</w:t>
            </w:r>
          </w:p>
        </w:tc>
        <w:tc>
          <w:tcPr>
            <w:tcW w:type="dxa" w:w="0"/>
          </w:tcPr>
          <w:p>
            <w:r>
              <w:t>连接与体系互操作</w:t>
            </w:r>
          </w:p>
        </w:tc>
        <w:tc>
          <w:tcPr>
            <w:tcW w:type="dxa" w:w="0"/>
          </w:tcPr>
          <w:p>
            <w:r>
              <w:t>商城、连接器、SaaS/轻量化等分阶段接口与互联互通（11）。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2.3 价值—模块关系（概念图）</w:t>
      </w:r>
    </w:p>
    <w:p>
      <w:pPr>
        <w:pStyle w:val="Heading3"/>
      </w:pPr>
    </w:p>
    <w:p>
      <w:r>
        <w:rPr>
          <w:b/>
        </w:rPr>
        <w:t>[图示]</w:t>
      </w:r>
      <w:r>
        <w:t xml:space="preserve"> 以下 Mermaid 图请查看同名 </w:t>
      </w:r>
      <w:r>
        <w:rPr>
          <w:rFonts w:ascii="Mono" w:hAnsi="Mono"/>
        </w:rPr>
        <w:t>.md</w:t>
      </w:r>
      <w:r>
        <w:t xml:space="preserve"> 源文件。</w:t>
      </w:r>
    </w:p>
    <w:p>
      <w:pPr>
        <w:pStyle w:val="Heading2"/>
      </w:pPr>
      <w:r>
        <w:t>三、应用模块 × 三端能力矩阵</w:t>
      </w:r>
    </w:p>
    <w:p>
      <w:r>
        <w:t>「同一业务动作只在一行」归纳；页面/文件名仅在交付映射表（附录）中展开。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应用模块</w:t>
            </w:r>
          </w:p>
        </w:tc>
        <w:tc>
          <w:tcPr>
            <w:tcW w:type="dxa" w:w="0"/>
          </w:tcPr>
          <w:p>
            <w:r>
              <w:t>运营管理端（中心）</w:t>
            </w:r>
          </w:p>
        </w:tc>
        <w:tc>
          <w:tcPr>
            <w:tcW w:type="dxa" w:w="0"/>
          </w:tcPr>
          <w:p>
            <w:r>
              <w:t>供应商工作台</w:t>
            </w:r>
          </w:p>
        </w:tc>
        <w:tc>
          <w:tcPr>
            <w:tcW w:type="dxa" w:w="0"/>
          </w:tcPr>
          <w:p>
            <w:r>
              <w:t>认证/核查机构工作台</w:t>
            </w:r>
          </w:p>
        </w:tc>
        <w:tc>
          <w:tcPr>
            <w:tcW w:type="dxa" w:w="0"/>
          </w:tcPr>
          <w:p>
            <w:r>
              <w:t>主要横向依赖</w:t>
            </w:r>
          </w:p>
        </w:tc>
      </w:tr>
      <w:tr>
        <w:tc>
          <w:tcPr>
            <w:tcW w:type="dxa" w:w="0"/>
          </w:tcPr>
          <w:p>
            <w:r>
              <w:t>M01 门户与品牌入口</w:t>
            </w:r>
          </w:p>
        </w:tc>
        <w:tc>
          <w:tcPr>
            <w:tcW w:type="dxa" w:w="0"/>
          </w:tcPr>
          <w:p>
            <w:r>
              <w:t>无独立大块（入口自门户跳转）</w:t>
            </w:r>
          </w:p>
        </w:tc>
        <w:tc>
          <w:tcPr>
            <w:tcW w:type="dxa" w:w="0"/>
          </w:tcPr>
          <w:p>
            <w:r>
              <w:t>返回门户、帮助入口</w:t>
            </w:r>
          </w:p>
        </w:tc>
        <w:tc>
          <w:tcPr>
            <w:tcW w:type="dxa" w:w="0"/>
          </w:tcPr>
          <w:p>
            <w:r>
              <w:t>返回门户、帮助入口</w:t>
            </w:r>
          </w:p>
        </w:tc>
        <w:tc>
          <w:tcPr>
            <w:tcW w:type="dxa" w:w="0"/>
          </w:tcPr>
          <w:p>
            <w:r>
              <w:t>静态资源与部署</w:t>
            </w:r>
          </w:p>
        </w:tc>
      </w:tr>
      <w:tr>
        <w:tc>
          <w:tcPr>
            <w:tcW w:type="dxa" w:w="0"/>
          </w:tcPr>
          <w:p>
            <w:r>
              <w:t>M02 订单与任务编排</w:t>
            </w:r>
          </w:p>
        </w:tc>
        <w:tc>
          <w:tcPr>
            <w:tcW w:type="dxa" w:w="0"/>
          </w:tcPr>
          <w:p>
            <w:r>
              <w:t>订单管理；自营/委托任务列表；任务详情（配置/采集/计算/核查）；工作台；阶段 4 跳转报告管理</w:t>
            </w:r>
          </w:p>
        </w:tc>
        <w:tc>
          <w:tcPr>
            <w:tcW w:type="dxa" w:w="0"/>
          </w:tcPr>
          <w:p>
            <w:r>
              <w:t>待办类型与任务跳转；不与报告操作混列</w:t>
            </w:r>
          </w:p>
        </w:tc>
        <w:tc>
          <w:tcPr>
            <w:tcW w:type="dxa" w:w="0"/>
          </w:tcPr>
          <w:p>
            <w:r>
              <w:t>任务与订单号对齐；核查阶段与运营一致</w:t>
            </w:r>
          </w:p>
        </w:tc>
        <w:tc>
          <w:tcPr>
            <w:tcW w:type="dxa" w:w="0"/>
          </w:tcPr>
          <w:p>
            <w:r>
              <w:t>统一 taskId/orderNo（</w:t>
              <w:t>02数据字典 ../docs/01_业务与流程/02_全局数据字典与枚举.md</w:t>
              <w:t>）</w:t>
            </w:r>
          </w:p>
        </w:tc>
      </w:tr>
      <w:tr>
        <w:tc>
          <w:tcPr>
            <w:tcW w:type="dxa" w:w="0"/>
          </w:tcPr>
          <w:p>
            <w:r>
              <w:t>M03 模板与结构化采集</w:t>
            </w:r>
          </w:p>
        </w:tc>
        <w:tc>
          <w:tcPr>
            <w:tcW w:type="dxa" w:w="0"/>
          </w:tcPr>
          <w:p>
            <w:r>
              <w:t>模板中心；任务配置选模板生成 Snapshot；采集审核</w:t>
            </w:r>
          </w:p>
        </w:tc>
        <w:tc>
          <w:tcPr>
            <w:tcW w:type="dxa" w:w="0"/>
          </w:tcPr>
          <w:p>
            <w:r>
              <w:t>任务填报、凭证上传；驳回后重填</w:t>
            </w:r>
          </w:p>
        </w:tc>
        <w:tc>
          <w:tcPr>
            <w:tcW w:type="dxa" w:w="0"/>
          </w:tcPr>
          <w:p>
            <w:r>
              <w:t>只读调阅核算数据与凭证（详情页）</w:t>
            </w:r>
          </w:p>
        </w:tc>
        <w:tc>
          <w:tcPr>
            <w:tcW w:type="dxa" w:w="0"/>
          </w:tcPr>
          <w:p>
            <w:r>
              <w:t>05 模板引擎 ../docs/02_功能与对接/05_模板引擎解析逻辑.md</w:t>
              <w:t>、Spread 授权</w:t>
            </w:r>
          </w:p>
        </w:tc>
      </w:tr>
      <w:tr>
        <w:tc>
          <w:tcPr>
            <w:tcW w:type="dxa" w:w="0"/>
          </w:tcPr>
          <w:p>
            <w:r>
              <w:t>M04 协同与澄清</w:t>
            </w:r>
          </w:p>
        </w:tc>
        <w:tc>
          <w:tcPr>
            <w:tcW w:type="dxa" w:w="0"/>
          </w:tcPr>
          <w:p>
            <w:r>
              <w:t>采集/核查侧驳回与澄清协作；报告阶段异议处理在报告管理</w:t>
            </w:r>
          </w:p>
        </w:tc>
        <w:tc>
          <w:tcPr>
            <w:tcW w:type="dxa" w:w="0"/>
          </w:tcPr>
          <w:p>
            <w:r>
              <w:t>待澄清回复与佐证</w:t>
            </w:r>
          </w:p>
        </w:tc>
        <w:tc>
          <w:tcPr>
            <w:tcW w:type="dxa" w:w="0"/>
          </w:tcPr>
          <w:p>
            <w:r>
              <w:t>发起/响应澄清与核查结论</w:t>
            </w:r>
          </w:p>
        </w:tc>
        <w:tc>
          <w:tcPr>
            <w:tcW w:type="dxa" w:w="0"/>
          </w:tcPr>
          <w:p>
            <w:r>
              <w:t>04 澄清与消息 ../docs/04_澄清与消息/19_驳回澄清与消息实施方案.md</w:t>
            </w:r>
          </w:p>
        </w:tc>
      </w:tr>
      <w:tr>
        <w:tc>
          <w:tcPr>
            <w:tcW w:type="dxa" w:w="0"/>
          </w:tcPr>
          <w:p>
            <w:r>
              <w:t>M05 LCA 与计算衔接</w:t>
            </w:r>
          </w:p>
        </w:tc>
        <w:tc>
          <w:tcPr>
            <w:tcW w:type="dxa" w:w="0"/>
          </w:tcPr>
          <w:p>
            <w:r>
              <w:t>计算阶段调度与状态；预留接口</w:t>
            </w:r>
          </w:p>
        </w:tc>
        <w:tc>
          <w:tcPr>
            <w:tcW w:type="dxa" w:w="0"/>
          </w:tcPr>
          <w:p>
            <w:r>
              <w:t>仅受任务状态影响（按需提示）</w:t>
            </w:r>
          </w:p>
        </w:tc>
        <w:tc>
          <w:tcPr>
            <w:tcW w:type="dxa" w:w="0"/>
          </w:tcPr>
          <w:p>
            <w:r>
              <w:t>一般不直接操作</w:t>
            </w:r>
          </w:p>
        </w:tc>
        <w:tc>
          <w:tcPr>
            <w:tcW w:type="dxa" w:w="0"/>
          </w:tcPr>
          <w:p>
            <w:r>
              <w:t>外部计算/SaaS（</w:t>
              <w:t>11 ../docs/02_功能与对接/11_接口与互操作设计（实施期）.md</w:t>
              <w:t>）</w:t>
            </w:r>
          </w:p>
        </w:tc>
      </w:tr>
      <w:tr>
        <w:tc>
          <w:tcPr>
            <w:tcW w:type="dxa" w:w="0"/>
          </w:tcPr>
          <w:p>
            <w:r>
              <w:t>M06 核查与认证协作</w:t>
            </w:r>
          </w:p>
        </w:tc>
        <w:tc>
          <w:tcPr>
            <w:tcW w:type="dxa" w:w="0"/>
          </w:tcPr>
          <w:p>
            <w:r>
              <w:t>核查阶段详情与协作日志；与核查端状态同步</w:t>
            </w:r>
          </w:p>
        </w:tc>
        <w:tc>
          <w:tcPr>
            <w:tcW w:type="dxa" w:w="0"/>
          </w:tcPr>
          <w:p>
            <w:r>
              <w:t>间接（数据采集质量）</w:t>
            </w:r>
          </w:p>
        </w:tc>
        <w:tc>
          <w:tcPr>
            <w:tcW w:type="dxa" w:w="0"/>
          </w:tcPr>
          <w:p>
            <w:r>
              <w:t>仪表盘、核查列表/详情、通过/驳回/澄清、证书记录</w:t>
            </w:r>
          </w:p>
        </w:tc>
        <w:tc>
          <w:tcPr>
            <w:tcW w:type="dxa" w:w="0"/>
          </w:tcPr>
          <w:p>
            <w:r>
              <w:t>供应商证照只读拉取（</w:t>
              <w:t>09 ../docs/02_功能与对接/09_核查机构端功能清单与入口说明.md</w:t>
              <w:t>）</w:t>
            </w:r>
          </w:p>
        </w:tc>
      </w:tr>
      <w:tr>
        <w:tc>
          <w:tcPr>
            <w:tcW w:type="dxa" w:w="0"/>
          </w:tcPr>
          <w:p>
            <w:r>
              <w:t>M07 报告与证书全周期</w:t>
            </w:r>
          </w:p>
        </w:tc>
        <w:tc>
          <w:tcPr>
            <w:tcW w:type="dxa" w:w="0"/>
          </w:tcPr>
          <w:p>
            <w:r>
              <w:rPr>
                <w:b/>
              </w:rPr>
              <w:t>唯一</w:t>
            </w:r>
            <w:r>
              <w:t>执行：用印版上传、勾选下发、申诉处理、归档上链</w:t>
            </w:r>
          </w:p>
        </w:tc>
        <w:tc>
          <w:tcPr>
            <w:tcW w:type="dxa" w:w="0"/>
          </w:tcPr>
          <w:p>
            <w:r>
              <w:rPr>
                <w:b/>
              </w:rPr>
              <w:t>我的报告</w:t>
            </w:r>
            <w:r>
              <w:t>：预览、确认接收、申诉</w:t>
            </w:r>
          </w:p>
        </w:tc>
        <w:tc>
          <w:tcPr>
            <w:tcW w:type="dxa" w:w="0"/>
          </w:tcPr>
          <w:p>
            <w:r>
              <w:t>证书颁发管理列表与查看；与运营报告链路衔接</w:t>
            </w:r>
          </w:p>
        </w:tc>
        <w:tc>
          <w:tcPr>
            <w:tcW w:type="dxa" w:w="0"/>
          </w:tcPr>
          <w:p>
            <w:r>
              <w:t xml:space="preserve">规则见 </w:t>
              <w:t>01 §1.7–1.8 ../docs/01_业务与流程/01_整体业务与产品设计审查.md</w:t>
              <w:t>、</w:t>
              <w:t>08 ../docs/02_功能与对接/08_PR_任务与报告边界设计方案.md</w:t>
            </w:r>
          </w:p>
        </w:tc>
      </w:tr>
      <w:tr>
        <w:tc>
          <w:tcPr>
            <w:tcW w:type="dxa" w:w="0"/>
          </w:tcPr>
          <w:p>
            <w:r>
              <w:t>M08 生态主数据</w:t>
            </w:r>
          </w:p>
        </w:tc>
        <w:tc>
          <w:tcPr>
            <w:tcW w:type="dxa" w:w="0"/>
          </w:tcPr>
          <w:p>
            <w:r>
              <w:t>供应商管理、核查机构管理、详情与证照视图</w:t>
            </w:r>
          </w:p>
        </w:tc>
        <w:tc>
          <w:tcPr>
            <w:tcW w:type="dxa" w:w="0"/>
          </w:tcPr>
          <w:p>
            <w:r>
              <w:t>企业信息与证照维护/同步</w:t>
            </w:r>
          </w:p>
        </w:tc>
        <w:tc>
          <w:tcPr>
            <w:tcW w:type="dxa" w:w="0"/>
          </w:tcPr>
          <w:p>
            <w:r>
              <w:t>任务内调阅证照，不维护主数据</w:t>
            </w:r>
          </w:p>
        </w:tc>
        <w:tc>
          <w:tcPr>
            <w:tcW w:type="dxa" w:w="0"/>
          </w:tcPr>
          <w:p>
            <w:r>
              <w:t>06 ../docs/02_功能与对接/06_供应商工作台功能清单与信息结构.md</w:t>
              <w:t>、TDS 同步路径</w:t>
            </w:r>
          </w:p>
        </w:tc>
      </w:tr>
      <w:tr>
        <w:tc>
          <w:tcPr>
            <w:tcW w:type="dxa" w:w="0"/>
          </w:tcPr>
          <w:p>
            <w:r>
              <w:t>M09 平台治理与安全基座</w:t>
            </w:r>
          </w:p>
        </w:tc>
        <w:tc>
          <w:tcPr>
            <w:tcW w:type="dxa" w:w="0"/>
          </w:tcPr>
          <w:p>
            <w:r>
              <w:t>系统管理（RBAC、日志等）</w:t>
            </w:r>
          </w:p>
        </w:tc>
        <w:tc>
          <w:tcPr>
            <w:tcW w:type="dxa" w:w="0"/>
          </w:tcPr>
          <w:p>
            <w:r>
              <w:t>登录与权限（实施期）</w:t>
            </w:r>
          </w:p>
        </w:tc>
        <w:tc>
          <w:tcPr>
            <w:tcW w:type="dxa" w:w="0"/>
          </w:tcPr>
          <w:p>
            <w:r>
              <w:t>登录与权限（实施期）</w:t>
            </w:r>
          </w:p>
        </w:tc>
        <w:tc>
          <w:tcPr>
            <w:tcW w:type="dxa" w:w="0"/>
          </w:tcPr>
          <w:p>
            <w:r>
              <w:t>02 §3 ../docs/01_业务与流程/02_全局数据字典与枚举.md</w:t>
            </w:r>
          </w:p>
        </w:tc>
      </w:tr>
      <w:tr>
        <w:tc>
          <w:tcPr>
            <w:tcW w:type="dxa" w:w="0"/>
          </w:tcPr>
          <w:p>
            <w:r>
              <w:t>M10 连接与体系互操作</w:t>
            </w:r>
          </w:p>
        </w:tc>
        <w:tc>
          <w:tcPr>
            <w:tcW w:type="dxa" w:w="0"/>
          </w:tcPr>
          <w:p>
            <w:r>
              <w:t>对接配置与运行（随阶段开放）</w:t>
            </w:r>
          </w:p>
        </w:tc>
        <w:tc>
          <w:tcPr>
            <w:tcW w:type="dxa" w:w="0"/>
          </w:tcPr>
          <w:p>
            <w:r>
              <w:t>连接器侧数据入口（规划）</w:t>
            </w:r>
          </w:p>
        </w:tc>
        <w:tc>
          <w:tcPr>
            <w:tcW w:type="dxa" w:w="0"/>
          </w:tcPr>
          <w:p>
            <w:r>
              <w:t>同左</w:t>
            </w:r>
          </w:p>
        </w:tc>
        <w:tc>
          <w:tcPr>
            <w:tcW w:type="dxa" w:w="0"/>
          </w:tcPr>
          <w:p>
            <w:r>
              <w:t>11 ../docs/02_功能与对接/11_接口与互操作设计（实施期）.md</w:t>
              <w:t>、</w:t>
              <w:t>22_TDS ../docs/05_标准与合规/22_TDS_架构与合规设计说明.md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四、主业务链路（摘要）</w:t>
      </w:r>
    </w:p>
    <w:p>
      <w:pPr>
        <w:pStyle w:val="Heading2"/>
      </w:pPr>
    </w:p>
    <w:p>
      <w:pPr>
        <w:pStyle w:val="ListNumber"/>
      </w:pPr>
      <w:r>
        <w:rPr>
          <w:b/>
        </w:rPr>
        <w:t>订单</w:t>
      </w:r>
      <w:r>
        <w:t>：已支付 → 运营确认并分配任务 → 生成可执行任务（参见 03 ../docs/01_业务与流程/03_订单管理逻辑.md）。</w:t>
      </w:r>
    </w:p>
    <w:p>
      <w:pPr>
        <w:pStyle w:val="ListNumber"/>
      </w:pPr>
      <w:r>
        <w:rPr>
          <w:b/>
        </w:rPr>
        <w:t>任务五段</w:t>
      </w:r>
      <w:r>
        <w:t xml:space="preserve">：配置 → 采集（审核）→ 计算 → 核查 → </w:t>
      </w:r>
      <w:r>
        <w:rPr>
          <w:b/>
        </w:rPr>
        <w:t>报告阶段仅引导至报告管理</w:t>
      </w:r>
      <w:r>
        <w:t>（04 ../docs/01_业务与流程/04_任务调度与状态机.md）。</w:t>
      </w:r>
    </w:p>
    <w:p>
      <w:pPr>
        <w:pStyle w:val="ListNumber"/>
      </w:pPr>
      <w:r>
        <w:rPr>
          <w:b/>
        </w:rPr>
        <w:t>报告</w:t>
      </w:r>
      <w:r>
        <w:t>：三件套与用印版齐备后，在报告管理中下发 → 供应商确认或申诉 → 运营处理申诉 → 确认归档与上链；</w:t>
      </w:r>
      <w:r>
        <w:rPr>
          <w:b/>
        </w:rPr>
        <w:t>任务最终态与订单完成态</w:t>
      </w:r>
      <w:r>
        <w:t>与 01/02/04 一致。</w:t>
      </w:r>
    </w:p>
    <w:p>
      <w:r>
        <w:t>细节不展开，避免与权威文档双源；实施与测试以 01、04、08 的条文为准。</w:t>
      </w:r>
    </w:p>
    <w:p>
      <w:pPr>
        <w:pStyle w:val="Heading2"/>
      </w:pPr>
      <w:r>
        <w:t>五、可信体系与集成（横向）</w:t>
      </w:r>
    </w:p>
    <w:p>
      <w:pPr>
        <w:pStyle w:val="ListBullet"/>
      </w:pPr>
      <w:r>
        <w:rPr>
          <w:b/>
        </w:rPr>
        <w:t>可信数据空间与合规</w:t>
      </w:r>
      <w:r>
        <w:t>：身份登记、目录、数字合约、使用控制与审计等，见 20 ../docs/05_标准与合规/20_可信数据空间标准索引与理念摘要.md、21 ../docs/05_标准与合规/21_与空间技术理念不一致项记录.md、22 ../docs/05_标准与合规/22_TDS_架构与合规设计说明.md。</w:t>
      </w:r>
    </w:p>
    <w:p>
      <w:pPr>
        <w:pStyle w:val="ListBullet"/>
      </w:pPr>
      <w:r>
        <w:rPr>
          <w:b/>
        </w:rPr>
        <w:t>对外集成与分期</w:t>
      </w:r>
      <w:r>
        <w:t>：行业功能节点、接入连接器、鑫采商城订单、擎工 SaaS（任务下发/回调/回传）、第三阶段轻量化/混合流程，目标能力与负责方见 11 ../docs/02_功能与对接/11_接口与互操作设计（实施期）.md 与 迭代计划与排期说明 ../docs/00_迭代计划/迭代计划与排期说明.md。</w:t>
      </w:r>
    </w:p>
    <w:p>
      <w:pPr>
        <w:pStyle w:val="Heading2"/>
      </w:pPr>
      <w:r>
        <w:t>六、分期交付视图（模块 × 阶段）</w:t>
      </w:r>
    </w:p>
    <w:p>
      <w:r>
        <w:t>说明：</w:t>
      </w:r>
      <w:r>
        <w:rPr>
          <w:b/>
        </w:rPr>
        <w:t>MVP 可用</w:t>
      </w:r>
      <w:r>
        <w:t xml:space="preserve"> = 第一阶段可运营闭环内具备；</w:t>
      </w:r>
      <w:r>
        <w:rPr>
          <w:b/>
        </w:rPr>
        <w:t>增强</w:t>
      </w:r>
      <w:r>
        <w:t xml:space="preserve"> = 二阶段及以后扩展；</w:t>
      </w:r>
      <w:r>
        <w:rPr>
          <w:b/>
        </w:rPr>
        <w:t>储备/不接</w:t>
      </w:r>
      <w:r>
        <w:t xml:space="preserve"> = 文档已有规划但本阶段不交付生产或不在应用内实现。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应用模块</w:t>
            </w:r>
          </w:p>
        </w:tc>
        <w:tc>
          <w:tcPr>
            <w:tcW w:type="dxa" w:w="0"/>
          </w:tcPr>
          <w:p>
            <w:r>
              <w:t>第一阶段（自营 MVP）</w:t>
            </w:r>
          </w:p>
        </w:tc>
        <w:tc>
          <w:tcPr>
            <w:tcW w:type="dxa" w:w="0"/>
          </w:tcPr>
          <w:p>
            <w:r>
              <w:t>第二阶段（委托/SaaS 等）</w:t>
            </w:r>
          </w:p>
        </w:tc>
        <w:tc>
          <w:tcPr>
            <w:tcW w:type="dxa" w:w="0"/>
          </w:tcPr>
          <w:p>
            <w:r>
              <w:t>第三阶段（轻量化/混合等）</w:t>
            </w:r>
          </w:p>
        </w:tc>
      </w:tr>
      <w:tr>
        <w:tc>
          <w:tcPr>
            <w:tcW w:type="dxa" w:w="0"/>
          </w:tcPr>
          <w:p>
            <w:r>
              <w:t>M01 门户</w:t>
            </w:r>
          </w:p>
        </w:tc>
        <w:tc>
          <w:tcPr>
            <w:tcW w:type="dxa" w:w="0"/>
          </w:tcPr>
          <w:p>
            <w:r>
              <w:t>MVP 可用（静态门户与二级入口）</w:t>
            </w:r>
          </w:p>
        </w:tc>
        <w:tc>
          <w:tcPr>
            <w:tcW w:type="dxa" w:w="0"/>
          </w:tcPr>
          <w:p>
            <w:r>
              <w:t>可增强内容与运营配置</w:t>
            </w:r>
          </w:p>
        </w:tc>
        <w:tc>
          <w:tcPr>
            <w:tcW w:type="dxa" w:w="0"/>
          </w:tcPr>
          <w:p>
            <w:r>
              <w:t>视需要</w:t>
            </w:r>
          </w:p>
        </w:tc>
      </w:tr>
      <w:tr>
        <w:tc>
          <w:tcPr>
            <w:tcW w:type="dxa" w:w="0"/>
          </w:tcPr>
          <w:p>
            <w:r>
              <w:t>M02 订单与任务</w:t>
            </w:r>
          </w:p>
        </w:tc>
        <w:tc>
          <w:tcPr>
            <w:tcW w:type="dxa" w:w="0"/>
          </w:tcPr>
          <w:p>
            <w:r>
              <w:t>MVP 可用（简版驾驶舱、订单、任务五段）</w:t>
            </w:r>
          </w:p>
        </w:tc>
        <w:tc>
          <w:tcPr>
            <w:tcW w:type="dxa" w:w="0"/>
          </w:tcPr>
          <w:p>
            <w:r>
              <w:t>委托任务类型与列表区分等</w:t>
            </w:r>
          </w:p>
        </w:tc>
        <w:tc>
          <w:tcPr>
            <w:tcW w:type="dxa" w:w="0"/>
          </w:tcPr>
          <w:p>
            <w:r>
              <w:t>混合编排相关</w:t>
            </w:r>
          </w:p>
        </w:tc>
      </w:tr>
      <w:tr>
        <w:tc>
          <w:tcPr>
            <w:tcW w:type="dxa" w:w="0"/>
          </w:tcPr>
          <w:p>
            <w:r>
              <w:t>M03 模板与采集</w:t>
            </w:r>
          </w:p>
        </w:tc>
        <w:tc>
          <w:tcPr>
            <w:tcW w:type="dxa" w:w="0"/>
          </w:tcPr>
          <w:p>
            <w:r>
              <w:t>MVP 可用</w:t>
            </w:r>
          </w:p>
        </w:tc>
        <w:tc>
          <w:tcPr>
            <w:tcW w:type="dxa" w:w="0"/>
          </w:tcPr>
          <w:p>
            <w:r>
              <w:t>与外部模板/LCA 深度对接可增强</w:t>
            </w:r>
          </w:p>
        </w:tc>
        <w:tc>
          <w:tcPr>
            <w:tcW w:type="dxa" w:w="0"/>
          </w:tcPr>
          <w:p>
            <w:r>
              <w:t>边端协同可增强</w:t>
            </w:r>
          </w:p>
        </w:tc>
      </w:tr>
      <w:tr>
        <w:tc>
          <w:tcPr>
            <w:tcW w:type="dxa" w:w="0"/>
          </w:tcPr>
          <w:p>
            <w:r>
              <w:t>M04 协同澄清</w:t>
            </w:r>
          </w:p>
        </w:tc>
        <w:tc>
          <w:tcPr>
            <w:tcW w:type="dxa" w:w="0"/>
          </w:tcPr>
          <w:p>
            <w:r>
              <w:t>MVP 可用（范围以 04 文档为准）</w:t>
            </w:r>
          </w:p>
        </w:tc>
        <w:tc>
          <w:tcPr>
            <w:tcW w:type="dxa" w:w="0"/>
          </w:tcPr>
          <w:p>
            <w:r>
              <w:t>可增强通知渠道与留存策略</w:t>
            </w:r>
          </w:p>
        </w:tc>
        <w:tc>
          <w:tcPr>
            <w:tcW w:type="dxa" w:w="0"/>
          </w:tcPr>
          <w:p>
            <w:r>
              <w:t>视需要</w:t>
            </w:r>
          </w:p>
        </w:tc>
      </w:tr>
      <w:tr>
        <w:tc>
          <w:tcPr>
            <w:tcW w:type="dxa" w:w="0"/>
          </w:tcPr>
          <w:p>
            <w:r>
              <w:t>M05 LCA 衔接</w:t>
            </w:r>
          </w:p>
        </w:tc>
        <w:tc>
          <w:tcPr>
            <w:tcW w:type="dxa" w:w="0"/>
          </w:tcPr>
          <w:p>
            <w:r>
              <w:t>MVP 可用（含手工摆渡/预留接口）</w:t>
            </w:r>
          </w:p>
        </w:tc>
        <w:tc>
          <w:tcPr>
            <w:tcW w:type="dxa" w:w="0"/>
          </w:tcPr>
          <w:p>
            <w:r>
              <w:t>SaaS 自动化回调与结果回传</w:t>
            </w:r>
          </w:p>
        </w:tc>
        <w:tc>
          <w:tcPr>
            <w:tcW w:type="dxa" w:w="0"/>
          </w:tcPr>
          <w:p>
            <w:r>
              <w:t>轻量化计算衔接</w:t>
            </w:r>
          </w:p>
        </w:tc>
      </w:tr>
      <w:tr>
        <w:tc>
          <w:tcPr>
            <w:tcW w:type="dxa" w:w="0"/>
          </w:tcPr>
          <w:p>
            <w:r>
              <w:t>M06 核查协作</w:t>
            </w:r>
          </w:p>
        </w:tc>
        <w:tc>
          <w:tcPr>
            <w:tcW w:type="dxa" w:w="0"/>
          </w:tcPr>
          <w:p>
            <w:r>
              <w:t>MVP 可用（列表/详情/证书管理；穿透可简化）</w:t>
            </w:r>
          </w:p>
        </w:tc>
        <w:tc>
          <w:tcPr>
            <w:tcW w:type="dxa" w:w="0"/>
          </w:tcPr>
          <w:p>
            <w:r>
              <w:t>结算、机构管理 P1 等可增强</w:t>
            </w:r>
          </w:p>
        </w:tc>
        <w:tc>
          <w:tcPr>
            <w:tcW w:type="dxa" w:w="0"/>
          </w:tcPr>
          <w:p>
            <w:r>
              <w:t>本地核查配合</w:t>
            </w:r>
          </w:p>
        </w:tc>
      </w:tr>
      <w:tr>
        <w:tc>
          <w:tcPr>
            <w:tcW w:type="dxa" w:w="0"/>
          </w:tcPr>
          <w:p>
            <w:r>
              <w:t>M07 报告证书</w:t>
            </w:r>
          </w:p>
        </w:tc>
        <w:tc>
          <w:tcPr>
            <w:tcW w:type="dxa" w:w="0"/>
          </w:tcPr>
          <w:p>
            <w:r>
              <w:t>MVP 可用（规则见 01/08）</w:t>
            </w:r>
          </w:p>
        </w:tc>
        <w:tc>
          <w:tcPr>
            <w:tcW w:type="dxa" w:w="0"/>
          </w:tcPr>
          <w:p>
            <w:r>
              <w:t>可增强用印/签章集成</w:t>
            </w:r>
          </w:p>
        </w:tc>
        <w:tc>
          <w:tcPr>
            <w:tcW w:type="dxa" w:w="0"/>
          </w:tcPr>
          <w:p>
            <w:r>
              <w:t>视需要</w:t>
            </w:r>
          </w:p>
        </w:tc>
      </w:tr>
      <w:tr>
        <w:tc>
          <w:tcPr>
            <w:tcW w:type="dxa" w:w="0"/>
          </w:tcPr>
          <w:p>
            <w:r>
              <w:t>M08 生态主数据</w:t>
            </w:r>
          </w:p>
        </w:tc>
        <w:tc>
          <w:tcPr>
            <w:tcW w:type="dxa" w:w="0"/>
          </w:tcPr>
          <w:p>
            <w:r>
              <w:t>MVP 可用</w:t>
            </w:r>
          </w:p>
        </w:tc>
        <w:tc>
          <w:tcPr>
            <w:tcW w:type="dxa" w:w="0"/>
          </w:tcPr>
          <w:p>
            <w:r>
              <w:t>与空间侧同步策略可增强</w:t>
            </w:r>
          </w:p>
        </w:tc>
        <w:tc>
          <w:tcPr>
            <w:tcW w:type="dxa" w:w="0"/>
          </w:tcPr>
          <w:p>
            <w:r>
              <w:t>视需要</w:t>
            </w:r>
          </w:p>
        </w:tc>
      </w:tr>
      <w:tr>
        <w:tc>
          <w:tcPr>
            <w:tcW w:type="dxa" w:w="0"/>
          </w:tcPr>
          <w:p>
            <w:r>
              <w:t>M09 平台治理</w:t>
            </w:r>
          </w:p>
        </w:tc>
        <w:tc>
          <w:tcPr>
            <w:tcW w:type="dxa" w:w="0"/>
          </w:tcPr>
          <w:p>
            <w:r>
              <w:t>MVP 可用（RBAC/日志等范围见 02）</w:t>
            </w:r>
          </w:p>
        </w:tc>
        <w:tc>
          <w:tcPr>
            <w:tcW w:type="dxa" w:w="0"/>
          </w:tcPr>
          <w:p>
            <w:r>
              <w:t>可增强审计与合规报表</w:t>
            </w:r>
          </w:p>
        </w:tc>
        <w:tc>
          <w:tcPr>
            <w:tcW w:type="dxa" w:w="0"/>
          </w:tcPr>
          <w:p>
            <w:r>
              <w:t>视需要</w:t>
            </w:r>
          </w:p>
        </w:tc>
      </w:tr>
      <w:tr>
        <w:tc>
          <w:tcPr>
            <w:tcW w:type="dxa" w:w="0"/>
          </w:tcPr>
          <w:p>
            <w:r>
              <w:t>M10 连接互操作</w:t>
            </w:r>
          </w:p>
        </w:tc>
        <w:tc>
          <w:tcPr>
            <w:tcW w:type="dxa" w:w="0"/>
          </w:tcPr>
          <w:p>
            <w:r>
              <w:rPr>
                <w:b/>
              </w:rPr>
              <w:t>储备</w:t>
            </w:r>
            <w:r>
              <w:t>：中心连接器基础版非生产；商城/LCA 对接视项目约定</w:t>
            </w:r>
          </w:p>
        </w:tc>
        <w:tc>
          <w:tcPr>
            <w:tcW w:type="dxa" w:w="0"/>
          </w:tcPr>
          <w:p>
            <w:r>
              <w:t>连接器生产化、SaaS 接口</w:t>
            </w:r>
          </w:p>
        </w:tc>
        <w:tc>
          <w:tcPr>
            <w:tcW w:type="dxa" w:w="0"/>
          </w:tcPr>
          <w:p>
            <w:r>
              <w:t>边端协议与混合流程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本表与 第一阶段设计方案 §1.2 ../docs/00_迭代计划/第一阶段设计方案.md 「范围内 / 排除」一致，不新增阶段口径。</w:t>
      </w:r>
    </w:p>
    <w:p>
      <w:pPr>
        <w:pStyle w:val="Heading2"/>
      </w:pPr>
      <w:r>
        <w:t>七、与模块化报价单（Excel）的对应关系</w:t>
      </w:r>
    </w:p>
    <w:p>
      <w:r>
        <w:t>碳足迹系统_模块化报价单.xlsx 碳足迹系统_模块化报价单.xlsx</w:t>
        <w:t xml:space="preserve"> 的 </w:t>
      </w:r>
      <w:r>
        <w:rPr>
          <w:b/>
        </w:rPr>
        <w:t>一级模块</w:t>
      </w:r>
      <w:r>
        <w:t xml:space="preserve"> 为商务汇总维度；本总册 </w:t>
      </w:r>
      <w:r>
        <w:rPr>
          <w:b/>
        </w:rPr>
        <w:t>M01–M10</w:t>
      </w:r>
      <w:r>
        <w:t xml:space="preserve"> 为产品能力维度。推荐映射如下（一对多表示报价中多行归入同一应用模块）：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Excel 一级模块</w:t>
            </w:r>
          </w:p>
        </w:tc>
        <w:tc>
          <w:tcPr>
            <w:tcW w:type="dxa" w:w="0"/>
          </w:tcPr>
          <w:p>
            <w:r>
              <w:t>对应应用模块（总册）</w:t>
            </w:r>
          </w:p>
        </w:tc>
      </w:tr>
      <w:tr>
        <w:tc>
          <w:tcPr>
            <w:tcW w:type="dxa" w:w="0"/>
          </w:tcPr>
          <w:p>
            <w:r>
              <w:t>平台与基础</w:t>
            </w:r>
          </w:p>
        </w:tc>
        <w:tc>
          <w:tcPr>
            <w:tcW w:type="dxa" w:w="0"/>
          </w:tcPr>
          <w:p>
            <w:r>
              <w:t>M09</w:t>
            </w:r>
          </w:p>
        </w:tc>
      </w:tr>
      <w:tr>
        <w:tc>
          <w:tcPr>
            <w:tcW w:type="dxa" w:w="0"/>
          </w:tcPr>
          <w:p>
            <w:r>
              <w:t>门户与统一入口</w:t>
            </w:r>
          </w:p>
        </w:tc>
        <w:tc>
          <w:tcPr>
            <w:tcW w:type="dxa" w:w="0"/>
          </w:tcPr>
          <w:p>
            <w:r>
              <w:t>M01</w:t>
            </w:r>
          </w:p>
        </w:tc>
      </w:tr>
      <w:tr>
        <w:tc>
          <w:tcPr>
            <w:tcW w:type="dxa" w:w="0"/>
          </w:tcPr>
          <w:p>
            <w:r>
              <w:t>运营管理端</w:t>
            </w:r>
          </w:p>
        </w:tc>
        <w:tc>
          <w:tcPr>
            <w:tcW w:type="dxa" w:w="0"/>
          </w:tcPr>
          <w:p>
            <w:r>
              <w:t>M02、M03（中心模板与采集审核）、M05（中心计算调度）、M06（中心核查协作）、M07（报告管理）、M08（供应商/核查机构管理）</w:t>
            </w:r>
          </w:p>
        </w:tc>
      </w:tr>
      <w:tr>
        <w:tc>
          <w:tcPr>
            <w:tcW w:type="dxa" w:w="0"/>
          </w:tcPr>
          <w:p>
            <w:r>
              <w:t>供应商工作台</w:t>
            </w:r>
          </w:p>
        </w:tc>
        <w:tc>
          <w:tcPr>
            <w:tcW w:type="dxa" w:w="0"/>
          </w:tcPr>
          <w:p>
            <w:r>
              <w:t>M02（待办）、M03（填报）、M04（澄清）、M07（我的报告）、M08（企业证照）</w:t>
            </w:r>
          </w:p>
        </w:tc>
      </w:tr>
      <w:tr>
        <w:tc>
          <w:tcPr>
            <w:tcW w:type="dxa" w:w="0"/>
          </w:tcPr>
          <w:p>
            <w:r>
              <w:t>认证核查机构工作台</w:t>
            </w:r>
          </w:p>
        </w:tc>
        <w:tc>
          <w:tcPr>
            <w:tcW w:type="dxa" w:w="0"/>
          </w:tcPr>
          <w:p>
            <w:r>
              <w:t>M06（核查端界面与行为）、M07（证书管理）、M08（调阅证照）</w:t>
            </w:r>
          </w:p>
        </w:tc>
      </w:tr>
      <w:tr>
        <w:tc>
          <w:tcPr>
            <w:tcW w:type="dxa" w:w="0"/>
          </w:tcPr>
          <w:p>
            <w:r>
              <w:t>横向能力</w:t>
            </w:r>
          </w:p>
        </w:tc>
        <w:tc>
          <w:tcPr>
            <w:tcW w:type="dxa" w:w="0"/>
          </w:tcPr>
          <w:p>
            <w:r>
              <w:t>M03（引擎层）、M04（机制层）、M01/M02 共用组件等拆分人天时归集</w:t>
            </w:r>
          </w:p>
        </w:tc>
      </w:tr>
      <w:tr>
        <w:tc>
          <w:tcPr>
            <w:tcW w:type="dxa" w:w="0"/>
          </w:tcPr>
          <w:p>
            <w:r>
              <w:t>集成与对接</w:t>
            </w:r>
          </w:p>
        </w:tc>
        <w:tc>
          <w:tcPr>
            <w:tcW w:type="dxa" w:w="0"/>
          </w:tcPr>
          <w:p>
            <w:r>
              <w:t>M10、M05 中的外部系统联调行</w:t>
            </w:r>
          </w:p>
        </w:tc>
      </w:tr>
      <w:tr>
        <w:tc>
          <w:tcPr>
            <w:tcW w:type="dxa" w:w="0"/>
          </w:tcPr>
          <w:p>
            <w:r>
              <w:t>标准与合规</w:t>
            </w:r>
          </w:p>
        </w:tc>
        <w:tc>
          <w:tcPr>
            <w:tcW w:type="dxa" w:w="0"/>
          </w:tcPr>
          <w:p>
            <w:r>
              <w:t>M09/M10 中的合规设计与 M08 数据责任相关行；权威条款见 05 目录</w:t>
            </w:r>
          </w:p>
        </w:tc>
      </w:tr>
      <w:tr>
        <w:tc>
          <w:tcPr>
            <w:tcW w:type="dxa" w:w="0"/>
          </w:tcPr>
          <w:p>
            <w:r>
              <w:t>项目管理与非功能</w:t>
            </w:r>
          </w:p>
        </w:tc>
        <w:tc>
          <w:tcPr>
            <w:tcW w:type="dxa" w:w="0"/>
          </w:tcPr>
          <w:p>
            <w:r>
              <w:t>工程、测试、部署、培训等</w:t>
            </w:r>
            <w:r>
              <w:rPr>
                <w:b/>
              </w:rPr>
              <w:t>不捆绑</w:t>
            </w:r>
            <w:r>
              <w:t>单一 Mxx，独立成行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报价明细中的 </w:t>
      </w:r>
      <w:r>
        <w:rPr>
          <w:b/>
        </w:rPr>
        <w:t>阶段</w:t>
      </w:r>
      <w:r>
        <w:t>（MVP/二阶段/可选）应同时能在第六节表格中找到「模块 × 阶段」位置，避免范围漂移。</w:t>
      </w:r>
    </w:p>
    <w:p>
      <w:pPr>
        <w:pStyle w:val="Heading2"/>
      </w:pPr>
      <w:r>
        <w:t>八、口径与交叉审计（维护约定）</w:t>
      </w:r>
    </w:p>
    <w:p>
      <w:pPr>
        <w:pStyle w:val="ListBullet"/>
      </w:pPr>
      <w:r>
        <w:rPr>
          <w:b/>
        </w:rPr>
        <w:t>业务规则唯一源</w:t>
      </w:r>
      <w:r>
        <w:t xml:space="preserve">：任务与报告边界、申诉与归档、订单完成条件等，以 </w:t>
        <w:t>01 ../docs/01_业务与流程/01_整体业务与产品设计审查.md</w:t>
        <w:t>、</w:t>
        <w:t>04 ../docs/01_业务与流程/04_任务调度与状态机.md</w:t>
        <w:t>、</w:t>
        <w:t>08 ../docs/02_功能与对接/08_PR_任务与报告边界设计方案.md</w:t>
        <w:t xml:space="preserve"> 为准；本总册若与上述冲突，</w:t>
      </w:r>
      <w:r>
        <w:rPr>
          <w:b/>
        </w:rPr>
        <w:t>以上述文档为准</w:t>
      </w:r>
      <w:r>
        <w:t>并修订本册。</w:t>
      </w:r>
    </w:p>
    <w:p>
      <w:pPr>
        <w:pStyle w:val="ListBullet"/>
      </w:pPr>
      <w:r>
        <w:rPr>
          <w:b/>
        </w:rPr>
        <w:t>分期与接口唯一源</w:t>
      </w:r>
      <w:r>
        <w:t>：阶段划分与连接器/SaaS 职责以 迭代计划与排期说明 ../docs/00_迭代计划/迭代计划与排期说明.md、11 ../docs/02_功能与对接/11_接口与互操作设计（实施期）.md、第一阶段设计方案 ../docs/00_迭代计划/第一阶段设计方案.md 为准。</w:t>
      </w:r>
    </w:p>
    <w:p>
      <w:pPr>
        <w:pStyle w:val="ListBullet"/>
      </w:pPr>
      <w:r>
        <w:rPr>
          <w:b/>
        </w:rPr>
        <w:t>商务边界</w:t>
      </w:r>
      <w:r>
        <w:t>：与 xlsx「假设与不包含」_sheet 保持一致；本册第一节 1.3 为摘要。</w:t>
      </w:r>
    </w:p>
    <w:p>
      <w:r>
        <w:t>详细「模块 → 设计文档路径」见同目录 附录_模块与文档映射表 附录_模块与文档映射表.md。</w:t>
      </w:r>
    </w:p>
    <w:p>
      <w:pPr>
        <w:pStyle w:val="Heading2"/>
      </w:pPr>
      <w:r>
        <w:t>关联索引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类型</w:t>
            </w:r>
          </w:p>
        </w:tc>
        <w:tc>
          <w:tcPr>
            <w:tcW w:type="dxa" w:w="0"/>
          </w:tcPr>
          <w:p>
            <w:r>
              <w:t>路径</w:t>
            </w:r>
          </w:p>
        </w:tc>
      </w:tr>
      <w:tr>
        <w:tc>
          <w:tcPr>
            <w:tcW w:type="dxa" w:w="0"/>
          </w:tcPr>
          <w:p>
            <w:r>
              <w:t>本系列附录</w:t>
            </w:r>
          </w:p>
        </w:tc>
        <w:tc>
          <w:tcPr>
            <w:tcW w:type="dxa" w:w="0"/>
          </w:tcPr>
          <w:p>
            <w:r>
              <w:t>附录_模块与文档映射表 附录_模块与文档映射表.md</w:t>
            </w:r>
          </w:p>
        </w:tc>
      </w:tr>
      <w:tr>
        <w:tc>
          <w:tcPr>
            <w:tcW w:type="dxa" w:w="0"/>
          </w:tcPr>
          <w:p>
            <w:r>
              <w:t>文档总索引</w:t>
            </w:r>
          </w:p>
        </w:tc>
        <w:tc>
          <w:tcPr>
            <w:tcW w:type="dxa" w:w="0"/>
          </w:tcPr>
          <w:p>
            <w:r>
              <w:t>docs/README.md ../docs/README.md</w:t>
            </w:r>
          </w:p>
        </w:tc>
      </w:tr>
      <w:tr>
        <w:tc>
          <w:tcPr>
            <w:tcW w:type="dxa" w:w="0"/>
          </w:tcPr>
          <w:p>
            <w:r>
              <w:t>本目录说明</w:t>
            </w:r>
          </w:p>
        </w:tc>
        <w:tc>
          <w:tcPr>
            <w:tcW w:type="dxa" w:w="0"/>
          </w:tcPr>
          <w:p>
            <w:r>
              <w:t>客户商务/README.md README.md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产品建设方案总册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