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产品碳足迹数据服务系统</w:t>
      </w:r>
    </w:p>
    <w:p>
      <w:pPr>
        <w:jc w:val="center"/>
      </w:pPr>
      <w:r>
        <w:t>研发工作量评估说明</w:t>
      </w:r>
    </w:p>
    <w:p/>
    <w:p>
      <w:pPr>
        <w:pStyle w:val="Heading1"/>
      </w:pPr>
      <w:r>
        <w:t>1 项目概述</w:t>
      </w:r>
    </w:p>
    <w:p>
      <w:pPr>
        <w:pStyle w:val="Heading2"/>
      </w:pPr>
      <w:r>
        <w:t>1.1 项目背景与目标</w:t>
      </w:r>
    </w:p>
    <w:p>
      <w:r>
        <w:t>本项目面向钢铁行业产业链，建设产品碳足迹数据服务系统，支撑订单与任务编排、模板化采集与核算、第三方核查协作、报告与证书全周期管理等能力，形成可在可信数据空间体系内运营的数字化闭环。权威业务规则与任务/报告状态以仓库文档 docs/01《整体业务与产品设计审查》、docs/04《任务调度与状态机》、docs/08《PR 任务与报告边界设计方案》为准。</w:t>
      </w:r>
    </w:p>
    <w:p>
      <w:pPr>
        <w:pStyle w:val="Heading2"/>
      </w:pPr>
      <w:r>
        <w:t>1.2 分期交付原则</w:t>
      </w:r>
    </w:p>
    <w:p>
      <w:r>
        <w:t>第一阶段聚焦自营 MVP 可运营闭环；第二阶段扩展委托业务、行业 SaaS 与连接器能力；第三阶段视评审推进轻量化与混合流程。应用模块分层（M01–M10）、分期与范围边界详见《产品建设方案总册》第一至第六节。</w:t>
      </w:r>
    </w:p>
    <w:p>
      <w:pPr>
        <w:pStyle w:val="Heading1"/>
      </w:pPr>
      <w:r>
        <w:t>2 项目范围与边界分工</w:t>
      </w:r>
    </w:p>
    <w:p>
      <w:pPr>
        <w:pStyle w:val="Heading2"/>
      </w:pPr>
      <w:r>
        <w:t>2.1 建设范围（目标态摘要）</w:t>
      </w:r>
    </w:p>
    <w:p>
      <w:r>
        <w:t>在范围主要包括：多角色工作台；任务五阶段编排；模板与结构化采集；协同澄清；LCA 计算衔接；核查协作；报告与证书全周期；生态主数据；平台治理与安全基座；分阶段连接与互操作。不在范围或需单独约定示例：L1 商城本体、生产级中心连接器未单列时、OA 电子签章部分能力等，与总册 1.3 节及报价编制说明一致。</w:t>
      </w:r>
    </w:p>
    <w:p>
      <w:pPr>
        <w:pStyle w:val="Heading2"/>
      </w:pPr>
      <w:r>
        <w:t>2.2 相关方与分工（摘要）</w:t>
      </w:r>
    </w:p>
    <w:p>
      <w:r>
        <w:t>荣泽科技：应用研发、集成实施与交付物移交；甲方：需求确认、测试环境及接口配合；第三方表格控件（SpreadJS）可由客户自采或计入固定价清单；外部 LCA/SaaS 方按接口文档承担对侧开发与联调。</w:t>
      </w:r>
    </w:p>
    <w:p>
      <w:pPr>
        <w:pStyle w:val="Heading1"/>
      </w:pPr>
      <w:r>
        <w:t>3 项目研发工作量评估</w:t>
      </w:r>
    </w:p>
    <w:p>
      <w:r>
        <w:t>研发工作量涵盖需求分析、方案与原型、编码实现、测试验证、部署运维及相关沟通协调等综合成本。本文与《碳足迹系统_模块化报价单.xlsx》同源数据：人天单价统一为 1500 元，不按岗位角色拆分单价。</w:t>
      </w:r>
    </w:p>
    <w:p>
      <w:pPr>
        <w:pStyle w:val="Heading2"/>
      </w:pPr>
      <w:r>
        <w:t>3.1 项目功能模块维度工作量评估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编号</w:t>
            </w:r>
          </w:p>
        </w:tc>
        <w:tc>
          <w:tcPr>
            <w:tcW w:type="dxa" w:w="2160"/>
          </w:tcPr>
          <w:p>
            <w:r>
              <w:t>应用模块</w:t>
            </w:r>
          </w:p>
        </w:tc>
        <w:tc>
          <w:tcPr>
            <w:tcW w:type="dxa" w:w="2160"/>
          </w:tcPr>
          <w:p>
            <w:r>
              <w:t>评估工作量（人天）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M01 门户与品牌入口</w:t>
            </w:r>
          </w:p>
        </w:tc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由报价清单按 M01–M10 汇总，不含 SpreadJS 固定价行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M02 订单与任务编排</w:t>
            </w:r>
          </w:p>
        </w:tc>
        <w:tc>
          <w:tcPr>
            <w:tcW w:type="dxa" w:w="2160"/>
          </w:tcPr>
          <w:p>
            <w:r>
              <w:t>156</w:t>
            </w:r>
          </w:p>
        </w:tc>
        <w:tc>
          <w:tcPr>
            <w:tcW w:type="dxa" w:w="2160"/>
          </w:tcPr>
          <w:p>
            <w:r>
              <w:t>由报价清单按 M01–M10 汇总，不含 SpreadJS 固定价行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M03 模板与结构化采集</w:t>
            </w:r>
          </w:p>
        </w:tc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由报价清单按 M01–M10 汇总，不含 SpreadJS 固定价行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M04 协同与澄清</w:t>
            </w:r>
          </w:p>
        </w:tc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由报价清单按 M01–M10 汇总，不含 SpreadJS 固定价行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M05 LCA 与计算衔接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由报价清单按 M01–M10 汇总，不含 SpreadJS 固定价行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M06 核查与认证协作</w:t>
            </w:r>
          </w:p>
        </w:tc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由报价清单按 M01–M10 汇总，不含 SpreadJS 固定价行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M07 报告与证书全周期</w:t>
            </w:r>
          </w:p>
        </w:tc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由报价清单按 M01–M10 汇总，不含 SpreadJS 固定价行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M08 生态主数据</w:t>
            </w:r>
          </w:p>
        </w:tc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由报价清单按 M01–M10 汇总，不含 SpreadJS 固定价行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M09 平台治理与安全基座</w:t>
            </w:r>
          </w:p>
        </w:tc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由报价清单按 M01–M10 汇总，不含 SpreadJS 固定价行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M10 连接与体系互操作</w:t>
            </w:r>
          </w:p>
        </w:tc>
        <w:tc>
          <w:tcPr>
            <w:tcW w:type="dxa" w:w="2160"/>
          </w:tcPr>
          <w:p>
            <w:r>
              <w:t>62</w:t>
            </w:r>
          </w:p>
        </w:tc>
        <w:tc>
          <w:tcPr>
            <w:tcW w:type="dxa" w:w="2160"/>
          </w:tcPr>
          <w:p>
            <w:r>
              <w:t>由报价清单按 M01–M10 汇总，不含 SpreadJS 固定价行</w:t>
            </w:r>
          </w:p>
        </w:tc>
      </w:tr>
    </w:tbl>
    <w:p/>
    <w:p>
      <w:pPr>
        <w:pStyle w:val="Heading2"/>
      </w:pPr>
      <w:r>
        <w:t>3.2 项目人力投入与计价口径</w:t>
      </w:r>
    </w:p>
    <w:p>
      <w:r>
        <w:t>人天合计 466 人天，按 1500 元/人天计，人工费用 699000 元；GrapeCity SpreadJS 商业授权一次性 101000 元（固定价单列）；报价总计 800000 元。</w:t>
      </w:r>
    </w:p>
    <w:p>
      <w:pPr>
        <w:pStyle w:val="Heading1"/>
      </w:pPr>
      <w:r>
        <w:t>4 项目计划里程碑</w:t>
      </w:r>
    </w:p>
    <w:p>
      <w:r>
        <w:t>下列内容由《关于钢铁行业可信数据空间-产品碳足迹数据服务系统的排期说明》摘录，含附件任务分解表，供与对外排期与任务清单对齐；若与 docs 权威条文冲突，以设计文档为准。</w:t>
      </w:r>
    </w:p>
    <w:p>
      <w:r>
        <w:t>一、当前情况与主要考量</w:t>
      </w:r>
    </w:p>
    <w:p>
      <w:r>
        <w:t>根据2025年2月5日三方线上讨论，要求碳足迹数据服务系统在3月份同步完成三个任务主线上线。我认为如果三条线在3月份强力并行，在开发资源、技术调试和项目管理上会面临较大挑战，存在交付风险。我的建议是：优先确保碳足迹自营业务（MVP）的交付质量，为后续工作打下坚实基础。三条主线是：</w:t>
      </w:r>
    </w:p>
    <w:p>
      <w:r>
        <w:t>鑫智链自营业务（MVP）平台建设：这是平台的基础和核心。</w:t>
      </w:r>
    </w:p>
    <w:p>
      <w:r>
        <w:t>鑫智链邀请擎工互联加入可信数据空间，并委托擎工互联开展服务：这是空间生态完善的关键。</w:t>
      </w:r>
    </w:p>
    <w:p>
      <w:r>
        <w:t>擎工互联SaaS化服务接入：作为重要的能力补充，需要深度集成。</w:t>
      </w:r>
    </w:p>
    <w:p>
      <w:r>
        <w:t>擎工互联轻量化部署方案接入：技术路径更为复杂，需单独规划。</w:t>
      </w:r>
    </w:p>
    <w:p>
      <w:r>
        <w:t>二、建议的方案：分阶段实施，明确重点</w:t>
      </w:r>
    </w:p>
    <w:p>
      <w:r>
        <w:t>第一阶段：聚焦鑫智链自营平台MVP上线（当前至3月底）</w:t>
      </w:r>
    </w:p>
    <w:p>
      <w:r>
        <w:t>目标：集中资源，全力保障鑫智链自营碳足迹服务全流程在平台上顺利上线。</w:t>
      </w:r>
    </w:p>
    <w:p>
      <w:r>
        <w:t>范围：此阶段将专注于平台基础功能与自营业务闭环的开发、测试与部署。</w:t>
      </w:r>
    </w:p>
    <w:p>
      <w:r>
        <w:t>价值：这是项目成功的基石，确保在3月份达成首个可验证、可运营的关键成果。</w:t>
      </w:r>
    </w:p>
    <w:p>
      <w:r>
        <w:t>第二阶段：有序接入擎工互联服务（3月后启动）</w:t>
      </w:r>
    </w:p>
    <w:p>
      <w:r>
        <w:t>目标：在平台稳定运行后，启动委托业务的接入工作。</w:t>
      </w:r>
    </w:p>
    <w:p>
      <w:r>
        <w:t>规划：此阶段可进一步分为两个子步骤：</w:t>
      </w:r>
    </w:p>
    <w:p>
      <w:r>
        <w:t>步骤1：SaaS化服务接入：包含技术方案细化、接口联调、集成测试等完整流程。</w:t>
      </w:r>
    </w:p>
    <w:p>
      <w:r>
        <w:t>步骤2：轻量化部署接入：在SaaS接入完成后，重点攻关混合流程编排、边端管理等复杂需求。</w:t>
      </w:r>
    </w:p>
    <w:p>
      <w:r>
        <w:t>前期准备：在3月份，我们可以同步启动第二阶段的前期工作，例如技术方案沟通和接口规范讨论，为后续开发做好充分准备。</w:t>
      </w:r>
    </w:p>
    <w:p>
      <w:r>
        <w:t>三、需要共同确认的事项</w:t>
      </w:r>
    </w:p>
    <w:p>
      <w:r>
        <w:t>需要鑫智链确认：是否同意分阶段推进，将3月份的验收明确为自营平台的上线。</w:t>
      </w:r>
    </w:p>
    <w:p>
      <w:r>
        <w:t>需要擎工互联知悉：我们计划在3月期间先进行技术层面的深入沟通，明确具体的开发任务（见附件）。</w:t>
      </w:r>
    </w:p>
    <w:p>
      <w:pPr>
        <w:jc w:val="center"/>
      </w:pPr>
      <w:r>
        <w:t>附件：鑫智链产品碳足迹数据服务平台项目任务分解清单（待各方补充任务内容和排期）</w:t>
      </w:r>
    </w:p>
    <w:p>
      <w:pPr>
        <w:pStyle w:val="Heading3"/>
      </w:pPr>
      <w:r>
        <w:t>第一阶段：鑫智链自营业务平台建设（MVP阶段，已启动开发）</w:t>
      </w:r>
    </w:p>
    <w:p>
      <w:r>
        <w:t>目标：为鑫智链快速搭建起可运营的、核心功能闭环的产品碳足迹数据服务平台。此阶段由荣泽科技（碳足迹应用建设团队）主导，是平台从0到1的过程。</w:t>
      </w:r>
    </w:p>
    <w:p>
      <w:pPr>
        <w:pStyle w:val="Heading3"/>
      </w:pPr>
      <w:r>
        <w:t>第二阶段：委托业务接入-擎工互联SaaS化服务（3月份启动）</w:t>
      </w:r>
    </w:p>
    <w:p>
      <w:r>
        <w:t>启动前提：第一阶段平台稳定运行。本阶段核心是将擎工SaaS服务作为“委托业务”接入平台。</w:t>
      </w:r>
    </w:p>
    <w:p>
      <w:pPr>
        <w:pStyle w:val="Heading3"/>
      </w:pPr>
      <w:r>
        <w:t>第三阶段：委托业务接入-擎工互联轻量化部署服务（4月份启动）</w:t>
      </w:r>
    </w:p>
    <w:p>
      <w:r>
        <w:t>启动前提：第二阶段SaaS接入完成。本阶段核心是实现“供应商本地计算+中心端任务调度+第三方本地核查”的模式。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阶段</w:t>
            </w:r>
          </w:p>
        </w:tc>
        <w:tc>
          <w:tcPr>
            <w:tcW w:type="dxa" w:w="2160"/>
          </w:tcPr>
          <w:p>
            <w:r>
              <w:t>核心任务事项（荣泽团队主导）</w:t>
            </w:r>
          </w:p>
        </w:tc>
        <w:tc>
          <w:tcPr>
            <w:tcW w:type="dxa" w:w="2160"/>
          </w:tcPr>
          <w:p>
            <w:r>
              <w:t>关键产出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1.平台基础能力建设</w:t>
            </w:r>
          </w:p>
        </w:tc>
        <w:tc>
          <w:tcPr>
            <w:tcW w:type="dxa" w:w="2160"/>
          </w:tcPr>
          <w:p>
            <w:r>
              <w:t>1.1平台基础框架搭建：用户、权限、订单、任务管理等核心基础模块开发。</w:t>
            </w:r>
          </w:p>
        </w:tc>
        <w:tc>
          <w:tcPr>
            <w:tcW w:type="dxa" w:w="2160"/>
          </w:tcPr>
          <w:p>
            <w:r>
              <w:t>一个具备基础运营能力的平台骨架。</w:t>
            </w:r>
          </w:p>
        </w:tc>
        <w:tc>
          <w:tcPr>
            <w:tcW w:type="dxa" w:w="2160"/>
          </w:tcPr>
          <w:p>
            <w:r>
              <w:t>这是所有业务（自营和未来委托）的统一底座。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1.2自营业务MVP功能开发：实现鑫智链自营碳足迹服务的全流程，包括：</w:t>
              <w:br/>
              <w:t>-与可信数据空间基础设施完成身份、应用和接入连接器互联互通；</w:t>
              <w:br/>
              <w:t>中心端主要功能：</w:t>
              <w:br/>
              <w:t>-运营驾驶舱：简版（简单统计能力），二迭代做整体；</w:t>
              <w:br/>
              <w:t>-订单管理：与鑫采商城订单集成；</w:t>
              <w:br/>
              <w:t>-任务管理：根据订单产生核查任务，派发任务；</w:t>
              <w:br/>
              <w:t>-报告管理：上传核算报告，管理第三方核查机构报告，派发报告等；（预留二迭代调用OA电子签章的能力）</w:t>
              <w:br/>
              <w:t>-供应商管理：维护供应商CRM信息，管理其空间身份与业务关系等；</w:t>
              <w:br/>
              <w:t>-核查机构管理：管理和维护核查机构，配置商业策略等；</w:t>
              <w:br/>
              <w:t>-模板中心：管理维护LCA计算模板，同时预留与易碳数科的LCA对接能力；</w:t>
              <w:br/>
              <w:t>-结算中心：本迭代不做，预留二迭代根据结账单推送给商城做结算和分润的能力；</w:t>
              <w:br/>
              <w:t>-系统管理：RBAC权限与日志。</w:t>
              <w:br/>
              <w:t>供应商端：</w:t>
              <w:br/>
              <w:t>-全局驾驶舱：简单查阅任务事项和报告</w:t>
              <w:br/>
              <w:t>-我的任务：采集数据，提交数据和凭证</w:t>
              <w:br/>
              <w:t>-我的碳报告：查看和下载报告；</w:t>
              <w:br/>
              <w:t>-绿色生态市场：二迭代的预留功能</w:t>
              <w:br/>
              <w:t>-知识库与帮助：纯文字描述</w:t>
              <w:br/>
              <w:t>核查机构端：</w:t>
              <w:br/>
              <w:t>-核查仪表盘：简单看任务</w:t>
              <w:br/>
              <w:t>-核查任务管理：核查机构的任务管理</w:t>
              <w:br/>
              <w:t>-报告颁发管理：上传报告。</w:t>
            </w:r>
          </w:p>
        </w:tc>
        <w:tc>
          <w:tcPr>
            <w:tcW w:type="dxa" w:w="2160"/>
          </w:tcPr>
          <w:p>
            <w:r>
              <w:t>平台首个可用的、端到端的碳足迹服务产品。</w:t>
            </w:r>
          </w:p>
        </w:tc>
        <w:tc>
          <w:tcPr>
            <w:tcW w:type="dxa" w:w="2160"/>
          </w:tcPr>
          <w:p>
            <w:r>
              <w:t>这是3月份（3月27日）必须交付的核心价值，证明平台本身的能力。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1.3平台级“中心连接器”基础版开发：开发一个轻量级的、用于未来扩展的连接器框架。</w:t>
            </w:r>
          </w:p>
        </w:tc>
        <w:tc>
          <w:tcPr>
            <w:tcW w:type="dxa" w:w="2160"/>
          </w:tcPr>
          <w:p>
            <w:r>
              <w:t>具备服务注册和代理能力的连接器雏形。</w:t>
            </w:r>
          </w:p>
        </w:tc>
        <w:tc>
          <w:tcPr>
            <w:tcW w:type="dxa" w:w="2160"/>
          </w:tcPr>
          <w:p>
            <w:r>
              <w:t>为迭代二做技术储备，但此阶段不用于生产。</w:t>
            </w:r>
          </w:p>
        </w:tc>
      </w:tr>
      <w:tr>
        <w:tc>
          <w:tcPr>
            <w:tcW w:type="dxa" w:w="2160"/>
          </w:tcPr>
          <w:p>
            <w:r>
              <w:t>2.测试与上线</w:t>
            </w:r>
          </w:p>
        </w:tc>
        <w:tc>
          <w:tcPr>
            <w:tcW w:type="dxa" w:w="2160"/>
          </w:tcPr>
          <w:p>
            <w:r>
              <w:t>2.1自营业务MVP上线：部署平台，并支持鑫智链自营业务的实际运营。</w:t>
            </w:r>
          </w:p>
        </w:tc>
        <w:tc>
          <w:tcPr>
            <w:tcW w:type="dxa" w:w="2160"/>
          </w:tcPr>
          <w:p>
            <w:r>
              <w:t>3月份可交付、可验收的成果。</w:t>
            </w:r>
          </w:p>
        </w:tc>
        <w:tc>
          <w:tcPr>
            <w:tcW w:type="dxa" w:w="2160"/>
          </w:tcPr>
          <w:p>
            <w:r>
              <w:t>鑫智链可以立即开始使用平台开展自营业务。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层级</w:t>
            </w:r>
          </w:p>
        </w:tc>
        <w:tc>
          <w:tcPr>
            <w:tcW w:type="dxa" w:w="2160"/>
          </w:tcPr>
          <w:p>
            <w:r>
              <w:t>任务事项描述</w:t>
            </w:r>
          </w:p>
        </w:tc>
        <w:tc>
          <w:tcPr>
            <w:tcW w:type="dxa" w:w="2160"/>
          </w:tcPr>
          <w:p>
            <w:r>
              <w:t>主要负责方</w:t>
            </w:r>
          </w:p>
        </w:tc>
        <w:tc>
          <w:tcPr>
            <w:tcW w:type="dxa" w:w="2160"/>
          </w:tcPr>
          <w:p>
            <w:r>
              <w:t>排期规划</w:t>
            </w:r>
          </w:p>
        </w:tc>
      </w:tr>
      <w:tr>
        <w:tc>
          <w:tcPr>
            <w:tcW w:type="dxa" w:w="2160"/>
          </w:tcPr>
          <w:p>
            <w:r>
              <w:t>1.方案设计与接口规范</w:t>
            </w:r>
          </w:p>
        </w:tc>
        <w:tc>
          <w:tcPr>
            <w:tcW w:type="dxa" w:w="2160"/>
          </w:tcPr>
          <w:p>
            <w:r>
              <w:t>1.1SaaS接入技术方案与评审：明确中心连接器与擎工SaaS的集成架构、安全认证及网络策略。</w:t>
            </w:r>
          </w:p>
        </w:tc>
        <w:tc>
          <w:tcPr>
            <w:tcW w:type="dxa" w:w="2160"/>
          </w:tcPr>
          <w:p>
            <w:r>
              <w:t>荣泽科技（碳足迹建设团队）</w:t>
            </w:r>
          </w:p>
        </w:tc>
        <w:tc>
          <w:tcPr>
            <w:tcW w:type="dxa" w:w="2160"/>
          </w:tcPr>
          <w:p>
            <w:r>
              <w:t>3月开始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1.2SaaS服务标准化接口文档定稿：由擎工提供并双方确认任务下发、状态回调、结果回传等所有API细节。</w:t>
            </w:r>
          </w:p>
        </w:tc>
        <w:tc>
          <w:tcPr>
            <w:tcW w:type="dxa" w:w="2160"/>
          </w:tcPr>
          <w:p>
            <w:r>
              <w:t>擎工互联（SaaS系统团队）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2.开发、部署与集成</w:t>
            </w:r>
          </w:p>
        </w:tc>
        <w:tc>
          <w:tcPr>
            <w:tcW w:type="dxa" w:w="2160"/>
          </w:tcPr>
          <w:p>
            <w:r>
              <w:t>2.1“中心连接器”开发与部署：开发用于代理和路由擎工SaaS服务的核心中间件，并部署于平台侧。</w:t>
            </w:r>
          </w:p>
        </w:tc>
        <w:tc>
          <w:tcPr>
            <w:tcW w:type="dxa" w:w="2160"/>
          </w:tcPr>
          <w:p>
            <w:r>
              <w:t>荣泽科技（碳足迹建设团队）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2.2平台任务引擎升级：扩展第一阶段的任务引擎，支持“委托-擎工SaaS”任务类型，并能通过中心连接器进行调度。</w:t>
            </w:r>
          </w:p>
        </w:tc>
        <w:tc>
          <w:tcPr>
            <w:tcW w:type="dxa" w:w="2160"/>
          </w:tcPr>
          <w:p>
            <w:r>
              <w:t>荣泽科技（碳足迹建设团队）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2.3擎工SaaS系统适配改造：调整擎工SaaS服务，以接收来自平台的任务参数并按规范接口回传结果。</w:t>
            </w:r>
          </w:p>
        </w:tc>
        <w:tc>
          <w:tcPr>
            <w:tcW w:type="dxa" w:w="2160"/>
          </w:tcPr>
          <w:p>
            <w:r>
              <w:t>擎工互联（SaaS系统团队）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2.4端到端集成联调：完成平台-&gt;中心连接器-&gt;擎工SaaS的全链路调试。</w:t>
            </w:r>
          </w:p>
        </w:tc>
        <w:tc>
          <w:tcPr>
            <w:tcW w:type="dxa" w:w="2160"/>
          </w:tcPr>
          <w:p>
            <w:r>
              <w:t>双方开发团队协同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3.测试与上线</w:t>
            </w:r>
          </w:p>
        </w:tc>
        <w:tc>
          <w:tcPr>
            <w:tcW w:type="dxa" w:w="2160"/>
          </w:tcPr>
          <w:p>
            <w:r>
              <w:t>3.1SaaS委托业务专项UAT</w:t>
            </w:r>
          </w:p>
        </w:tc>
        <w:tc>
          <w:tcPr>
            <w:tcW w:type="dxa" w:w="2160"/>
          </w:tcPr>
          <w:p>
            <w:r>
              <w:t>三方协同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3.2SaaS委托业务正式上线</w:t>
            </w:r>
          </w:p>
        </w:tc>
        <w:tc>
          <w:tcPr>
            <w:tcW w:type="dxa" w:w="2160"/>
          </w:tcPr>
          <w:p>
            <w:r>
              <w:t>荣泽科技（部署）、擎工互联（确认）</w:t>
            </w:r>
          </w:p>
        </w:tc>
        <w:tc>
          <w:tcPr>
            <w:tcW w:type="dxa" w:w="2160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层级</w:t>
            </w:r>
          </w:p>
        </w:tc>
        <w:tc>
          <w:tcPr>
            <w:tcW w:type="dxa" w:w="2160"/>
          </w:tcPr>
          <w:p>
            <w:r>
              <w:t>任务事项描述</w:t>
            </w:r>
          </w:p>
        </w:tc>
        <w:tc>
          <w:tcPr>
            <w:tcW w:type="dxa" w:w="2160"/>
          </w:tcPr>
          <w:p>
            <w:r>
              <w:t>主要负责方</w:t>
            </w:r>
          </w:p>
        </w:tc>
        <w:tc>
          <w:tcPr>
            <w:tcW w:type="dxa" w:w="2160"/>
          </w:tcPr>
          <w:p>
            <w:r>
              <w:t>排期规划</w:t>
            </w:r>
          </w:p>
        </w:tc>
      </w:tr>
      <w:tr>
        <w:tc>
          <w:tcPr>
            <w:tcW w:type="dxa" w:w="2160"/>
          </w:tcPr>
          <w:p>
            <w:r>
              <w:t>1.方案设计与协议制定</w:t>
            </w:r>
          </w:p>
        </w:tc>
        <w:tc>
          <w:tcPr>
            <w:tcW w:type="dxa" w:w="2160"/>
          </w:tcPr>
          <w:p>
            <w:r>
              <w:t>1.1轻量化部署详细技术方案评审：确定边端网络接入、数据安全传输、混合流程编排等方案。</w:t>
            </w:r>
          </w:p>
        </w:tc>
        <w:tc>
          <w:tcPr>
            <w:tcW w:type="dxa" w:w="2160"/>
          </w:tcPr>
          <w:p>
            <w:r>
              <w:t>三方评审定稿</w:t>
            </w:r>
          </w:p>
        </w:tc>
        <w:tc>
          <w:tcPr>
            <w:tcW w:type="dxa" w:w="2160"/>
          </w:tcPr>
          <w:p>
            <w:r>
              <w:t>4月开始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1.2边端-云端数据流转协议定稿：明确回传的数据内容、格式、加密与签名机制。</w:t>
            </w:r>
          </w:p>
        </w:tc>
        <w:tc>
          <w:tcPr>
            <w:tcW w:type="dxa" w:w="2160"/>
          </w:tcPr>
          <w:p>
            <w:r>
              <w:t>三方评审定稿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2.开发与部署</w:t>
            </w:r>
          </w:p>
        </w:tc>
        <w:tc>
          <w:tcPr>
            <w:tcW w:type="dxa" w:w="2160"/>
          </w:tcPr>
          <w:p>
            <w:r>
              <w:t>2.1轻量化部署版本的程序开发：开发可部署于用户本地的轻量级程序，负责本地任务触发、数据打包与上传。</w:t>
            </w:r>
          </w:p>
        </w:tc>
        <w:tc>
          <w:tcPr>
            <w:tcW w:type="dxa" w:w="2160"/>
          </w:tcPr>
          <w:p>
            <w:r>
              <w:t>擎工互联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2.2中心连接器能力扩展：增强现有中心连接器，增加对边端接入连接器的注册、管理与通信能力。</w:t>
            </w:r>
          </w:p>
        </w:tc>
        <w:tc>
          <w:tcPr>
            <w:tcW w:type="dxa" w:w="2160"/>
          </w:tcPr>
          <w:p>
            <w:r>
              <w:t>荣泽科技（基础设施团队）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2.3混合流程编排引擎开发：在平台侧开发复杂逻辑，以协调“供应商本地计算”与“平台中心端调度”与“第三方核查机构本地核查”的混合流程。</w:t>
            </w:r>
          </w:p>
        </w:tc>
        <w:tc>
          <w:tcPr>
            <w:tcW w:type="dxa" w:w="2160"/>
          </w:tcPr>
          <w:p>
            <w:r>
              <w:t>荣泽科技（碳足迹建设团队）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2.4轻量化计算库/镜像提供：提供可在边端环境独立运行的LCA计算组件。</w:t>
            </w:r>
          </w:p>
        </w:tc>
        <w:tc>
          <w:tcPr>
            <w:tcW w:type="dxa" w:w="2160"/>
          </w:tcPr>
          <w:p>
            <w:r>
              <w:t>擎工互联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3.集成、测试与上线</w:t>
            </w:r>
          </w:p>
        </w:tc>
        <w:tc>
          <w:tcPr>
            <w:tcW w:type="dxa" w:w="2160"/>
          </w:tcPr>
          <w:p>
            <w:r>
              <w:t>3.1轻量化全链路集成与专项测试（网络、安全、故障恢复）</w:t>
            </w:r>
          </w:p>
        </w:tc>
        <w:tc>
          <w:tcPr>
            <w:tcW w:type="dxa" w:w="2160"/>
          </w:tcPr>
          <w:p>
            <w:r>
              <w:t>三方协同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3.2轻量化委托业务正式上线</w:t>
            </w:r>
          </w:p>
        </w:tc>
        <w:tc>
          <w:tcPr>
            <w:tcW w:type="dxa" w:w="2160"/>
          </w:tcPr>
          <w:p>
            <w:r>
              <w:t>荣泽科技（部署）、擎工互联（确认）</w:t>
            </w:r>
          </w:p>
        </w:tc>
        <w:tc>
          <w:tcPr>
            <w:tcW w:type="dxa" w:w="2160"/>
          </w:tcPr>
          <w:p>
            <w:r/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