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86BE2">
      <w:pPr>
        <w:pStyle w:val="1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sz w:val="44"/>
          <w:szCs w:val="28"/>
        </w:rPr>
      </w:pPr>
      <w:r>
        <w:rPr>
          <w:rFonts w:hint="eastAsia" w:ascii="仿宋" w:hAnsi="仿宋" w:eastAsia="仿宋" w:cs="仿宋"/>
          <w:sz w:val="44"/>
          <w:szCs w:val="28"/>
        </w:rPr>
        <w:t>关于钢铁行业可信数据空间-产品碳足迹数据服务系统的排期说明</w:t>
      </w:r>
    </w:p>
    <w:p w14:paraId="5B7B6E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一、当前情况与主要考量</w:t>
      </w:r>
    </w:p>
    <w:p w14:paraId="795F53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根据2025年2月5日三方线上讨论，要求碳足迹数据服务系统在3月份同步完成三个任务主线上线。我认为</w:t>
      </w:r>
      <w:r>
        <w:rPr>
          <w:rFonts w:hint="eastAsia" w:ascii="仿宋" w:hAnsi="仿宋" w:eastAsia="仿宋" w:cs="仿宋"/>
        </w:rPr>
        <w:t>如果三条线在3月份强力并行，在开发资源、技术调试和项目管理上会面临较大挑战，存在交付风险。</w:t>
      </w:r>
      <w:r>
        <w:rPr>
          <w:rFonts w:hint="eastAsia" w:ascii="仿宋" w:hAnsi="仿宋" w:eastAsia="仿宋" w:cs="仿宋"/>
          <w:lang w:val="en-US" w:eastAsia="zh-CN"/>
        </w:rPr>
        <w:t>我的建议</w:t>
      </w:r>
      <w:r>
        <w:rPr>
          <w:rFonts w:hint="eastAsia" w:ascii="仿宋" w:hAnsi="仿宋" w:eastAsia="仿宋" w:cs="仿宋"/>
        </w:rPr>
        <w:t>是：</w:t>
      </w:r>
      <w:r>
        <w:rPr>
          <w:rFonts w:hint="eastAsia" w:ascii="仿宋" w:hAnsi="仿宋" w:eastAsia="仿宋" w:cs="仿宋"/>
          <w:b/>
        </w:rPr>
        <w:t>优先确保</w:t>
      </w:r>
      <w:r>
        <w:rPr>
          <w:rFonts w:hint="eastAsia" w:ascii="仿宋" w:hAnsi="仿宋" w:eastAsia="仿宋" w:cs="仿宋"/>
          <w:b/>
          <w:lang w:val="en-US" w:eastAsia="zh-CN"/>
        </w:rPr>
        <w:t>碳足迹自营业务（MVP）</w:t>
      </w:r>
      <w:r>
        <w:rPr>
          <w:rFonts w:hint="eastAsia" w:ascii="仿宋" w:hAnsi="仿宋" w:eastAsia="仿宋" w:cs="仿宋"/>
          <w:b/>
        </w:rPr>
        <w:t>的交付质量，为后续工作打下坚实基础。</w:t>
      </w:r>
      <w:r>
        <w:rPr>
          <w:rFonts w:hint="eastAsia" w:ascii="仿宋" w:hAnsi="仿宋" w:eastAsia="仿宋" w:cs="仿宋"/>
          <w:b/>
          <w:lang w:val="en-US" w:eastAsia="zh-CN"/>
        </w:rPr>
        <w:t>三条主线是：</w:t>
      </w:r>
    </w:p>
    <w:p w14:paraId="5CE50FD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鑫智链自营业务（MVP）平台建设</w:t>
      </w:r>
      <w:r>
        <w:rPr>
          <w:rFonts w:hint="eastAsia" w:ascii="仿宋" w:hAnsi="仿宋" w:eastAsia="仿宋" w:cs="仿宋"/>
        </w:rPr>
        <w:t>：这是平台的基础和核心。</w:t>
      </w:r>
    </w:p>
    <w:p w14:paraId="28AE7FD2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鑫智链邀请擎工互联加入可信数据空间</w:t>
      </w:r>
      <w:r>
        <w:rPr>
          <w:rFonts w:hint="eastAsia" w:ascii="仿宋" w:hAnsi="仿宋" w:eastAsia="仿宋" w:cs="仿宋"/>
          <w:b/>
          <w:bCs/>
          <w:lang w:eastAsia="zh-CN"/>
        </w:rPr>
        <w:t>，</w:t>
      </w:r>
      <w:r>
        <w:rPr>
          <w:rFonts w:hint="eastAsia" w:ascii="仿宋" w:hAnsi="仿宋" w:eastAsia="仿宋" w:cs="仿宋"/>
          <w:b/>
          <w:bCs/>
        </w:rPr>
        <w:t>并委托擎工互联开展服务：</w:t>
      </w:r>
      <w:r>
        <w:rPr>
          <w:rFonts w:hint="eastAsia" w:ascii="仿宋" w:hAnsi="仿宋" w:eastAsia="仿宋" w:cs="仿宋"/>
        </w:rPr>
        <w:t>这是空间生态完善的关键。</w:t>
      </w:r>
    </w:p>
    <w:p w14:paraId="28E18A68">
      <w:pPr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76" w:leftChars="0" w:hanging="336" w:firstLineChars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擎工互联SaaS化服务接入</w:t>
      </w:r>
      <w:r>
        <w:rPr>
          <w:rFonts w:hint="eastAsia" w:ascii="仿宋" w:hAnsi="仿宋" w:eastAsia="仿宋" w:cs="仿宋"/>
        </w:rPr>
        <w:t>：作为重要的能力补充，需要深度集成。</w:t>
      </w:r>
    </w:p>
    <w:p w14:paraId="6C9D8433">
      <w:pPr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76" w:leftChars="0" w:hanging="336" w:firstLineChars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擎工互联轻量化部署方案接入</w:t>
      </w:r>
      <w:r>
        <w:rPr>
          <w:rFonts w:hint="eastAsia" w:ascii="仿宋" w:hAnsi="仿宋" w:eastAsia="仿宋" w:cs="仿宋"/>
        </w:rPr>
        <w:t>：技术路径更为复杂，需单独规划。</w:t>
      </w:r>
    </w:p>
    <w:p w14:paraId="6307F5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二、建议的方案：分阶段实施，明确重点</w:t>
      </w:r>
    </w:p>
    <w:p w14:paraId="5CE313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第一阶段：聚焦鑫智链自营平台MVP上线（当前至3月底）</w:t>
      </w:r>
    </w:p>
    <w:p w14:paraId="6CB9B77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：集中资源，全力保障鑫智链自营碳足迹服务全流程在平台上顺利上线。</w:t>
      </w:r>
    </w:p>
    <w:p w14:paraId="4D879EC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范围</w:t>
      </w:r>
      <w:r>
        <w:rPr>
          <w:rFonts w:hint="eastAsia" w:ascii="仿宋" w:hAnsi="仿宋" w:eastAsia="仿宋" w:cs="仿宋"/>
        </w:rPr>
        <w:t>：此阶段将专注于平台基础功能与自营业务闭环的开发、测试与部署。</w:t>
      </w:r>
    </w:p>
    <w:p w14:paraId="7D9781C9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价值</w:t>
      </w:r>
      <w:r>
        <w:rPr>
          <w:rFonts w:hint="eastAsia" w:ascii="仿宋" w:hAnsi="仿宋" w:eastAsia="仿宋" w:cs="仿宋"/>
        </w:rPr>
        <w:t>：这是项目成功的基石，确保在3月份达成首个可验证、可运营的关键成果。</w:t>
      </w:r>
    </w:p>
    <w:p w14:paraId="2F07DD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第二阶段：有序接入擎工互联服务（3月后启动）</w:t>
      </w:r>
    </w:p>
    <w:p w14:paraId="535EF0E8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：在平台稳定运行后，启动委托业务的接入工作。</w:t>
      </w:r>
    </w:p>
    <w:p w14:paraId="7A715CA6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规划</w:t>
      </w:r>
      <w:r>
        <w:rPr>
          <w:rFonts w:hint="eastAsia" w:ascii="仿宋" w:hAnsi="仿宋" w:eastAsia="仿宋" w:cs="仿宋"/>
        </w:rPr>
        <w:t>：此阶段可进一步分为两个子步骤：</w:t>
      </w:r>
    </w:p>
    <w:p w14:paraId="2FCC82B0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步骤1：SaaS化服务接入</w:t>
      </w:r>
      <w:r>
        <w:rPr>
          <w:rFonts w:hint="eastAsia" w:ascii="仿宋" w:hAnsi="仿宋" w:eastAsia="仿宋" w:cs="仿宋"/>
        </w:rPr>
        <w:t>：包含技术方案细化、接口联调、集成测试等完整流程。</w:t>
      </w:r>
    </w:p>
    <w:p w14:paraId="0A3EB076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步骤2：轻量化部署接入</w:t>
      </w:r>
      <w:r>
        <w:rPr>
          <w:rFonts w:hint="eastAsia" w:ascii="仿宋" w:hAnsi="仿宋" w:eastAsia="仿宋" w:cs="仿宋"/>
        </w:rPr>
        <w:t>：在SaaS接入完成后，重点攻关混合流程编排、边端管理等复杂需求。</w:t>
      </w:r>
    </w:p>
    <w:p w14:paraId="3ADF685C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前期准备</w:t>
      </w:r>
      <w:r>
        <w:rPr>
          <w:rFonts w:hint="eastAsia" w:ascii="仿宋" w:hAnsi="仿宋" w:eastAsia="仿宋" w:cs="仿宋"/>
        </w:rPr>
        <w:t>：在3月份，我们可以同步启动第二阶段的前期工作，例如</w:t>
      </w:r>
      <w:r>
        <w:rPr>
          <w:rFonts w:hint="eastAsia" w:ascii="仿宋" w:hAnsi="仿宋" w:eastAsia="仿宋" w:cs="仿宋"/>
          <w:b/>
        </w:rPr>
        <w:t>技术方案沟通和接口规范讨论</w:t>
      </w:r>
      <w:r>
        <w:rPr>
          <w:rFonts w:hint="eastAsia" w:ascii="仿宋" w:hAnsi="仿宋" w:eastAsia="仿宋" w:cs="仿宋"/>
        </w:rPr>
        <w:t>，为后续开发做好充分准备。</w:t>
      </w:r>
    </w:p>
    <w:p w14:paraId="31A07C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三、需要共同确认的事项</w:t>
      </w:r>
    </w:p>
    <w:p w14:paraId="3F5626B9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lang w:val="en-US" w:eastAsia="zh-CN"/>
        </w:rPr>
        <w:t>需要</w:t>
      </w:r>
      <w:r>
        <w:rPr>
          <w:rFonts w:hint="eastAsia" w:ascii="仿宋" w:hAnsi="仿宋" w:eastAsia="仿宋" w:cs="仿宋"/>
          <w:b/>
        </w:rPr>
        <w:t>鑫智链确认</w:t>
      </w:r>
      <w:r>
        <w:rPr>
          <w:rFonts w:hint="eastAsia" w:ascii="仿宋" w:hAnsi="仿宋" w:eastAsia="仿宋" w:cs="仿宋"/>
        </w:rPr>
        <w:t>：是否同意分阶段推进</w:t>
      </w:r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</w:rPr>
        <w:t>将3月份的验收明确为</w:t>
      </w:r>
      <w:r>
        <w:rPr>
          <w:rFonts w:hint="eastAsia" w:ascii="仿宋" w:hAnsi="仿宋" w:eastAsia="仿宋" w:cs="仿宋"/>
          <w:b/>
        </w:rPr>
        <w:t>自营平台的上线</w:t>
      </w:r>
      <w:r>
        <w:rPr>
          <w:rFonts w:hint="eastAsia" w:ascii="仿宋" w:hAnsi="仿宋" w:eastAsia="仿宋" w:cs="仿宋"/>
        </w:rPr>
        <w:t>。</w:t>
      </w:r>
    </w:p>
    <w:p w14:paraId="3C8D4A22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lang w:val="en-US" w:eastAsia="zh-CN"/>
        </w:rPr>
        <w:t>需要</w:t>
      </w:r>
      <w:r>
        <w:rPr>
          <w:rFonts w:hint="eastAsia" w:ascii="仿宋" w:hAnsi="仿宋" w:eastAsia="仿宋" w:cs="仿宋"/>
          <w:b/>
        </w:rPr>
        <w:t>擎工互联知悉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  <w:lang w:val="en-US" w:eastAsia="zh-CN"/>
        </w:rPr>
        <w:t>我们计划</w:t>
      </w:r>
      <w:r>
        <w:rPr>
          <w:rFonts w:hint="eastAsia" w:ascii="仿宋" w:hAnsi="仿宋" w:eastAsia="仿宋" w:cs="仿宋"/>
        </w:rPr>
        <w:t>在3月期间先进行技术层面的深入沟通，</w:t>
      </w:r>
      <w:r>
        <w:rPr>
          <w:rFonts w:hint="eastAsia" w:ascii="仿宋" w:hAnsi="仿宋" w:eastAsia="仿宋" w:cs="仿宋"/>
          <w:lang w:val="en-US" w:eastAsia="zh-CN"/>
        </w:rPr>
        <w:t>明确具体的开发任务（见附件）。</w:t>
      </w:r>
    </w:p>
    <w:p w14:paraId="343505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b/>
          <w:lang w:val="en-US" w:eastAsia="zh-CN"/>
        </w:rPr>
      </w:pPr>
      <w:r>
        <w:rPr>
          <w:rFonts w:hint="eastAsia" w:ascii="仿宋" w:hAnsi="仿宋" w:eastAsia="仿宋" w:cs="仿宋"/>
          <w:b/>
          <w:lang w:val="en-US" w:eastAsia="zh-CN"/>
        </w:rPr>
        <w:br w:type="page"/>
      </w:r>
    </w:p>
    <w:p w14:paraId="2A817F32">
      <w:pPr>
        <w:pStyle w:val="1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sz w:val="44"/>
          <w:szCs w:val="28"/>
          <w:lang w:eastAsia="zh-CN"/>
        </w:rPr>
      </w:pPr>
      <w:r>
        <w:rPr>
          <w:rFonts w:hint="eastAsia" w:ascii="仿宋" w:hAnsi="仿宋" w:eastAsia="仿宋" w:cs="仿宋"/>
          <w:sz w:val="44"/>
          <w:szCs w:val="28"/>
          <w:lang w:val="en-US" w:eastAsia="zh-CN"/>
        </w:rPr>
        <w:t>附件：鑫智链产品碳足迹数据服务平台</w:t>
      </w:r>
      <w:r>
        <w:rPr>
          <w:rFonts w:hint="eastAsia" w:ascii="仿宋" w:hAnsi="仿宋" w:eastAsia="仿宋" w:cs="仿宋"/>
          <w:sz w:val="44"/>
          <w:szCs w:val="28"/>
        </w:rPr>
        <w:t>项目任务分解清单</w:t>
      </w:r>
      <w:r>
        <w:rPr>
          <w:rFonts w:hint="eastAsia" w:ascii="仿宋" w:hAnsi="仿宋" w:eastAsia="仿宋" w:cs="仿宋"/>
          <w:sz w:val="44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44"/>
          <w:szCs w:val="28"/>
          <w:lang w:val="en-US" w:eastAsia="zh-CN"/>
        </w:rPr>
        <w:t>待各方补充任务内容和排期</w:t>
      </w:r>
      <w:r>
        <w:rPr>
          <w:rFonts w:hint="eastAsia" w:ascii="仿宋" w:hAnsi="仿宋" w:eastAsia="仿宋" w:cs="仿宋"/>
          <w:sz w:val="44"/>
          <w:szCs w:val="28"/>
          <w:lang w:eastAsia="zh-CN"/>
        </w:rPr>
        <w:t>）</w:t>
      </w:r>
    </w:p>
    <w:p w14:paraId="6DFDF0CC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第一阶段：鑫智链自营业务平台建设（MVP阶段</w:t>
      </w:r>
      <w:r>
        <w:rPr>
          <w:rFonts w:hint="eastAsia" w:ascii="仿宋" w:hAnsi="仿宋" w:eastAsia="仿宋" w:cs="仿宋"/>
          <w:b/>
          <w:lang w:eastAsia="zh-CN"/>
        </w:rPr>
        <w:t>，</w:t>
      </w:r>
      <w:r>
        <w:rPr>
          <w:rFonts w:hint="eastAsia" w:ascii="仿宋" w:hAnsi="仿宋" w:eastAsia="仿宋" w:cs="仿宋"/>
          <w:b/>
          <w:lang w:val="en-US" w:eastAsia="zh-CN"/>
        </w:rPr>
        <w:t>已启动开发</w:t>
      </w:r>
      <w:bookmarkStart w:id="0" w:name="_GoBack"/>
      <w:bookmarkEnd w:id="0"/>
      <w:r>
        <w:rPr>
          <w:rFonts w:hint="eastAsia" w:ascii="仿宋" w:hAnsi="仿宋" w:eastAsia="仿宋" w:cs="仿宋"/>
          <w:b/>
        </w:rPr>
        <w:t>）</w:t>
      </w:r>
    </w:p>
    <w:p w14:paraId="552D61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目标：为鑫智链快速搭建起可运营的、核心功能闭环的产品碳足迹数据服务平台。此阶段由荣泽科技（</w:t>
      </w:r>
      <w:r>
        <w:rPr>
          <w:rFonts w:hint="eastAsia" w:ascii="仿宋" w:hAnsi="仿宋" w:eastAsia="仿宋" w:cs="仿宋"/>
          <w:lang w:val="en-US" w:eastAsia="zh-CN"/>
        </w:rPr>
        <w:t>碳足迹应用</w:t>
      </w:r>
      <w:r>
        <w:rPr>
          <w:rFonts w:hint="eastAsia" w:ascii="仿宋" w:hAnsi="仿宋" w:eastAsia="仿宋" w:cs="仿宋"/>
        </w:rPr>
        <w:t>建设团队）主导，是平台从0到1的过程。</w:t>
      </w:r>
    </w:p>
    <w:tbl>
      <w:tblPr>
        <w:tblStyle w:val="17"/>
        <w:tblW w:w="5000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4550"/>
        <w:gridCol w:w="1469"/>
        <w:gridCol w:w="1697"/>
      </w:tblGrid>
      <w:tr w14:paraId="465E1B23">
        <w:tc>
          <w:tcPr>
            <w:tcW w:w="476" w:type="pct"/>
            <w:vAlign w:val="center"/>
          </w:tcPr>
          <w:p w14:paraId="1B04D08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阶段</w:t>
            </w:r>
          </w:p>
        </w:tc>
        <w:tc>
          <w:tcPr>
            <w:tcW w:w="2667" w:type="pct"/>
            <w:vAlign w:val="center"/>
          </w:tcPr>
          <w:p w14:paraId="014877D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核心任务事项（荣泽团队主导）</w:t>
            </w:r>
          </w:p>
        </w:tc>
        <w:tc>
          <w:tcPr>
            <w:tcW w:w="861" w:type="pct"/>
            <w:vAlign w:val="center"/>
          </w:tcPr>
          <w:p w14:paraId="6A62F39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关键产出</w:t>
            </w:r>
          </w:p>
        </w:tc>
        <w:tc>
          <w:tcPr>
            <w:tcW w:w="995" w:type="pct"/>
            <w:vAlign w:val="center"/>
          </w:tcPr>
          <w:p w14:paraId="31E415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说明</w:t>
            </w:r>
          </w:p>
        </w:tc>
      </w:tr>
      <w:tr w14:paraId="59967D98">
        <w:tc>
          <w:tcPr>
            <w:tcW w:w="476" w:type="pct"/>
            <w:vAlign w:val="center"/>
          </w:tcPr>
          <w:p w14:paraId="268FCF4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1.平台基础能力建设</w:t>
            </w:r>
          </w:p>
        </w:tc>
        <w:tc>
          <w:tcPr>
            <w:tcW w:w="2667" w:type="pct"/>
            <w:vAlign w:val="center"/>
          </w:tcPr>
          <w:p w14:paraId="2466146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1.1</w:t>
            </w:r>
            <w:r>
              <w:rPr>
                <w:rFonts w:hint="eastAsia" w:ascii="仿宋" w:hAnsi="仿宋" w:eastAsia="仿宋" w:cs="仿宋"/>
                <w:b/>
              </w:rPr>
              <w:t>平台基础框架搭建</w:t>
            </w:r>
            <w:r>
              <w:rPr>
                <w:rFonts w:hint="eastAsia" w:ascii="仿宋" w:hAnsi="仿宋" w:eastAsia="仿宋" w:cs="仿宋"/>
              </w:rPr>
              <w:t>：用户、权限、订单、任务管理等核心基础模块开发。</w:t>
            </w:r>
          </w:p>
        </w:tc>
        <w:tc>
          <w:tcPr>
            <w:tcW w:w="861" w:type="pct"/>
            <w:vAlign w:val="center"/>
          </w:tcPr>
          <w:p w14:paraId="324BDC3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一个具备基础运营能力的平台骨架。</w:t>
            </w:r>
          </w:p>
        </w:tc>
        <w:tc>
          <w:tcPr>
            <w:tcW w:w="995" w:type="pct"/>
            <w:vAlign w:val="center"/>
          </w:tcPr>
          <w:p w14:paraId="611A8B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这是所有业务（自营和未来委托）的</w:t>
            </w:r>
            <w:r>
              <w:rPr>
                <w:rFonts w:hint="eastAsia" w:ascii="仿宋" w:hAnsi="仿宋" w:eastAsia="仿宋" w:cs="仿宋"/>
                <w:b/>
              </w:rPr>
              <w:t>统一底座</w:t>
            </w:r>
            <w:r>
              <w:rPr>
                <w:rFonts w:hint="eastAsia" w:ascii="仿宋" w:hAnsi="仿宋" w:eastAsia="仿宋" w:cs="仿宋"/>
              </w:rPr>
              <w:t>。</w:t>
            </w:r>
          </w:p>
        </w:tc>
      </w:tr>
      <w:tr w14:paraId="3D609D29">
        <w:tc>
          <w:tcPr>
            <w:tcW w:w="476" w:type="pct"/>
            <w:vAlign w:val="center"/>
          </w:tcPr>
          <w:p w14:paraId="04A3A2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2667" w:type="pct"/>
            <w:vAlign w:val="center"/>
          </w:tcPr>
          <w:p w14:paraId="31100A4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1.2</w:t>
            </w:r>
            <w:r>
              <w:rPr>
                <w:rFonts w:hint="eastAsia" w:ascii="仿宋" w:hAnsi="仿宋" w:eastAsia="仿宋" w:cs="仿宋"/>
                <w:b/>
              </w:rPr>
              <w:t>自营业务MVP功能开发</w:t>
            </w:r>
            <w:r>
              <w:rPr>
                <w:rFonts w:hint="eastAsia" w:ascii="仿宋" w:hAnsi="仿宋" w:eastAsia="仿宋" w:cs="仿宋"/>
              </w:rPr>
              <w:t>：实现鑫智链自营碳足迹服务的全流程，包括：</w:t>
            </w:r>
          </w:p>
          <w:p w14:paraId="35525C9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-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与可信数据空间基础设施完成身份、应用和接入连接器互联互通；</w:t>
            </w:r>
          </w:p>
          <w:p w14:paraId="24C065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中心端主要功能：</w:t>
            </w:r>
          </w:p>
          <w:p w14:paraId="3E94B8F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-运营驾驶舱：简版（简单统计能力），二迭代做整体；</w:t>
            </w:r>
          </w:p>
          <w:p w14:paraId="67B1C24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-订单管理：与鑫采商城订单集成；</w:t>
            </w:r>
          </w:p>
          <w:p w14:paraId="67149D8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-任务管理：根据订单产生核查任务，派发任务；</w:t>
            </w:r>
          </w:p>
          <w:p w14:paraId="2321A0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-报告管理：上传核算报告，管理第三方核查机构报告，派发报告等；（预留二迭代调用OA电子签章的能力）</w:t>
            </w:r>
          </w:p>
          <w:p w14:paraId="75ECA1E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-供应商管理：维护供应商CRM信息，管理其空间身份与业务关系等；</w:t>
            </w:r>
          </w:p>
          <w:p w14:paraId="2B25246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-核查机构管理：管理和维护核查机构，配置商业策略等；</w:t>
            </w:r>
          </w:p>
          <w:p w14:paraId="1E0F52E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-模板中心：管理维护LCA计算模板，</w:t>
            </w: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同时预留与易碳数科的LCA对接能力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；</w:t>
            </w:r>
          </w:p>
          <w:p w14:paraId="5C3D71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-结算中心：本迭代不做，预留二迭代根据结账单推送给商城做结算和分润的能力；</w:t>
            </w:r>
          </w:p>
          <w:p w14:paraId="3E6907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-系统管理：RBAC权限与日志。</w:t>
            </w:r>
          </w:p>
          <w:p w14:paraId="6BEFF38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供应商端：</w:t>
            </w:r>
          </w:p>
          <w:p w14:paraId="3C4E87E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  <w:t>-全局驾驶舱：简单查阅任务事项和报告</w:t>
            </w:r>
          </w:p>
          <w:p w14:paraId="623AC9B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  <w:t>-我的任务：采集数据，提交数据和凭证</w:t>
            </w:r>
          </w:p>
          <w:p w14:paraId="64AB14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  <w:t>-我的碳报告：查看和下载报告；</w:t>
            </w:r>
          </w:p>
          <w:p w14:paraId="115758E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  <w:t>-绿色生态市场：二迭代的预留功能</w:t>
            </w:r>
          </w:p>
          <w:p w14:paraId="3B65166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  <w:t>-知识库与帮助：纯文字描述</w:t>
            </w:r>
          </w:p>
          <w:p w14:paraId="10E4C91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核查机构端：</w:t>
            </w:r>
          </w:p>
          <w:p w14:paraId="682E44C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  <w:t>-核查仪表盘：简单看任务</w:t>
            </w:r>
          </w:p>
          <w:p w14:paraId="7078D1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  <w:t>-核查任务管理：核查机构的任务管理</w:t>
            </w:r>
          </w:p>
          <w:p w14:paraId="7DB22B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lang w:val="en-US" w:eastAsia="zh-CN"/>
              </w:rPr>
              <w:t>-报告颁发管理：上传报告。</w:t>
            </w:r>
          </w:p>
        </w:tc>
        <w:tc>
          <w:tcPr>
            <w:tcW w:w="861" w:type="pct"/>
            <w:vAlign w:val="center"/>
          </w:tcPr>
          <w:p w14:paraId="76765B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平台首个可用的、端到端的碳足迹服务产品。</w:t>
            </w:r>
          </w:p>
        </w:tc>
        <w:tc>
          <w:tcPr>
            <w:tcW w:w="995" w:type="pct"/>
            <w:vAlign w:val="center"/>
          </w:tcPr>
          <w:p w14:paraId="4D2EA92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这是3月份</w:t>
            </w:r>
            <w:r>
              <w:rPr>
                <w:rFonts w:hint="eastAsia" w:ascii="仿宋" w:hAnsi="仿宋" w:eastAsia="仿宋" w:cs="仿宋"/>
                <w:b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3月27日</w:t>
            </w:r>
            <w:r>
              <w:rPr>
                <w:rFonts w:hint="eastAsia" w:ascii="仿宋" w:hAnsi="仿宋" w:eastAsia="仿宋" w:cs="仿宋"/>
                <w:b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/>
              </w:rPr>
              <w:t>必须交付的核心价值</w:t>
            </w:r>
            <w:r>
              <w:rPr>
                <w:rFonts w:hint="eastAsia" w:ascii="仿宋" w:hAnsi="仿宋" w:eastAsia="仿宋" w:cs="仿宋"/>
              </w:rPr>
              <w:t>，证明平台本身的能力。</w:t>
            </w:r>
          </w:p>
        </w:tc>
      </w:tr>
      <w:tr w14:paraId="183F8D8D">
        <w:tc>
          <w:tcPr>
            <w:tcW w:w="476" w:type="pct"/>
            <w:vAlign w:val="center"/>
          </w:tcPr>
          <w:p w14:paraId="4664AD6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2667" w:type="pct"/>
            <w:vAlign w:val="center"/>
          </w:tcPr>
          <w:p w14:paraId="78E2B4B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1.3</w:t>
            </w:r>
            <w:r>
              <w:rPr>
                <w:rFonts w:hint="eastAsia" w:ascii="仿宋" w:hAnsi="仿宋" w:eastAsia="仿宋" w:cs="仿宋"/>
                <w:b/>
              </w:rPr>
              <w:t>平台级“中心连接器”基础版开发</w:t>
            </w:r>
            <w:r>
              <w:rPr>
                <w:rFonts w:hint="eastAsia" w:ascii="仿宋" w:hAnsi="仿宋" w:eastAsia="仿宋" w:cs="仿宋"/>
              </w:rPr>
              <w:t>：开发一个轻量级的、用于未来扩展的连接器框架。</w:t>
            </w:r>
          </w:p>
        </w:tc>
        <w:tc>
          <w:tcPr>
            <w:tcW w:w="861" w:type="pct"/>
            <w:vAlign w:val="center"/>
          </w:tcPr>
          <w:p w14:paraId="68121DB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具备服务注册和代理能力的连接器雏形。</w:t>
            </w:r>
          </w:p>
        </w:tc>
        <w:tc>
          <w:tcPr>
            <w:tcW w:w="995" w:type="pct"/>
            <w:vAlign w:val="center"/>
          </w:tcPr>
          <w:p w14:paraId="39242B4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为迭代二做</w:t>
            </w:r>
            <w:r>
              <w:rPr>
                <w:rFonts w:hint="eastAsia" w:ascii="仿宋" w:hAnsi="仿宋" w:eastAsia="仿宋" w:cs="仿宋"/>
                <w:b/>
              </w:rPr>
              <w:t>技术储备</w:t>
            </w:r>
            <w:r>
              <w:rPr>
                <w:rFonts w:hint="eastAsia" w:ascii="仿宋" w:hAnsi="仿宋" w:eastAsia="仿宋" w:cs="仿宋"/>
              </w:rPr>
              <w:t>，但此阶段不用于生产。</w:t>
            </w:r>
          </w:p>
        </w:tc>
      </w:tr>
      <w:tr w14:paraId="7FD21E6B">
        <w:tc>
          <w:tcPr>
            <w:tcW w:w="476" w:type="pct"/>
            <w:vAlign w:val="center"/>
          </w:tcPr>
          <w:p w14:paraId="3FE5E41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2.测试与上线</w:t>
            </w:r>
          </w:p>
        </w:tc>
        <w:tc>
          <w:tcPr>
            <w:tcW w:w="2667" w:type="pct"/>
            <w:vAlign w:val="center"/>
          </w:tcPr>
          <w:p w14:paraId="0B83C94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2.1</w:t>
            </w:r>
            <w:r>
              <w:rPr>
                <w:rFonts w:hint="eastAsia" w:ascii="仿宋" w:hAnsi="仿宋" w:eastAsia="仿宋" w:cs="仿宋"/>
                <w:b/>
              </w:rPr>
              <w:t>自营业务MVP上线</w:t>
            </w:r>
            <w:r>
              <w:rPr>
                <w:rFonts w:hint="eastAsia" w:ascii="仿宋" w:hAnsi="仿宋" w:eastAsia="仿宋" w:cs="仿宋"/>
              </w:rPr>
              <w:t>：部署平台，并支持鑫智链自营业务的实际运营。</w:t>
            </w:r>
          </w:p>
        </w:tc>
        <w:tc>
          <w:tcPr>
            <w:tcW w:w="861" w:type="pct"/>
            <w:vAlign w:val="center"/>
          </w:tcPr>
          <w:p w14:paraId="38427DC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3月份可交付、可验收的成果</w:t>
            </w:r>
            <w:r>
              <w:rPr>
                <w:rFonts w:hint="eastAsia" w:ascii="仿宋" w:hAnsi="仿宋" w:eastAsia="仿宋" w:cs="仿宋"/>
              </w:rPr>
              <w:t>。</w:t>
            </w:r>
          </w:p>
        </w:tc>
        <w:tc>
          <w:tcPr>
            <w:tcW w:w="995" w:type="pct"/>
            <w:vAlign w:val="center"/>
          </w:tcPr>
          <w:p w14:paraId="7FA8DA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鑫智链可以立即开始使用平台开展自营业务。</w:t>
            </w:r>
          </w:p>
        </w:tc>
      </w:tr>
    </w:tbl>
    <w:p w14:paraId="4AC22B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</w:p>
    <w:p w14:paraId="55580A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b/>
        </w:rPr>
      </w:pPr>
      <w:r>
        <w:rPr>
          <w:rFonts w:hint="eastAsia" w:ascii="仿宋" w:hAnsi="仿宋" w:eastAsia="仿宋" w:cs="仿宋"/>
          <w:b/>
        </w:rPr>
        <w:br w:type="page"/>
      </w:r>
    </w:p>
    <w:p w14:paraId="6787D45A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b/>
        </w:rPr>
        <w:t>第二阶段：委托业务接入-擎工互联SaaS化服务</w:t>
      </w:r>
      <w:r>
        <w:rPr>
          <w:rFonts w:hint="eastAsia" w:ascii="仿宋" w:hAnsi="仿宋" w:eastAsia="仿宋" w:cs="仿宋"/>
          <w:b/>
          <w:lang w:eastAsia="zh-CN"/>
        </w:rPr>
        <w:t>（</w:t>
      </w:r>
      <w:r>
        <w:rPr>
          <w:rFonts w:hint="eastAsia" w:ascii="仿宋" w:hAnsi="仿宋" w:eastAsia="仿宋" w:cs="仿宋"/>
          <w:b/>
          <w:lang w:val="en-US" w:eastAsia="zh-CN"/>
        </w:rPr>
        <w:t>3月份启动</w:t>
      </w:r>
      <w:r>
        <w:rPr>
          <w:rFonts w:hint="eastAsia" w:ascii="仿宋" w:hAnsi="仿宋" w:eastAsia="仿宋" w:cs="仿宋"/>
          <w:b/>
          <w:lang w:eastAsia="zh-CN"/>
        </w:rPr>
        <w:t>）</w:t>
      </w:r>
    </w:p>
    <w:p w14:paraId="4AC6D6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启动前提：第一阶段平台稳定运行。</w:t>
      </w:r>
      <w:r>
        <w:rPr>
          <w:rFonts w:hint="eastAsia" w:ascii="仿宋" w:hAnsi="仿宋" w:eastAsia="仿宋" w:cs="仿宋"/>
        </w:rPr>
        <w:t>本阶段核心是</w:t>
      </w:r>
      <w:r>
        <w:rPr>
          <w:rFonts w:hint="eastAsia" w:ascii="仿宋" w:hAnsi="仿宋" w:eastAsia="仿宋" w:cs="仿宋"/>
          <w:b/>
        </w:rPr>
        <w:t>将擎工SaaS服务作为“委托业务”接入平台</w:t>
      </w:r>
      <w:r>
        <w:rPr>
          <w:rFonts w:hint="eastAsia" w:ascii="仿宋" w:hAnsi="仿宋" w:eastAsia="仿宋" w:cs="仿宋"/>
        </w:rPr>
        <w:t>。</w:t>
      </w:r>
    </w:p>
    <w:tbl>
      <w:tblPr>
        <w:tblStyle w:val="1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4026"/>
        <w:gridCol w:w="1995"/>
        <w:gridCol w:w="1254"/>
      </w:tblGrid>
      <w:tr w14:paraId="129BF29F">
        <w:tc>
          <w:tcPr>
            <w:tcW w:w="733" w:type="pct"/>
            <w:vAlign w:val="center"/>
          </w:tcPr>
          <w:p w14:paraId="64581B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层级</w:t>
            </w:r>
          </w:p>
        </w:tc>
        <w:tc>
          <w:tcPr>
            <w:tcW w:w="2361" w:type="pct"/>
            <w:vAlign w:val="center"/>
          </w:tcPr>
          <w:p w14:paraId="53D9DF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任务事项描述</w:t>
            </w:r>
          </w:p>
        </w:tc>
        <w:tc>
          <w:tcPr>
            <w:tcW w:w="1170" w:type="pct"/>
            <w:vAlign w:val="center"/>
          </w:tcPr>
          <w:p w14:paraId="2CEA68D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主要负责方</w:t>
            </w:r>
          </w:p>
        </w:tc>
        <w:tc>
          <w:tcPr>
            <w:tcW w:w="735" w:type="pct"/>
            <w:shd w:val="clear"/>
            <w:vAlign w:val="center"/>
          </w:tcPr>
          <w:p w14:paraId="35E26B1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color w:val="333333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排期规划</w:t>
            </w:r>
          </w:p>
        </w:tc>
      </w:tr>
      <w:tr w14:paraId="6E9DF0BB">
        <w:tc>
          <w:tcPr>
            <w:tcW w:w="733" w:type="pct"/>
            <w:vAlign w:val="center"/>
          </w:tcPr>
          <w:p w14:paraId="17506E6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1.方案设计与接口规范</w:t>
            </w:r>
          </w:p>
        </w:tc>
        <w:tc>
          <w:tcPr>
            <w:tcW w:w="2361" w:type="pct"/>
            <w:vAlign w:val="center"/>
          </w:tcPr>
          <w:p w14:paraId="70F6172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1.1</w:t>
            </w:r>
            <w:r>
              <w:rPr>
                <w:rFonts w:hint="eastAsia" w:ascii="仿宋" w:hAnsi="仿宋" w:eastAsia="仿宋" w:cs="仿宋"/>
                <w:b/>
              </w:rPr>
              <w:t>SaaS接入技术方案与评审</w:t>
            </w:r>
            <w:r>
              <w:rPr>
                <w:rFonts w:hint="eastAsia" w:ascii="仿宋" w:hAnsi="仿宋" w:eastAsia="仿宋" w:cs="仿宋"/>
              </w:rPr>
              <w:t>：明确中心连接器与擎工SaaS的集成架构、安全认证及网络策略。</w:t>
            </w:r>
          </w:p>
        </w:tc>
        <w:tc>
          <w:tcPr>
            <w:tcW w:w="1170" w:type="pct"/>
            <w:vAlign w:val="center"/>
          </w:tcPr>
          <w:p w14:paraId="704331F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荣泽科技（</w:t>
            </w:r>
            <w:r>
              <w:rPr>
                <w:rFonts w:hint="eastAsia" w:ascii="仿宋" w:hAnsi="仿宋" w:eastAsia="仿宋" w:cs="仿宋"/>
                <w:b/>
                <w:lang w:eastAsia="zh-CN"/>
              </w:rPr>
              <w:t>碳足迹建设团队</w:t>
            </w:r>
            <w:r>
              <w:rPr>
                <w:rFonts w:hint="eastAsia" w:ascii="仿宋" w:hAnsi="仿宋" w:eastAsia="仿宋" w:cs="仿宋"/>
                <w:b/>
              </w:rPr>
              <w:t>）</w:t>
            </w:r>
          </w:p>
        </w:tc>
        <w:tc>
          <w:tcPr>
            <w:tcW w:w="735" w:type="pct"/>
            <w:shd w:val="clear"/>
            <w:vAlign w:val="center"/>
          </w:tcPr>
          <w:p w14:paraId="232D96F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color w:val="333333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3月开始</w:t>
            </w:r>
          </w:p>
        </w:tc>
      </w:tr>
      <w:tr w14:paraId="6B2221EC">
        <w:tc>
          <w:tcPr>
            <w:tcW w:w="733" w:type="pct"/>
            <w:vAlign w:val="center"/>
          </w:tcPr>
          <w:p w14:paraId="4E8D41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2361" w:type="pct"/>
            <w:vAlign w:val="center"/>
          </w:tcPr>
          <w:p w14:paraId="1B783D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1.2</w:t>
            </w:r>
            <w:r>
              <w:rPr>
                <w:rFonts w:hint="eastAsia" w:ascii="仿宋" w:hAnsi="仿宋" w:eastAsia="仿宋" w:cs="仿宋"/>
                <w:b/>
              </w:rPr>
              <w:t>SaaS服务标准化接口文档定稿</w:t>
            </w:r>
            <w:r>
              <w:rPr>
                <w:rFonts w:hint="eastAsia" w:ascii="仿宋" w:hAnsi="仿宋" w:eastAsia="仿宋" w:cs="仿宋"/>
              </w:rPr>
              <w:t>：由擎工提供并双方确认任务下发、状态回调、结果回传等所有API细节。</w:t>
            </w:r>
          </w:p>
        </w:tc>
        <w:tc>
          <w:tcPr>
            <w:tcW w:w="1170" w:type="pct"/>
            <w:vAlign w:val="center"/>
          </w:tcPr>
          <w:p w14:paraId="5E6F1C5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擎工互联（SaaS系统团队）</w:t>
            </w:r>
          </w:p>
        </w:tc>
        <w:tc>
          <w:tcPr>
            <w:tcW w:w="735" w:type="pct"/>
            <w:shd w:val="clear"/>
            <w:vAlign w:val="center"/>
          </w:tcPr>
          <w:p w14:paraId="48B7B2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color w:val="333333"/>
                <w:kern w:val="2"/>
                <w:sz w:val="22"/>
                <w:szCs w:val="24"/>
                <w:lang w:val="en-US" w:eastAsia="zh-CN" w:bidi="ar-SA"/>
              </w:rPr>
            </w:pPr>
          </w:p>
        </w:tc>
      </w:tr>
      <w:tr w14:paraId="34AA5D58">
        <w:tc>
          <w:tcPr>
            <w:tcW w:w="733" w:type="pct"/>
            <w:vAlign w:val="center"/>
          </w:tcPr>
          <w:p w14:paraId="27189C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2.开发、部署与集成</w:t>
            </w:r>
          </w:p>
        </w:tc>
        <w:tc>
          <w:tcPr>
            <w:tcW w:w="2361" w:type="pct"/>
            <w:vAlign w:val="center"/>
          </w:tcPr>
          <w:p w14:paraId="5D5789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2.1</w:t>
            </w:r>
            <w:r>
              <w:rPr>
                <w:rFonts w:hint="eastAsia" w:ascii="仿宋" w:hAnsi="仿宋" w:eastAsia="仿宋" w:cs="仿宋"/>
                <w:b/>
              </w:rPr>
              <w:t>“中心连接器”开发与部署</w:t>
            </w:r>
            <w:r>
              <w:rPr>
                <w:rFonts w:hint="eastAsia" w:ascii="仿宋" w:hAnsi="仿宋" w:eastAsia="仿宋" w:cs="仿宋"/>
              </w:rPr>
              <w:t>：开发用于代理和路由擎工SaaS服务的核心中间件，并部署于平台侧。</w:t>
            </w:r>
          </w:p>
        </w:tc>
        <w:tc>
          <w:tcPr>
            <w:tcW w:w="1170" w:type="pct"/>
            <w:vAlign w:val="center"/>
          </w:tcPr>
          <w:p w14:paraId="6E2D804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荣泽科技（</w:t>
            </w:r>
            <w:r>
              <w:rPr>
                <w:rFonts w:hint="eastAsia" w:ascii="仿宋" w:hAnsi="仿宋" w:eastAsia="仿宋" w:cs="仿宋"/>
                <w:b/>
                <w:lang w:eastAsia="zh-CN"/>
              </w:rPr>
              <w:t>碳足迹建设团队</w:t>
            </w:r>
            <w:r>
              <w:rPr>
                <w:rFonts w:hint="eastAsia" w:ascii="仿宋" w:hAnsi="仿宋" w:eastAsia="仿宋" w:cs="仿宋"/>
                <w:b/>
              </w:rPr>
              <w:t>）</w:t>
            </w:r>
          </w:p>
        </w:tc>
        <w:tc>
          <w:tcPr>
            <w:tcW w:w="735" w:type="pct"/>
            <w:shd w:val="clear"/>
            <w:vAlign w:val="center"/>
          </w:tcPr>
          <w:p w14:paraId="14AE495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color w:val="333333"/>
                <w:kern w:val="2"/>
                <w:sz w:val="22"/>
                <w:szCs w:val="24"/>
                <w:lang w:val="en-US" w:eastAsia="zh-CN" w:bidi="ar-SA"/>
              </w:rPr>
            </w:pPr>
          </w:p>
        </w:tc>
      </w:tr>
      <w:tr w14:paraId="3A40F47F">
        <w:tc>
          <w:tcPr>
            <w:tcW w:w="733" w:type="pct"/>
            <w:vAlign w:val="center"/>
          </w:tcPr>
          <w:p w14:paraId="614068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2361" w:type="pct"/>
            <w:vAlign w:val="center"/>
          </w:tcPr>
          <w:p w14:paraId="77150D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2.2</w:t>
            </w:r>
            <w:r>
              <w:rPr>
                <w:rFonts w:hint="eastAsia" w:ascii="仿宋" w:hAnsi="仿宋" w:eastAsia="仿宋" w:cs="仿宋"/>
                <w:b/>
              </w:rPr>
              <w:t>平台任务引擎升级</w:t>
            </w:r>
            <w:r>
              <w:rPr>
                <w:rFonts w:hint="eastAsia" w:ascii="仿宋" w:hAnsi="仿宋" w:eastAsia="仿宋" w:cs="仿宋"/>
              </w:rPr>
              <w:t>：扩展第一阶段的任务引擎，支持“委托-擎工SaaS”任务类型，并能通过中心连接器进行调度。</w:t>
            </w:r>
          </w:p>
        </w:tc>
        <w:tc>
          <w:tcPr>
            <w:tcW w:w="1170" w:type="pct"/>
            <w:vAlign w:val="center"/>
          </w:tcPr>
          <w:p w14:paraId="5BA198B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荣泽科技（</w:t>
            </w:r>
            <w:r>
              <w:rPr>
                <w:rFonts w:hint="eastAsia" w:ascii="仿宋" w:hAnsi="仿宋" w:eastAsia="仿宋" w:cs="仿宋"/>
                <w:b/>
                <w:lang w:eastAsia="zh-CN"/>
              </w:rPr>
              <w:t>碳足迹建设团队</w:t>
            </w:r>
            <w:r>
              <w:rPr>
                <w:rFonts w:hint="eastAsia" w:ascii="仿宋" w:hAnsi="仿宋" w:eastAsia="仿宋" w:cs="仿宋"/>
                <w:b/>
              </w:rPr>
              <w:t>）</w:t>
            </w:r>
          </w:p>
        </w:tc>
        <w:tc>
          <w:tcPr>
            <w:tcW w:w="735" w:type="pct"/>
            <w:shd w:val="clear"/>
            <w:vAlign w:val="center"/>
          </w:tcPr>
          <w:p w14:paraId="0CA5B18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color w:val="333333"/>
                <w:kern w:val="2"/>
                <w:sz w:val="22"/>
                <w:szCs w:val="24"/>
                <w:lang w:val="en-US" w:eastAsia="zh-CN" w:bidi="ar-SA"/>
              </w:rPr>
            </w:pPr>
          </w:p>
        </w:tc>
      </w:tr>
      <w:tr w14:paraId="3B42D377">
        <w:tc>
          <w:tcPr>
            <w:tcW w:w="733" w:type="pct"/>
            <w:vAlign w:val="center"/>
          </w:tcPr>
          <w:p w14:paraId="18E0550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2361" w:type="pct"/>
            <w:vAlign w:val="center"/>
          </w:tcPr>
          <w:p w14:paraId="72BD74E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2.3</w:t>
            </w:r>
            <w:r>
              <w:rPr>
                <w:rFonts w:hint="eastAsia" w:ascii="仿宋" w:hAnsi="仿宋" w:eastAsia="仿宋" w:cs="仿宋"/>
                <w:b/>
              </w:rPr>
              <w:t>擎工SaaS系统适配改造</w:t>
            </w:r>
            <w:r>
              <w:rPr>
                <w:rFonts w:hint="eastAsia" w:ascii="仿宋" w:hAnsi="仿宋" w:eastAsia="仿宋" w:cs="仿宋"/>
              </w:rPr>
              <w:t>：调整擎工SaaS服务，以接收来自平台的任务参数并按规范接口回传结果。</w:t>
            </w:r>
          </w:p>
        </w:tc>
        <w:tc>
          <w:tcPr>
            <w:tcW w:w="1170" w:type="pct"/>
            <w:vAlign w:val="center"/>
          </w:tcPr>
          <w:p w14:paraId="3F93953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擎工互联（SaaS系统团队）</w:t>
            </w:r>
          </w:p>
        </w:tc>
        <w:tc>
          <w:tcPr>
            <w:tcW w:w="735" w:type="pct"/>
            <w:shd w:val="clear"/>
            <w:vAlign w:val="center"/>
          </w:tcPr>
          <w:p w14:paraId="0E70BAA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color w:val="333333"/>
                <w:kern w:val="2"/>
                <w:sz w:val="22"/>
                <w:szCs w:val="24"/>
                <w:lang w:val="en-US" w:eastAsia="zh-CN" w:bidi="ar-SA"/>
              </w:rPr>
            </w:pPr>
          </w:p>
        </w:tc>
      </w:tr>
      <w:tr w14:paraId="650C0E35">
        <w:tc>
          <w:tcPr>
            <w:tcW w:w="733" w:type="pct"/>
            <w:vAlign w:val="center"/>
          </w:tcPr>
          <w:p w14:paraId="2F33316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2361" w:type="pct"/>
            <w:vAlign w:val="center"/>
          </w:tcPr>
          <w:p w14:paraId="3A1251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2.4</w:t>
            </w:r>
            <w:r>
              <w:rPr>
                <w:rFonts w:hint="eastAsia" w:ascii="仿宋" w:hAnsi="仿宋" w:eastAsia="仿宋" w:cs="仿宋"/>
                <w:b/>
              </w:rPr>
              <w:t>端到端集成联调</w:t>
            </w:r>
            <w:r>
              <w:rPr>
                <w:rFonts w:hint="eastAsia" w:ascii="仿宋" w:hAnsi="仿宋" w:eastAsia="仿宋" w:cs="仿宋"/>
              </w:rPr>
              <w:t>：完成平台-&gt;中心连接器-&gt;擎工SaaS的全链路调试。</w:t>
            </w:r>
          </w:p>
        </w:tc>
        <w:tc>
          <w:tcPr>
            <w:tcW w:w="1170" w:type="pct"/>
            <w:vAlign w:val="center"/>
          </w:tcPr>
          <w:p w14:paraId="655D825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双方开发团队协同</w:t>
            </w:r>
          </w:p>
        </w:tc>
        <w:tc>
          <w:tcPr>
            <w:tcW w:w="735" w:type="pct"/>
            <w:shd w:val="clear"/>
            <w:vAlign w:val="center"/>
          </w:tcPr>
          <w:p w14:paraId="490BCA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color w:val="333333"/>
                <w:kern w:val="2"/>
                <w:sz w:val="22"/>
                <w:szCs w:val="24"/>
                <w:lang w:val="en-US" w:eastAsia="zh-CN" w:bidi="ar-SA"/>
              </w:rPr>
            </w:pPr>
          </w:p>
        </w:tc>
      </w:tr>
      <w:tr w14:paraId="76154F98">
        <w:tc>
          <w:tcPr>
            <w:tcW w:w="733" w:type="pct"/>
            <w:vAlign w:val="center"/>
          </w:tcPr>
          <w:p w14:paraId="14B8A2C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3.测试与上线</w:t>
            </w:r>
          </w:p>
        </w:tc>
        <w:tc>
          <w:tcPr>
            <w:tcW w:w="2361" w:type="pct"/>
            <w:vAlign w:val="center"/>
          </w:tcPr>
          <w:p w14:paraId="3E7E64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3.1</w:t>
            </w:r>
            <w:r>
              <w:rPr>
                <w:rFonts w:hint="eastAsia" w:ascii="仿宋" w:hAnsi="仿宋" w:eastAsia="仿宋" w:cs="仿宋"/>
                <w:b/>
              </w:rPr>
              <w:t>SaaS委托业务专项UAT</w:t>
            </w:r>
          </w:p>
        </w:tc>
        <w:tc>
          <w:tcPr>
            <w:tcW w:w="1170" w:type="pct"/>
            <w:vAlign w:val="center"/>
          </w:tcPr>
          <w:p w14:paraId="756B9C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三方协同</w:t>
            </w:r>
          </w:p>
        </w:tc>
        <w:tc>
          <w:tcPr>
            <w:tcW w:w="735" w:type="pct"/>
            <w:shd w:val="clear"/>
            <w:vAlign w:val="center"/>
          </w:tcPr>
          <w:p w14:paraId="52509EA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color w:val="333333"/>
                <w:kern w:val="2"/>
                <w:sz w:val="22"/>
                <w:szCs w:val="24"/>
                <w:lang w:val="en-US" w:eastAsia="zh-CN" w:bidi="ar-SA"/>
              </w:rPr>
            </w:pPr>
          </w:p>
        </w:tc>
      </w:tr>
      <w:tr w14:paraId="5B555ECB">
        <w:tc>
          <w:tcPr>
            <w:tcW w:w="733" w:type="pct"/>
            <w:vAlign w:val="center"/>
          </w:tcPr>
          <w:p w14:paraId="40C983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2361" w:type="pct"/>
            <w:vAlign w:val="center"/>
          </w:tcPr>
          <w:p w14:paraId="513009E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3.2</w:t>
            </w:r>
            <w:r>
              <w:rPr>
                <w:rFonts w:hint="eastAsia" w:ascii="仿宋" w:hAnsi="仿宋" w:eastAsia="仿宋" w:cs="仿宋"/>
                <w:b/>
              </w:rPr>
              <w:t>SaaS委托业务正式上线</w:t>
            </w:r>
          </w:p>
        </w:tc>
        <w:tc>
          <w:tcPr>
            <w:tcW w:w="1170" w:type="pct"/>
            <w:vAlign w:val="center"/>
          </w:tcPr>
          <w:p w14:paraId="6B667DE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荣泽科技（部署）、擎工互联（确认）</w:t>
            </w:r>
          </w:p>
        </w:tc>
        <w:tc>
          <w:tcPr>
            <w:tcW w:w="735" w:type="pct"/>
            <w:shd w:val="clear"/>
            <w:vAlign w:val="center"/>
          </w:tcPr>
          <w:p w14:paraId="1477E5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color w:val="333333"/>
                <w:kern w:val="2"/>
                <w:sz w:val="22"/>
                <w:szCs w:val="24"/>
                <w:lang w:val="en-US" w:eastAsia="zh-CN" w:bidi="ar-SA"/>
              </w:rPr>
            </w:pPr>
          </w:p>
        </w:tc>
      </w:tr>
    </w:tbl>
    <w:p w14:paraId="46F21F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</w:p>
    <w:p w14:paraId="18DED0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b/>
        </w:rPr>
      </w:pPr>
      <w:r>
        <w:rPr>
          <w:rFonts w:hint="eastAsia" w:ascii="仿宋" w:hAnsi="仿宋" w:eastAsia="仿宋" w:cs="仿宋"/>
          <w:b/>
        </w:rPr>
        <w:br w:type="page"/>
      </w:r>
    </w:p>
    <w:p w14:paraId="23C22FAC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b/>
        </w:rPr>
        <w:t>第三阶段：委托业务接入-擎工互联轻量化部署服务</w:t>
      </w:r>
      <w:r>
        <w:rPr>
          <w:rFonts w:hint="eastAsia" w:ascii="仿宋" w:hAnsi="仿宋" w:eastAsia="仿宋" w:cs="仿宋"/>
          <w:b/>
          <w:lang w:eastAsia="zh-CN"/>
        </w:rPr>
        <w:t>（</w:t>
      </w:r>
      <w:r>
        <w:rPr>
          <w:rFonts w:hint="eastAsia" w:ascii="仿宋" w:hAnsi="仿宋" w:eastAsia="仿宋" w:cs="仿宋"/>
          <w:b/>
          <w:lang w:val="en-US" w:eastAsia="zh-CN"/>
        </w:rPr>
        <w:t>4月份启动</w:t>
      </w:r>
      <w:r>
        <w:rPr>
          <w:rFonts w:hint="eastAsia" w:ascii="仿宋" w:hAnsi="仿宋" w:eastAsia="仿宋" w:cs="仿宋"/>
          <w:b/>
          <w:lang w:eastAsia="zh-CN"/>
        </w:rPr>
        <w:t>）</w:t>
      </w:r>
    </w:p>
    <w:p w14:paraId="640B30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启动前提：第二阶段SaaS接入完成。</w:t>
      </w:r>
      <w:r>
        <w:rPr>
          <w:rFonts w:hint="eastAsia" w:ascii="仿宋" w:hAnsi="仿宋" w:eastAsia="仿宋" w:cs="仿宋"/>
        </w:rPr>
        <w:t>本阶段核心是</w:t>
      </w:r>
      <w:r>
        <w:rPr>
          <w:rFonts w:hint="eastAsia" w:ascii="仿宋" w:hAnsi="仿宋" w:eastAsia="仿宋" w:cs="仿宋"/>
          <w:b/>
        </w:rPr>
        <w:t>实现“</w:t>
      </w:r>
      <w:r>
        <w:rPr>
          <w:rFonts w:hint="eastAsia" w:ascii="仿宋" w:hAnsi="仿宋" w:eastAsia="仿宋" w:cs="仿宋"/>
          <w:b/>
          <w:lang w:val="en-US" w:eastAsia="zh-CN"/>
        </w:rPr>
        <w:t>供应商</w:t>
      </w:r>
      <w:r>
        <w:rPr>
          <w:rFonts w:hint="eastAsia" w:ascii="仿宋" w:hAnsi="仿宋" w:eastAsia="仿宋" w:cs="仿宋"/>
          <w:b/>
        </w:rPr>
        <w:t>本地计算+</w:t>
      </w:r>
      <w:r>
        <w:rPr>
          <w:rFonts w:hint="eastAsia" w:ascii="仿宋" w:hAnsi="仿宋" w:eastAsia="仿宋" w:cs="仿宋"/>
          <w:b/>
          <w:lang w:val="en-US" w:eastAsia="zh-CN"/>
        </w:rPr>
        <w:t>中心端任务调度+第三方本地核查</w:t>
      </w:r>
      <w:r>
        <w:rPr>
          <w:rFonts w:hint="eastAsia" w:ascii="仿宋" w:hAnsi="仿宋" w:eastAsia="仿宋" w:cs="仿宋"/>
          <w:b/>
        </w:rPr>
        <w:t>”的模式</w:t>
      </w:r>
      <w:r>
        <w:rPr>
          <w:rFonts w:hint="eastAsia" w:ascii="仿宋" w:hAnsi="仿宋" w:eastAsia="仿宋" w:cs="仿宋"/>
        </w:rPr>
        <w:t>。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4151"/>
        <w:gridCol w:w="2016"/>
        <w:gridCol w:w="1155"/>
      </w:tblGrid>
      <w:tr w14:paraId="7B77C8AE">
        <w:tc>
          <w:tcPr>
            <w:tcW w:w="0" w:type="auto"/>
            <w:vAlign w:val="center"/>
          </w:tcPr>
          <w:p w14:paraId="651E5F6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层级</w:t>
            </w:r>
          </w:p>
        </w:tc>
        <w:tc>
          <w:tcPr>
            <w:tcW w:w="4151" w:type="dxa"/>
            <w:vAlign w:val="center"/>
          </w:tcPr>
          <w:p w14:paraId="4AEACB0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任务事项描述</w:t>
            </w:r>
          </w:p>
        </w:tc>
        <w:tc>
          <w:tcPr>
            <w:tcW w:w="2016" w:type="dxa"/>
            <w:vAlign w:val="center"/>
          </w:tcPr>
          <w:p w14:paraId="384F5EB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主要负责方</w:t>
            </w:r>
          </w:p>
        </w:tc>
        <w:tc>
          <w:tcPr>
            <w:tcW w:w="1155" w:type="dxa"/>
            <w:vAlign w:val="center"/>
          </w:tcPr>
          <w:p w14:paraId="25EBE79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排期规划</w:t>
            </w:r>
          </w:p>
        </w:tc>
      </w:tr>
      <w:tr w14:paraId="5E854157">
        <w:tc>
          <w:tcPr>
            <w:tcW w:w="0" w:type="auto"/>
            <w:vAlign w:val="center"/>
          </w:tcPr>
          <w:p w14:paraId="1DBFFB4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1.方案设计与协议制定</w:t>
            </w:r>
          </w:p>
        </w:tc>
        <w:tc>
          <w:tcPr>
            <w:tcW w:w="4151" w:type="dxa"/>
            <w:vAlign w:val="center"/>
          </w:tcPr>
          <w:p w14:paraId="203CEE5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1.1</w:t>
            </w:r>
            <w:r>
              <w:rPr>
                <w:rFonts w:hint="eastAsia" w:ascii="仿宋" w:hAnsi="仿宋" w:eastAsia="仿宋" w:cs="仿宋"/>
                <w:b/>
              </w:rPr>
              <w:t>轻量化部署详细技术方案评审</w:t>
            </w:r>
            <w:r>
              <w:rPr>
                <w:rFonts w:hint="eastAsia" w:ascii="仿宋" w:hAnsi="仿宋" w:eastAsia="仿宋" w:cs="仿宋"/>
              </w:rPr>
              <w:t>：确定边端网络接入、数据安全传输、混合流程编排等方案。</w:t>
            </w:r>
          </w:p>
        </w:tc>
        <w:tc>
          <w:tcPr>
            <w:tcW w:w="2016" w:type="dxa"/>
            <w:vAlign w:val="center"/>
          </w:tcPr>
          <w:p w14:paraId="152825B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三方评审定稿</w:t>
            </w:r>
          </w:p>
        </w:tc>
        <w:tc>
          <w:tcPr>
            <w:tcW w:w="1155" w:type="dxa"/>
            <w:vAlign w:val="center"/>
          </w:tcPr>
          <w:p w14:paraId="098E3AE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4月开始</w:t>
            </w:r>
          </w:p>
        </w:tc>
      </w:tr>
      <w:tr w14:paraId="2D999E64">
        <w:tc>
          <w:tcPr>
            <w:tcW w:w="0" w:type="auto"/>
            <w:vAlign w:val="center"/>
          </w:tcPr>
          <w:p w14:paraId="4FD069D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4151" w:type="dxa"/>
            <w:vAlign w:val="center"/>
          </w:tcPr>
          <w:p w14:paraId="7D8678E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1.2</w:t>
            </w:r>
            <w:r>
              <w:rPr>
                <w:rFonts w:hint="eastAsia" w:ascii="仿宋" w:hAnsi="仿宋" w:eastAsia="仿宋" w:cs="仿宋"/>
                <w:b/>
              </w:rPr>
              <w:t>边端-云端数据流转协议定稿</w:t>
            </w:r>
            <w:r>
              <w:rPr>
                <w:rFonts w:hint="eastAsia" w:ascii="仿宋" w:hAnsi="仿宋" w:eastAsia="仿宋" w:cs="仿宋"/>
              </w:rPr>
              <w:t>：明确回传的数据内容、格式、加密与签名机制。</w:t>
            </w:r>
          </w:p>
        </w:tc>
        <w:tc>
          <w:tcPr>
            <w:tcW w:w="2016" w:type="dxa"/>
            <w:vAlign w:val="center"/>
          </w:tcPr>
          <w:p w14:paraId="5421109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三方评审定稿</w:t>
            </w:r>
          </w:p>
        </w:tc>
        <w:tc>
          <w:tcPr>
            <w:tcW w:w="1155" w:type="dxa"/>
            <w:vAlign w:val="center"/>
          </w:tcPr>
          <w:p w14:paraId="24B5F47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</w:rPr>
            </w:pPr>
          </w:p>
        </w:tc>
      </w:tr>
      <w:tr w14:paraId="4FD20A8D">
        <w:tc>
          <w:tcPr>
            <w:tcW w:w="0" w:type="auto"/>
            <w:vAlign w:val="center"/>
          </w:tcPr>
          <w:p w14:paraId="67019A3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2.开发与部署</w:t>
            </w:r>
          </w:p>
        </w:tc>
        <w:tc>
          <w:tcPr>
            <w:tcW w:w="4151" w:type="dxa"/>
            <w:vAlign w:val="center"/>
          </w:tcPr>
          <w:p w14:paraId="2ECA66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2.1</w:t>
            </w: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轻量化部署版本的程序开发</w:t>
            </w:r>
            <w:r>
              <w:rPr>
                <w:rFonts w:hint="eastAsia" w:ascii="仿宋" w:hAnsi="仿宋" w:eastAsia="仿宋" w:cs="仿宋"/>
                <w:b/>
                <w:bCs/>
              </w:rPr>
              <w:t>：</w:t>
            </w:r>
            <w:r>
              <w:rPr>
                <w:rFonts w:hint="eastAsia" w:ascii="仿宋" w:hAnsi="仿宋" w:eastAsia="仿宋" w:cs="仿宋"/>
              </w:rPr>
              <w:t>开发可部署于用户本地的轻量级程序，负责本地任务触发、数据打包与上传。</w:t>
            </w:r>
          </w:p>
        </w:tc>
        <w:tc>
          <w:tcPr>
            <w:tcW w:w="2016" w:type="dxa"/>
            <w:vAlign w:val="center"/>
          </w:tcPr>
          <w:p w14:paraId="4F64BA7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擎工互联</w:t>
            </w:r>
          </w:p>
        </w:tc>
        <w:tc>
          <w:tcPr>
            <w:tcW w:w="1155" w:type="dxa"/>
            <w:vAlign w:val="center"/>
          </w:tcPr>
          <w:p w14:paraId="12CA94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  <w:lang w:val="en-US" w:eastAsia="zh-CN"/>
              </w:rPr>
            </w:pPr>
          </w:p>
        </w:tc>
      </w:tr>
      <w:tr w14:paraId="5EE1CAC8">
        <w:tc>
          <w:tcPr>
            <w:tcW w:w="0" w:type="auto"/>
            <w:vAlign w:val="center"/>
          </w:tcPr>
          <w:p w14:paraId="0ECC7C5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4151" w:type="dxa"/>
            <w:vAlign w:val="center"/>
          </w:tcPr>
          <w:p w14:paraId="168ADE6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2.2</w:t>
            </w:r>
            <w:r>
              <w:rPr>
                <w:rFonts w:hint="eastAsia" w:ascii="仿宋" w:hAnsi="仿宋" w:eastAsia="仿宋" w:cs="仿宋"/>
                <w:b/>
              </w:rPr>
              <w:t>中心连接器能力扩展</w:t>
            </w:r>
            <w:r>
              <w:rPr>
                <w:rFonts w:hint="eastAsia" w:ascii="仿宋" w:hAnsi="仿宋" w:eastAsia="仿宋" w:cs="仿宋"/>
              </w:rPr>
              <w:t>：增强现有中心连接器，增加对边端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接入连接器</w:t>
            </w:r>
            <w:r>
              <w:rPr>
                <w:rFonts w:hint="eastAsia" w:ascii="仿宋" w:hAnsi="仿宋" w:eastAsia="仿宋" w:cs="仿宋"/>
              </w:rPr>
              <w:t>的注册、管理与通信能力。</w:t>
            </w:r>
          </w:p>
        </w:tc>
        <w:tc>
          <w:tcPr>
            <w:tcW w:w="2016" w:type="dxa"/>
            <w:vAlign w:val="center"/>
          </w:tcPr>
          <w:p w14:paraId="4B65659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荣泽科技（</w:t>
            </w: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基础设施团队</w:t>
            </w:r>
            <w:r>
              <w:rPr>
                <w:rFonts w:hint="eastAsia" w:ascii="仿宋" w:hAnsi="仿宋" w:eastAsia="仿宋" w:cs="仿宋"/>
                <w:b/>
              </w:rPr>
              <w:t>）</w:t>
            </w:r>
          </w:p>
        </w:tc>
        <w:tc>
          <w:tcPr>
            <w:tcW w:w="1155" w:type="dxa"/>
            <w:vAlign w:val="center"/>
          </w:tcPr>
          <w:p w14:paraId="434A09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</w:rPr>
            </w:pPr>
          </w:p>
        </w:tc>
      </w:tr>
      <w:tr w14:paraId="7E7EFDFD">
        <w:tc>
          <w:tcPr>
            <w:tcW w:w="0" w:type="auto"/>
            <w:vAlign w:val="center"/>
          </w:tcPr>
          <w:p w14:paraId="409BB5F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4151" w:type="dxa"/>
            <w:vAlign w:val="center"/>
          </w:tcPr>
          <w:p w14:paraId="5B2BC66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2.3</w:t>
            </w:r>
            <w:r>
              <w:rPr>
                <w:rFonts w:hint="eastAsia" w:ascii="仿宋" w:hAnsi="仿宋" w:eastAsia="仿宋" w:cs="仿宋"/>
                <w:b/>
              </w:rPr>
              <w:t>混合流程编排引擎开发</w:t>
            </w:r>
            <w:r>
              <w:rPr>
                <w:rFonts w:hint="eastAsia" w:ascii="仿宋" w:hAnsi="仿宋" w:eastAsia="仿宋" w:cs="仿宋"/>
              </w:rPr>
              <w:t>：在平台侧开发复杂逻辑，以协调“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供应商</w:t>
            </w:r>
            <w:r>
              <w:rPr>
                <w:rFonts w:hint="eastAsia" w:ascii="仿宋" w:hAnsi="仿宋" w:eastAsia="仿宋" w:cs="仿宋"/>
              </w:rPr>
              <w:t>本地计算”与</w:t>
            </w:r>
            <w:r>
              <w:rPr>
                <w:rFonts w:hint="eastAsia" w:ascii="仿宋" w:hAnsi="仿宋" w:eastAsia="仿宋" w:cs="仿宋"/>
                <w:lang w:eastAsia="zh-CN"/>
              </w:rPr>
              <w:t>“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平台中心端调度</w:t>
            </w:r>
            <w:r>
              <w:rPr>
                <w:rFonts w:hint="eastAsia" w:ascii="仿宋" w:hAnsi="仿宋" w:eastAsia="仿宋" w:cs="仿宋"/>
                <w:lang w:eastAsia="zh-CN"/>
              </w:rPr>
              <w:t>”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与</w:t>
            </w:r>
            <w:r>
              <w:rPr>
                <w:rFonts w:hint="eastAsia" w:ascii="仿宋" w:hAnsi="仿宋" w:eastAsia="仿宋" w:cs="仿宋"/>
              </w:rPr>
              <w:t>“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第三方核查机构本地</w:t>
            </w:r>
            <w:r>
              <w:rPr>
                <w:rFonts w:hint="eastAsia" w:ascii="仿宋" w:hAnsi="仿宋" w:eastAsia="仿宋" w:cs="仿宋"/>
              </w:rPr>
              <w:t>核查”的混合流程。</w:t>
            </w:r>
          </w:p>
        </w:tc>
        <w:tc>
          <w:tcPr>
            <w:tcW w:w="2016" w:type="dxa"/>
            <w:vAlign w:val="center"/>
          </w:tcPr>
          <w:p w14:paraId="7D67D9A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荣泽科技（</w:t>
            </w:r>
            <w:r>
              <w:rPr>
                <w:rFonts w:hint="eastAsia" w:ascii="仿宋" w:hAnsi="仿宋" w:eastAsia="仿宋" w:cs="仿宋"/>
                <w:b/>
                <w:lang w:eastAsia="zh-CN"/>
              </w:rPr>
              <w:t>碳足迹建设团队</w:t>
            </w:r>
            <w:r>
              <w:rPr>
                <w:rFonts w:hint="eastAsia" w:ascii="仿宋" w:hAnsi="仿宋" w:eastAsia="仿宋" w:cs="仿宋"/>
                <w:b/>
              </w:rPr>
              <w:t>）</w:t>
            </w:r>
          </w:p>
        </w:tc>
        <w:tc>
          <w:tcPr>
            <w:tcW w:w="1155" w:type="dxa"/>
            <w:vAlign w:val="center"/>
          </w:tcPr>
          <w:p w14:paraId="3D9878A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</w:rPr>
            </w:pPr>
          </w:p>
        </w:tc>
      </w:tr>
      <w:tr w14:paraId="57A8ADB5">
        <w:tc>
          <w:tcPr>
            <w:tcW w:w="0" w:type="auto"/>
            <w:vAlign w:val="center"/>
          </w:tcPr>
          <w:p w14:paraId="52CE5D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4151" w:type="dxa"/>
            <w:vAlign w:val="center"/>
          </w:tcPr>
          <w:p w14:paraId="50713BC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2.4</w:t>
            </w:r>
            <w:r>
              <w:rPr>
                <w:rFonts w:hint="eastAsia" w:ascii="仿宋" w:hAnsi="仿宋" w:eastAsia="仿宋" w:cs="仿宋"/>
                <w:b/>
              </w:rPr>
              <w:t>轻量化计算库/镜像提供</w:t>
            </w:r>
            <w:r>
              <w:rPr>
                <w:rFonts w:hint="eastAsia" w:ascii="仿宋" w:hAnsi="仿宋" w:eastAsia="仿宋" w:cs="仿宋"/>
              </w:rPr>
              <w:t>：提供可在边端环境独立运行的LCA计算组件。</w:t>
            </w:r>
          </w:p>
        </w:tc>
        <w:tc>
          <w:tcPr>
            <w:tcW w:w="2016" w:type="dxa"/>
            <w:vAlign w:val="center"/>
          </w:tcPr>
          <w:p w14:paraId="0A75660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</w:rPr>
              <w:t>擎工互联</w:t>
            </w:r>
          </w:p>
        </w:tc>
        <w:tc>
          <w:tcPr>
            <w:tcW w:w="1155" w:type="dxa"/>
            <w:vAlign w:val="center"/>
          </w:tcPr>
          <w:p w14:paraId="7ECCE91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</w:rPr>
            </w:pPr>
          </w:p>
        </w:tc>
      </w:tr>
      <w:tr w14:paraId="231C4E60">
        <w:tc>
          <w:tcPr>
            <w:tcW w:w="0" w:type="auto"/>
            <w:vAlign w:val="center"/>
          </w:tcPr>
          <w:p w14:paraId="0B3BC42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3.集成、测试与上线</w:t>
            </w:r>
          </w:p>
        </w:tc>
        <w:tc>
          <w:tcPr>
            <w:tcW w:w="4151" w:type="dxa"/>
            <w:vAlign w:val="center"/>
          </w:tcPr>
          <w:p w14:paraId="297223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3.1</w:t>
            </w:r>
            <w:r>
              <w:rPr>
                <w:rFonts w:hint="eastAsia" w:ascii="仿宋" w:hAnsi="仿宋" w:eastAsia="仿宋" w:cs="仿宋"/>
                <w:b/>
              </w:rPr>
              <w:t>轻量化全链路集成与专项测试</w:t>
            </w:r>
            <w:r>
              <w:rPr>
                <w:rFonts w:hint="eastAsia" w:ascii="仿宋" w:hAnsi="仿宋" w:eastAsia="仿宋" w:cs="仿宋"/>
              </w:rPr>
              <w:t>（网络、安全、故障恢复）</w:t>
            </w:r>
          </w:p>
        </w:tc>
        <w:tc>
          <w:tcPr>
            <w:tcW w:w="2016" w:type="dxa"/>
            <w:vAlign w:val="center"/>
          </w:tcPr>
          <w:p w14:paraId="39159E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三方协同</w:t>
            </w:r>
          </w:p>
        </w:tc>
        <w:tc>
          <w:tcPr>
            <w:tcW w:w="1155" w:type="dxa"/>
            <w:vAlign w:val="center"/>
          </w:tcPr>
          <w:p w14:paraId="7DB9C7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</w:rPr>
            </w:pPr>
          </w:p>
        </w:tc>
      </w:tr>
      <w:tr w14:paraId="24F0D8F4">
        <w:tc>
          <w:tcPr>
            <w:tcW w:w="0" w:type="auto"/>
            <w:vAlign w:val="center"/>
          </w:tcPr>
          <w:p w14:paraId="263770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4151" w:type="dxa"/>
            <w:vAlign w:val="center"/>
          </w:tcPr>
          <w:p w14:paraId="7BED05A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3.2</w:t>
            </w:r>
            <w:r>
              <w:rPr>
                <w:rFonts w:hint="eastAsia" w:ascii="仿宋" w:hAnsi="仿宋" w:eastAsia="仿宋" w:cs="仿宋"/>
                <w:b/>
              </w:rPr>
              <w:t>轻量化委托业务正式上线</w:t>
            </w:r>
          </w:p>
        </w:tc>
        <w:tc>
          <w:tcPr>
            <w:tcW w:w="2016" w:type="dxa"/>
            <w:vAlign w:val="center"/>
          </w:tcPr>
          <w:p w14:paraId="64C040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荣泽科技（部署）、擎工互联（确认）</w:t>
            </w:r>
          </w:p>
        </w:tc>
        <w:tc>
          <w:tcPr>
            <w:tcW w:w="1155" w:type="dxa"/>
            <w:vAlign w:val="center"/>
          </w:tcPr>
          <w:p w14:paraId="0153122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仿宋" w:hAnsi="仿宋" w:eastAsia="仿宋" w:cs="仿宋"/>
                <w:b/>
              </w:rPr>
            </w:pPr>
          </w:p>
        </w:tc>
      </w:tr>
    </w:tbl>
    <w:p w14:paraId="37E77A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B39CE"/>
    <w:multiLevelType w:val="multilevel"/>
    <w:tmpl w:val="BF6B39C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nsid w:val="F78A01C5"/>
    <w:multiLevelType w:val="multilevel"/>
    <w:tmpl w:val="F78A01C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">
    <w:nsid w:val="37C35F12"/>
    <w:multiLevelType w:val="multilevel"/>
    <w:tmpl w:val="37C35F12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nsid w:val="6DFB825B"/>
    <w:multiLevelType w:val="multilevel"/>
    <w:tmpl w:val="6DFB825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F5DBA77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BD7306C"/>
    <w:rsid w:val="7C5F4108"/>
    <w:rsid w:val="7D67DBB4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D511B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4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0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customStyle="1" w:styleId="22">
    <w:name w:val="Doc Table Column 1st"/>
    <w:basedOn w:val="17"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3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4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2026-02-05T23:52:00Z</dcterms:created>
  <dc:creator>Data</dc:creator>
  <cp:lastModifiedBy>要相信科学</cp:lastModifiedBy>
  <dcterms:modified xsi:type="dcterms:W3CDTF">2026-02-05T16:37:55Z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32DD0E3CC524E8E3AE55846901F8697C_42</vt:lpwstr>
  </property>
</Properties>
</file>