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46698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Phân tích</w:t>
      </w:r>
    </w:p>
    <w:p w14:paraId="0F07729C">
      <w:pPr>
        <w:pStyle w:val="2"/>
      </w:pPr>
      <w:r>
        <w:t>1. Mục tiêu và bối cảnh</w:t>
      </w:r>
    </w:p>
    <w:p w14:paraId="50F5F30E">
      <w:r>
        <w:t>RikkeiLogistics cần tích hợp cổng thanh toán cước vận đơn và tự động đối soát COD qua kênh số, quy mô trên 200.000 giao dịch/ngày. Hệ thống phải bảo đảm tốc độ, an toàn và tính chính xác dữ liệu tài chính.</w:t>
      </w:r>
    </w:p>
    <w:p w14:paraId="100758DA">
      <w:r>
        <w:t>Quy tắc: chỉ chuyển trạng thái sang PAID khi HMAC-SHA256 hợp lệ và giao dịch được ghi nhận thành công; COD sau khi shipper nộp phải được đối soát tự động và chuyển vào ví người gửi trong 24 giờ. Giao dịch tài chính cần ACID và Audit Trail Log.</w:t>
      </w:r>
    </w:p>
    <w:p w14:paraId="19B109A3">
      <w:pPr>
        <w:pStyle w:val="2"/>
      </w:pPr>
      <w:r>
        <w:t>2. Phần 1 – Phân tích Trade-off</w:t>
      </w:r>
    </w:p>
    <w:p w14:paraId="3B4C61DE">
      <w:pPr>
        <w:pStyle w:val="3"/>
      </w:pPr>
      <w:r>
        <w:t>2.1. Giải pháp 1: Sync API (đồng bộ)</w:t>
      </w:r>
    </w:p>
    <w:p w14:paraId="6A9FDC45">
      <w:pPr>
        <w:pStyle w:val="23"/>
      </w:pPr>
      <w:r>
        <w:t>App gửi yêu cầu thanh toán trực tiếp đến cổng thanh toán qua HTTP API.</w:t>
      </w:r>
    </w:p>
    <w:p w14:paraId="319F8861">
      <w:pPr>
        <w:pStyle w:val="23"/>
      </w:pPr>
      <w:r>
        <w:t>Cổng thanh toán xử lý và trả kết quả trong cùng luồng request-response; App xác thực phản hồi rồi cập nhật trạng thái.</w:t>
      </w:r>
    </w:p>
    <w:p w14:paraId="02F18134">
      <w:pPr>
        <w:pStyle w:val="23"/>
      </w:pPr>
      <w:r>
        <w:t>Nếu timeout, kết quả có thể chưa xác định dù khách đã bị trừ tiền; cần tra cứu theo mã giao dịch và retry có kiểm soát.</w:t>
      </w:r>
    </w:p>
    <w:p w14:paraId="0744A16F">
      <w:pPr>
        <w:pStyle w:val="3"/>
      </w:pPr>
      <w:r>
        <w:t>2.2. Giải pháp 2: Async Webhook/Queue (bất đồng bộ)</w:t>
      </w:r>
    </w:p>
    <w:p w14:paraId="7A76BB65">
      <w:pPr>
        <w:pStyle w:val="23"/>
      </w:pPr>
      <w:r>
        <w:t>App khởi tạo giao dịch và cung cấp mã VietQR/thông tin thanh toán.</w:t>
      </w:r>
    </w:p>
    <w:p w14:paraId="0B633F34">
      <w:pPr>
        <w:pStyle w:val="23"/>
      </w:pPr>
      <w:r>
        <w:t>Ngân hàng gửi Webhook gồm kết quả, mã giao dịch và chữ ký HMAC đến endpoint tiếp nhận; sự kiện được đưa vào Message Queue.</w:t>
      </w:r>
    </w:p>
    <w:p w14:paraId="7285150F">
      <w:pPr>
        <w:pStyle w:val="23"/>
      </w:pPr>
      <w:r>
        <w:t>Consumer Worker đọc sự kiện, xác thực HMAC-SHA256, kiểm tra Idempotency Key rồi yêu cầu Billing Service xử lý.</w:t>
      </w:r>
    </w:p>
    <w:p w14:paraId="18CFE98E">
      <w:pPr>
        <w:pStyle w:val="23"/>
      </w:pPr>
      <w:r>
        <w:t>Billing Service gạch nợ, ghi PaymentTransaction và cập nhật Shipment trong transaction ACID; chỉ ACK sau khi commit thành công.</w:t>
      </w:r>
    </w:p>
    <w:p w14:paraId="66501FD6">
      <w:pPr>
        <w:pStyle w:val="3"/>
      </w:pPr>
      <w:r>
        <w:t>2.3. Bảng Trade-off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0BB0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F4E79"/>
          </w:tcPr>
          <w:p w14:paraId="57E7C6CF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Tiêu chí</w:t>
            </w:r>
          </w:p>
        </w:tc>
        <w:tc>
          <w:tcPr>
            <w:tcW w:w="3408" w:type="dxa"/>
            <w:shd w:val="clear" w:color="auto" w:fill="1F4E79"/>
          </w:tcPr>
          <w:p w14:paraId="09631CA7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Sync API</w:t>
            </w:r>
          </w:p>
        </w:tc>
        <w:tc>
          <w:tcPr>
            <w:tcW w:w="3408" w:type="dxa"/>
            <w:shd w:val="clear" w:color="auto" w:fill="1F4E79"/>
          </w:tcPr>
          <w:p w14:paraId="04F7E936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Async Webhook/Queue</w:t>
            </w:r>
          </w:p>
        </w:tc>
      </w:tr>
      <w:tr w14:paraId="0877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51796C4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Độ tin cậy khi nghẽn mạng</w:t>
            </w:r>
          </w:p>
        </w:tc>
        <w:tc>
          <w:tcPr>
            <w:tcW w:w="3408" w:type="dxa"/>
          </w:tcPr>
          <w:p w14:paraId="7B3E5C28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Phụ thuộc thời gian phản hồi; dễ timeout. Cần truy vấn trạng thái, retry và chống trùng.</w:t>
            </w:r>
          </w:p>
        </w:tc>
        <w:tc>
          <w:tcPr>
            <w:tcW w:w="3408" w:type="dxa"/>
          </w:tcPr>
          <w:p w14:paraId="47867171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Queue lưu sự kiện đã tiếp nhận, tách tiếp nhận khỏi xử lý; hỗ trợ retry/DLQ. Cần broker bền vững và giám sát backlog.</w:t>
            </w:r>
          </w:p>
        </w:tc>
      </w:tr>
      <w:tr w14:paraId="0E9F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34E2295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Độ phức tạp triển khai</w:t>
            </w:r>
          </w:p>
        </w:tc>
        <w:tc>
          <w:tcPr>
            <w:tcW w:w="3408" w:type="dxa"/>
          </w:tcPr>
          <w:p w14:paraId="75A99A6B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Ít thành phần, dễ phát triển và vận hành; vẫn phải xử lý timeout và trạng thái chưa rõ.</w:t>
            </w:r>
          </w:p>
        </w:tc>
        <w:tc>
          <w:tcPr>
            <w:tcW w:w="3408" w:type="dxa"/>
          </w:tcPr>
          <w:p w14:paraId="10EA6AEB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Phức tạp hơn do broker, worker, retry/backoff, DLQ, giám sát, thứ tự sự kiện và replay.</w:t>
            </w:r>
          </w:p>
        </w:tc>
      </w:tr>
      <w:tr w14:paraId="1FC5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6994C77A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Rủi ro sai lệch dữ liệu tài chính</w:t>
            </w:r>
          </w:p>
        </w:tc>
        <w:tc>
          <w:tcPr>
            <w:tcW w:w="3408" w:type="dxa"/>
          </w:tcPr>
          <w:p w14:paraId="25EF8F69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Mất response có thể khiến trạng thái không rõ; retry thiếu kiểm soát có thể tạo giao dịch trùng.</w:t>
            </w:r>
          </w:p>
        </w:tc>
        <w:tc>
          <w:tcPr>
            <w:tcW w:w="3408" w:type="dxa"/>
          </w:tcPr>
          <w:p w14:paraId="634C2F09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Giảm rủi ro nhờ HMAC, idempotency, ACID và ACK sau commit; vẫn cần xử lý sự kiện sai thứ tự và đối soát.</w:t>
            </w:r>
          </w:p>
        </w:tc>
      </w:tr>
    </w:tbl>
    <w:p w14:paraId="5809520F">
      <w:pPr>
        <w:pStyle w:val="3"/>
      </w:pPr>
      <w:r>
        <w:t>2.4. Lựa chọn giải pháp</w:t>
      </w:r>
    </w:p>
    <w:p w14:paraId="33FDFD79">
      <w:r>
        <w:t>Đề xuất Async Webhook/Queue vì phù hợp tải trên 200.000 giao dịch/ngày, giảm phụ thuộc đồng bộ giữa dịch vụ, hỗ trợ mở rộng Worker và phục hồi khi nghẽn mạng. Đổi lại, cần vận hành Queue, giám sát, retry/DLQ và đối soát định kỳ. Queue không tự loại bỏ mọi sai lệch nên phải kết hợp HMAC, Idempotency Key, ACID và AuditLog.</w:t>
      </w:r>
    </w:p>
    <w:p w14:paraId="12395201">
      <w:pPr>
        <w:pStyle w:val="2"/>
      </w:pPr>
      <w:r>
        <w:t>3. Phần 2 – Sequence Diagram</w:t>
      </w:r>
    </w:p>
    <w:p w14:paraId="4E64EDCF">
      <w:r>
        <w:t>Sơ đồ draw.io đi kèm mô tả luồng giữa Khách hàng, RikkeiLogistics App, Ngân hàng/Cổng thanh toán, Message Queue, Consumer Worker và Billing Service.</w:t>
      </w:r>
    </w:p>
    <w:p w14:paraId="566C9067">
      <w:pPr>
        <w:pStyle w:val="29"/>
      </w:pPr>
      <w:r>
        <w:t>Khách hàng yêu cầu thanh toán; App khởi tạo giao dịch và yêu cầu mã VietQR.</w:t>
      </w:r>
    </w:p>
    <w:p w14:paraId="69F6C707">
      <w:pPr>
        <w:pStyle w:val="29"/>
      </w:pPr>
      <w:r>
        <w:t>Ngân hàng trả mã VietQR; khách hàng thực hiện thanh toán.</w:t>
      </w:r>
    </w:p>
    <w:p w14:paraId="6101ADF5">
      <w:pPr>
        <w:pStyle w:val="29"/>
      </w:pPr>
      <w:r>
        <w:t>Ngân hàng gửi Webhook có kết quả, mã giao dịch và HMAC vào Queue.</w:t>
      </w:r>
    </w:p>
    <w:p w14:paraId="66360601">
      <w:pPr>
        <w:pStyle w:val="29"/>
      </w:pPr>
      <w:r>
        <w:t>Worker xác thực HMAC-SHA256 và kiểm tra Idempotency Key.</w:t>
      </w:r>
    </w:p>
    <w:p w14:paraId="3D701FE3">
      <w:pPr>
        <w:pStyle w:val="29"/>
      </w:pPr>
      <w:r>
        <w:t>Nếu HMAC sai: từ chối, ghi AuditLog và không gạch nợ. Nếu trùng: không tạo bút toán lần hai.</w:t>
      </w:r>
    </w:p>
    <w:p w14:paraId="4DDBE51B">
      <w:pPr>
        <w:pStyle w:val="29"/>
      </w:pPr>
      <w:r>
        <w:t>Nếu hợp lệ: Billing Service gạch nợ và ghi PaymentTransaction bằng transaction ACID.</w:t>
      </w:r>
    </w:p>
    <w:p w14:paraId="19B8A416">
      <w:pPr>
        <w:pStyle w:val="29"/>
      </w:pPr>
      <w:r>
        <w:t>Sau commit thành công, cập nhật Shipment.status = PAID và ghi AuditLog; sau đó ACK thông điệp.</w:t>
      </w:r>
    </w:p>
    <w:p w14:paraId="28141AF4">
      <w:pPr>
        <w:pStyle w:val="29"/>
      </w:pPr>
      <w:r>
        <w:t>Lỗi tạm thời được retry có giới hạn; quá số lần chuyển Dead Letter Queue (DLQ).</w:t>
      </w:r>
    </w:p>
    <w:p w14:paraId="589463B1">
      <w:r>
        <w:t>Lưu ý: nếu PaymentTransaction và Shipment cùng DB, cập nhật trong một transaction. Nếu ở các dịch vụ/DB khác nhau, dùng Transactional Outbox/Saga, xử lý idempotent và đối soát; không giả định ACID xuyên nhiều dịch vụ.</w:t>
      </w:r>
    </w:p>
    <w:p w14:paraId="0DF5BDE8">
      <w:pPr>
        <w:pStyle w:val="2"/>
      </w:pPr>
      <w:r>
        <w:t>4. Phần 3 – Dữ liệu và bảo mật</w:t>
      </w:r>
    </w:p>
    <w:p w14:paraId="027B0491">
      <w:pPr>
        <w:pStyle w:val="3"/>
      </w:pPr>
      <w:r>
        <w:t>4.1. Bốn bảng dữ liệu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0C4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F4E79"/>
          </w:tcPr>
          <w:p w14:paraId="21C9CCFC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Bảng</w:t>
            </w:r>
          </w:p>
        </w:tc>
        <w:tc>
          <w:tcPr>
            <w:tcW w:w="5112" w:type="dxa"/>
            <w:shd w:val="clear" w:color="auto" w:fill="1F4E79"/>
          </w:tcPr>
          <w:p w14:paraId="2A2608AB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Mục đích</w:t>
            </w:r>
          </w:p>
        </w:tc>
      </w:tr>
      <w:tr w14:paraId="75D9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B34DBE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Shipment</w:t>
            </w:r>
          </w:p>
        </w:tc>
        <w:tc>
          <w:tcPr>
            <w:tcW w:w="5112" w:type="dxa"/>
          </w:tcPr>
          <w:p w14:paraId="773DD0D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Lưu vận đơn, cước phí và trạng thái thanh toán/vận đơn.</w:t>
            </w:r>
          </w:p>
        </w:tc>
      </w:tr>
      <w:tr w14:paraId="3BAF0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4090E60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PaymentTransaction</w:t>
            </w:r>
          </w:p>
        </w:tc>
        <w:tc>
          <w:tcPr>
            <w:tcW w:w="5112" w:type="dxa"/>
          </w:tcPr>
          <w:p w14:paraId="7EADFC0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Lưu mã giao dịch, shipment_id, số tiền, trạng thái, idempotency_key và thời điểm.</w:t>
            </w:r>
          </w:p>
        </w:tc>
      </w:tr>
      <w:tr w14:paraId="42D2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9FD476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CODSettlement</w:t>
            </w:r>
          </w:p>
        </w:tc>
        <w:tc>
          <w:tcPr>
            <w:tcW w:w="5112" w:type="dxa"/>
          </w:tcPr>
          <w:p w14:paraId="7D98FF1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Lưu số tiền COD, thông tin đối soát, ví người gửi, trạng thái chuyển tiền, hạn xử lý và mã tham chiếu.</w:t>
            </w:r>
          </w:p>
        </w:tc>
      </w:tr>
      <w:tr w14:paraId="4FE2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5C6B09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AuditLog</w:t>
            </w:r>
          </w:p>
        </w:tc>
        <w:tc>
          <w:tcPr>
            <w:tcW w:w="5112" w:type="dxa"/>
          </w:tcPr>
          <w:p w14:paraId="4A2F6D4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Lưu tác nhân, hành động, đối tượng, thời gian, kết quả và correlation_id để truy vết.</w:t>
            </w:r>
          </w:p>
        </w:tc>
      </w:tr>
    </w:tbl>
    <w:p w14:paraId="4C13F9C1">
      <w:pPr>
        <w:pStyle w:val="3"/>
      </w:pPr>
      <w:r>
        <w:t>4.2. Cơ chế bảo mật</w:t>
      </w:r>
    </w:p>
    <w:p w14:paraId="13E5138B">
      <w:pPr>
        <w:pStyle w:val="23"/>
      </w:pPr>
      <w:r>
        <w:t>API Key: xác thực giao tiếp server-to-server qua HTTPS; lưu trong secret manager, phân quyền tối thiểu, luân chuyển định kỳ và không ghi vào log.</w:t>
      </w:r>
    </w:p>
    <w:p w14:paraId="64E003F8">
      <w:pPr>
        <w:pStyle w:val="23"/>
      </w:pPr>
      <w:r>
        <w:t>HMAC-SHA256: xác minh chữ ký trên payload theo quy ước ký; chỉ chấp nhận Webhook hợp lệ. HMAC không thay thế HTTPS hay mã hóa dữ liệu.</w:t>
      </w:r>
    </w:p>
    <w:p w14:paraId="50BF15CB">
      <w:pPr>
        <w:pStyle w:val="23"/>
      </w:pPr>
      <w:r>
        <w:t>Idempotency Key: đặt ràng buộc duy nhất cho khóa/mã giao dịch; Webhook gửi lại không tạo bút toán lần hai.</w:t>
      </w:r>
    </w:p>
    <w:p w14:paraId="5EA4B10D">
      <w:pPr>
        <w:pStyle w:val="23"/>
      </w:pPr>
      <w:r>
        <w:t>ACID và Audit Trail: cập nhật bản ghi liên quan trong transaction; chỉ ACK sau commit và lưu lịch sử thao tác tài chính.</w:t>
      </w:r>
    </w:p>
    <w:p w14:paraId="326A1090">
      <w:pPr>
        <w:pStyle w:val="2"/>
      </w:pPr>
      <w:r>
        <w:t>5. Xử lý tình huống ngoại lệ</w:t>
      </w:r>
      <w:bookmarkStart w:id="0" w:name="_GoBack"/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137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F4E79"/>
          </w:tcPr>
          <w:p w14:paraId="225F4945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Tình huống</w:t>
            </w:r>
          </w:p>
        </w:tc>
        <w:tc>
          <w:tcPr>
            <w:tcW w:w="5112" w:type="dxa"/>
            <w:shd w:val="clear" w:color="auto" w:fill="1F4E79"/>
          </w:tcPr>
          <w:p w14:paraId="44C14C39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Cách xử lý</w:t>
            </w:r>
          </w:p>
        </w:tc>
      </w:tr>
      <w:tr w14:paraId="6BFE1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6715928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Khách bị trừ tiền nhưng App timeout</w:t>
            </w:r>
          </w:p>
        </w:tc>
        <w:tc>
          <w:tcPr>
            <w:tcW w:w="5112" w:type="dxa"/>
          </w:tcPr>
          <w:p w14:paraId="686E317E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Đánh dấu kết quả chưa xác định; tra cứu theo mã tham chiếu hoặc chờ Webhook, không thu tiền lần hai khi chưa xác minh.</w:t>
            </w:r>
          </w:p>
        </w:tc>
      </w:tr>
      <w:tr w14:paraId="046D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45D83FC7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Webhook gửi trùng</w:t>
            </w:r>
          </w:p>
        </w:tc>
        <w:tc>
          <w:tcPr>
            <w:tcW w:w="5112" w:type="dxa"/>
          </w:tcPr>
          <w:p w14:paraId="6DF291F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Kiểm tra Idempotency Key/transaction reference; trả kết quả đã xử lý, không ghi bút toán mới.</w:t>
            </w:r>
          </w:p>
        </w:tc>
      </w:tr>
      <w:tr w14:paraId="6A840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D46AD01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Tài khoản nhận COD bị khóa/sai</w:t>
            </w:r>
          </w:p>
        </w:tc>
        <w:tc>
          <w:tcPr>
            <w:tcW w:w="5112" w:type="dxa"/>
          </w:tcPr>
          <w:p w14:paraId="14F6DF06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Đánh dấu settlement cần xử lý; yêu cầu cập nhật thông tin, thử lại và cảnh báo SLA 24 giờ.</w:t>
            </w:r>
          </w:p>
        </w:tc>
      </w:tr>
      <w:tr w14:paraId="0B4B6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6C77F0C7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Queue/Worker lỗi</w:t>
            </w:r>
          </w:p>
        </w:tc>
        <w:tc>
          <w:tcPr>
            <w:tcW w:w="5112" w:type="dxa"/>
          </w:tcPr>
          <w:p w14:paraId="02772C91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Retry có backoff và giới hạn; chuyển DLQ, cảnh báo và replay an toàn.</w:t>
            </w:r>
          </w:p>
        </w:tc>
      </w:tr>
      <w:tr w14:paraId="2B805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B71F18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Gạch nợ thành công nhưng cập nhật Shipment lỗi</w:t>
            </w:r>
          </w:p>
        </w:tc>
        <w:tc>
          <w:tcPr>
            <w:tcW w:w="5112" w:type="dxa"/>
          </w:tcPr>
          <w:p w14:paraId="6910D22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Cùng DB: rollback trong transaction. Khác dịch vụ: Outbox/Saga, retry idempotent và đối soát.</w:t>
            </w:r>
          </w:p>
        </w:tc>
      </w:tr>
    </w:tbl>
    <w:p w14:paraId="1A376AC5">
      <w:pPr>
        <w:pStyle w:val="2"/>
      </w:pPr>
      <w:r>
        <w:t>6. Đặc tả SRS rút gọn (IEEE 830)</w:t>
      </w:r>
    </w:p>
    <w:p w14:paraId="321D24E7">
      <w:pPr>
        <w:pStyle w:val="3"/>
      </w:pPr>
      <w:r>
        <w:t>3.1. Yêu cầu chức năng</w:t>
      </w:r>
    </w:p>
    <w:p w14:paraId="520C58D2">
      <w:pPr>
        <w:pStyle w:val="23"/>
      </w:pPr>
      <w:r>
        <w:t>FR-01: Hệ thống phải tạo yêu cầu thanh toán cước cho vận đơn đã tính cước và lưu mã tham chiếu duy nhất.</w:t>
      </w:r>
    </w:p>
    <w:p w14:paraId="79B00C64">
      <w:pPr>
        <w:pStyle w:val="23"/>
      </w:pPr>
      <w:r>
        <w:t>FR-02: Hệ thống phải tiếp nhận Webhook và xác thực HMAC-SHA256 trước khi ghi nhận kết quả.</w:t>
      </w:r>
    </w:p>
    <w:p w14:paraId="74075B34">
      <w:pPr>
        <w:pStyle w:val="23"/>
      </w:pPr>
      <w:r>
        <w:t>FR-03: Hệ thống phải chống xử lý trùng bằng Idempotency Key/mã giao dịch duy nhất.</w:t>
      </w:r>
    </w:p>
    <w:p w14:paraId="1E10D416">
      <w:pPr>
        <w:pStyle w:val="23"/>
      </w:pPr>
      <w:r>
        <w:t>FR-04: Chỉ chuyển trạng thái PAID sau khi chữ ký hợp lệ và nghiệp vụ ghi nhận thành công.</w:t>
      </w:r>
    </w:p>
    <w:p w14:paraId="4869D249">
      <w:pPr>
        <w:pStyle w:val="23"/>
      </w:pPr>
      <w:r>
        <w:t>FR-05: Hệ thống phải ghi AuditLog cho các sự kiện tài chính.</w:t>
      </w:r>
    </w:p>
    <w:p w14:paraId="0C1E93AE">
      <w:pPr>
        <w:pStyle w:val="23"/>
      </w:pPr>
      <w:r>
        <w:t>FR-06: Hệ thống phải tự động đối soát COD sau khi shipper nộp và chuyển vào ví người gửi trong 24 giờ.</w:t>
      </w:r>
    </w:p>
    <w:p w14:paraId="6216235B">
      <w:pPr>
        <w:pStyle w:val="23"/>
      </w:pPr>
      <w:r>
        <w:t>FR-07: Hệ thống phải hỗ trợ tra cứu trạng thái, retry, DLQ và đối soát giao dịch chưa rõ kết quả.</w:t>
      </w:r>
    </w:p>
    <w:p w14:paraId="7713AE23">
      <w:pPr>
        <w:pStyle w:val="3"/>
      </w:pPr>
      <w:r>
        <w:t>3.4. Yêu cầu phi chức năng</w:t>
      </w:r>
    </w:p>
    <w:p w14:paraId="79F1BBAB">
      <w:pPr>
        <w:pStyle w:val="23"/>
      </w:pPr>
      <w:r>
        <w:t>NFR-01 – Hiệu năng: hỗ trợ trên 200.000 giao dịch/ngày, mở rộng Worker độc lập và giám sát độ trễ/backlog.</w:t>
      </w:r>
    </w:p>
    <w:p w14:paraId="7B139159">
      <w:pPr>
        <w:pStyle w:val="23"/>
      </w:pPr>
      <w:r>
        <w:t>NFR-02 – Tin cậy: lưu bền vững thông điệp đã tiếp nhận; hỗ trợ retry, DLQ và replay an toàn.</w:t>
      </w:r>
    </w:p>
    <w:p w14:paraId="4724C16B">
      <w:pPr>
        <w:pStyle w:val="23"/>
      </w:pPr>
      <w:r>
        <w:t>NFR-03 – Toàn vẹn: bảo đảm ACID trong phạm vi DB, idempotency và đối soát định kỳ.</w:t>
      </w:r>
    </w:p>
    <w:p w14:paraId="2FB9FA59">
      <w:pPr>
        <w:pStyle w:val="23"/>
      </w:pPr>
      <w:r>
        <w:t>NFR-04 – Bảo mật: HTTPS, quản lý API Key an toàn, HMAC-SHA256, phân quyền tối thiểu và hạn chế dữ liệu nhạy cảm trong log.</w:t>
      </w:r>
    </w:p>
    <w:p w14:paraId="0BE6F348">
      <w:pPr>
        <w:pStyle w:val="23"/>
      </w:pPr>
      <w:r>
        <w:t>NFR-05 – Kiểm toán: mọi thao tác tài chính phải truy vết được qua transaction_id/correlation_id.</w:t>
      </w:r>
    </w:p>
    <w:p w14:paraId="663FF2C4">
      <w:pPr>
        <w:pStyle w:val="23"/>
      </w:pPr>
      <w:r>
        <w:t>NFR-06 – COD: hoàn tất đối soát và chuyển tiền trong 24 giờ; lỗi phải được cảnh báo và đưa vào luồng xử lý.</w:t>
      </w:r>
    </w:p>
    <w:p w14:paraId="61906D33">
      <w:pPr>
        <w:pStyle w:val="2"/>
      </w:pPr>
      <w:r>
        <w:t>7. Kết luận</w:t>
      </w:r>
    </w:p>
    <w:p w14:paraId="6F02B1FE">
      <w:r>
        <w:t>Async Webhook/Queue phù hợp với tải lớn và yêu cầu chịu lỗi khi kết hợp HMAC, Idempotency Key, ACID, retry/DLQ, Audit Trail và đối soát định kỳ. Trạng thái PAID chỉ được xác lập sau khi giao dịch hợp lệ được commit; trạng thái COD phải phản ánh kết quả chuyển tiền thực tế.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AA0DDF"/>
    <w:rsid w:val="5127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Bách Vũ xuân</cp:lastModifiedBy>
  <dcterms:modified xsi:type="dcterms:W3CDTF">2026-10-01T18:53:02Z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DBC4A31B0DD6478486BC3E6D54A5CD3B_12</vt:lpwstr>
  </property>
</Properties>
</file>