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37992">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Bài4</w:t>
      </w:r>
    </w:p>
    <w:p w14:paraId="3A0CFE7F">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1 – Đề xuất 2 chiến lược phân rã Epic</w:t>
      </w:r>
    </w:p>
    <w:p w14:paraId="210FC332">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Chiến lược 1: Phân rã theo quy trình nghiệp vụ</w:t>
      </w:r>
    </w:p>
    <w:p w14:paraId="14AC6A89">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Feature 1: Gửi yêu cầu hủy chuyến ghép.</w:t>
      </w:r>
    </w:p>
    <w:p w14:paraId="2F9DB24A">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Feature 2: Xác định phí hủy theo thời điểm tài xế nhận chuyến.</w:t>
      </w:r>
    </w:p>
    <w:p w14:paraId="156D588D">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Feature 3: Tính lại giá chuyến cho các khách còn lại.</w:t>
      </w:r>
    </w:p>
    <w:p w14:paraId="10992ABB">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Feature 4: Thông báo giá mới cho các khách còn lại.</w:t>
      </w:r>
    </w:p>
    <w:p w14:paraId="665D3D84">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Chiến lược 2: Phân rã theo giá trị người dùng</w:t>
      </w:r>
    </w:p>
    <w:p w14:paraId="2A738C18">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Feature 1: Hủy chuyến miễn phí trước khi tài xế nhận chuyến.</w:t>
      </w:r>
    </w:p>
    <w:p w14:paraId="02717B5C">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Feature 2: Hủy chuyến có phí 10.000đ sau khi tài xế nhận chuyến.</w:t>
      </w:r>
    </w:p>
    <w:p w14:paraId="11A5585B">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Feature 3: Bảo vệ quyền lợi khách còn lại bằng cách tính lại giá khi có người hủy.</w:t>
      </w:r>
    </w:p>
    <w:p w14:paraId="4585D336">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Feature 4: Cập nhật và thông báo giá mới ngay cho khách còn lại.</w:t>
      </w:r>
    </w:p>
    <w:p w14:paraId="41D8CC73">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2 – So sánh theo tiêu chí INVEST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D4F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E91DE3C">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Tiêu chí</w:t>
            </w:r>
          </w:p>
        </w:tc>
        <w:tc>
          <w:tcPr>
            <w:tcW w:w="2841" w:type="dxa"/>
          </w:tcPr>
          <w:p w14:paraId="08B7EB10">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Chiến lược 1</w:t>
            </w:r>
          </w:p>
        </w:tc>
        <w:tc>
          <w:tcPr>
            <w:tcW w:w="2841" w:type="dxa"/>
          </w:tcPr>
          <w:p w14:paraId="6E226D67">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Chiến lược 2</w:t>
            </w:r>
          </w:p>
        </w:tc>
      </w:tr>
      <w:tr w14:paraId="0D4E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CCA1B71">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Độc lập</w:t>
            </w:r>
          </w:p>
        </w:tc>
        <w:tc>
          <w:tcPr>
            <w:tcW w:w="2841" w:type="dxa"/>
          </w:tcPr>
          <w:p w14:paraId="37902A55">
            <w:pPr>
              <w:rPr>
                <w:rFonts w:hint="default" w:ascii="Times New Roman" w:hAnsi="Times New Roman" w:cs="Times New Roman"/>
                <w:vertAlign w:val="baseline"/>
                <w:lang w:val="en-US"/>
              </w:rPr>
            </w:pPr>
            <w:r>
              <w:rPr>
                <w:rFonts w:hint="default" w:ascii="Times New Roman" w:hAnsi="Times New Roman" w:cs="Times New Roman"/>
                <w:sz w:val="20"/>
                <w:szCs w:val="20"/>
              </w:rPr>
              <w:t xml:space="preserve"> Các Feature phụ thuộc vào nhau theo thứ tự xử lý hủy, tính phí và thông báo</w:t>
            </w:r>
          </w:p>
        </w:tc>
        <w:tc>
          <w:tcPr>
            <w:tcW w:w="2841" w:type="dxa"/>
          </w:tcPr>
          <w:p w14:paraId="36AE40D2">
            <w:pPr>
              <w:rPr>
                <w:rFonts w:hint="default" w:ascii="Times New Roman" w:hAnsi="Times New Roman" w:cs="Times New Roman"/>
                <w:vertAlign w:val="baseline"/>
              </w:rPr>
            </w:pPr>
            <w:r>
              <w:rPr>
                <w:rFonts w:hint="default" w:ascii="Times New Roman" w:hAnsi="Times New Roman" w:cs="Times New Roman"/>
                <w:sz w:val="20"/>
                <w:szCs w:val="20"/>
              </w:rPr>
              <w:t>Có thể phát triển từng nhóm giá trị tương đối độc lập nếu xác định rõ giao diện và quy tắc tích hợp</w:t>
            </w:r>
          </w:p>
        </w:tc>
      </w:tr>
      <w:tr w14:paraId="6931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6149607">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Small</w:t>
            </w:r>
          </w:p>
        </w:tc>
        <w:tc>
          <w:tcPr>
            <w:tcW w:w="2841" w:type="dxa"/>
          </w:tcPr>
          <w:p w14:paraId="5F040EAE">
            <w:pPr>
              <w:rPr>
                <w:rFonts w:hint="default" w:ascii="Times New Roman" w:hAnsi="Times New Roman" w:cs="Times New Roman"/>
                <w:vertAlign w:val="baseline"/>
              </w:rPr>
            </w:pPr>
            <w:r>
              <w:rPr>
                <w:rFonts w:hint="default" w:ascii="Times New Roman" w:hAnsi="Times New Roman" w:cs="Times New Roman"/>
                <w:sz w:val="20"/>
                <w:szCs w:val="20"/>
              </w:rPr>
              <w:t>Chia thành các bước nhỏ, có phạm vi xử lý cụ thể.</w:t>
            </w:r>
          </w:p>
        </w:tc>
        <w:tc>
          <w:tcPr>
            <w:tcW w:w="2841" w:type="dxa"/>
          </w:tcPr>
          <w:p w14:paraId="76F35B7B">
            <w:pPr>
              <w:rPr>
                <w:rFonts w:hint="default" w:ascii="Times New Roman" w:hAnsi="Times New Roman" w:cs="Times New Roman"/>
                <w:vertAlign w:val="baseline"/>
              </w:rPr>
            </w:pPr>
            <w:r>
              <w:rPr>
                <w:rFonts w:hint="default" w:ascii="Times New Roman" w:hAnsi="Times New Roman" w:cs="Times New Roman"/>
                <w:sz w:val="20"/>
                <w:szCs w:val="20"/>
              </w:rPr>
              <w:t>Mỗi Feature tập trung vào một nhu cầu hoặc kết quả nghiệp vụ cụ thể.</w:t>
            </w:r>
          </w:p>
        </w:tc>
      </w:tr>
      <w:tr w14:paraId="187E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5F017E9">
            <w:pPr>
              <w:rPr>
                <w:rFonts w:hint="default" w:ascii="Times New Roman" w:hAnsi="Times New Roman" w:cs="Times New Roman"/>
                <w:vertAlign w:val="baseline"/>
                <w:lang w:val="en-US"/>
              </w:rPr>
            </w:pPr>
            <w:r>
              <w:rPr>
                <w:rFonts w:hint="default" w:ascii="Times New Roman" w:hAnsi="Times New Roman" w:cs="Times New Roman"/>
                <w:vertAlign w:val="baseline"/>
                <w:lang w:val="en-US"/>
              </w:rPr>
              <w:t>Valuable</w:t>
            </w:r>
          </w:p>
        </w:tc>
        <w:tc>
          <w:tcPr>
            <w:tcW w:w="2841" w:type="dxa"/>
          </w:tcPr>
          <w:p w14:paraId="58C8889D">
            <w:pPr>
              <w:rPr>
                <w:rFonts w:hint="default" w:ascii="Times New Roman" w:hAnsi="Times New Roman" w:cs="Times New Roman"/>
                <w:vertAlign w:val="baseline"/>
              </w:rPr>
            </w:pPr>
            <w:r>
              <w:rPr>
                <w:rFonts w:hint="default" w:ascii="Times New Roman" w:hAnsi="Times New Roman" w:cs="Times New Roman"/>
                <w:sz w:val="20"/>
                <w:szCs w:val="20"/>
              </w:rPr>
              <w:t xml:space="preserve"> Hoàn thành một bước kỹ thuật riêng lẻ chưa chắc tạo ra giá trị rõ ràng cho người dùng.</w:t>
            </w:r>
          </w:p>
        </w:tc>
        <w:tc>
          <w:tcPr>
            <w:tcW w:w="2841" w:type="dxa"/>
          </w:tcPr>
          <w:p w14:paraId="72A788B5">
            <w:pPr>
              <w:rPr>
                <w:rFonts w:hint="default" w:ascii="Times New Roman" w:hAnsi="Times New Roman" w:cs="Times New Roman"/>
                <w:vertAlign w:val="baseline"/>
              </w:rPr>
            </w:pPr>
            <w:r>
              <w:rPr>
                <w:rFonts w:hint="default" w:ascii="Times New Roman" w:hAnsi="Times New Roman" w:cs="Times New Roman"/>
                <w:sz w:val="20"/>
                <w:szCs w:val="20"/>
              </w:rPr>
              <w:t>Mỗi Feature gắn với lợi ích cụ thể như biết phí hủy hoặc được cập nhật giá mới</w:t>
            </w:r>
          </w:p>
        </w:tc>
      </w:tr>
    </w:tbl>
    <w:p w14:paraId="66C6F4BE">
      <w:pPr>
        <w:rPr>
          <w:rFonts w:hint="default" w:ascii="Times New Roman" w:hAnsi="Times New Roman" w:cs="Times New Roman"/>
        </w:rPr>
      </w:pPr>
    </w:p>
    <w:p w14:paraId="5870F5FA">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3 – Lựa chọn và đặc tả</w:t>
      </w:r>
    </w:p>
    <w:p w14:paraId="2EEC365A">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3.1. Lựa chọn chiến lược</w:t>
      </w:r>
    </w:p>
    <w:p w14:paraId="6B8FA71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Chọn Chiến lược 2 – Phân rã theo giá trị người dùng.</w:t>
      </w:r>
    </w:p>
    <w:p w14:paraId="0F0DABD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Chiến lược này giúp ưu tiên các kết quả người dùng cần, đồng thời thuận lợi cho việc sắp xếp Product Backlog theo giá trị nghiệp vụ. Tuy nhiên, các Feature vẫn cần được thiết kế để tích hợp đúng thứ tự và bảo đảm tính nhất quán dữ liệu.</w:t>
      </w:r>
    </w:p>
    <w:p w14:paraId="70DF396D">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3.2. User Story</w:t>
      </w:r>
    </w:p>
    <w:p w14:paraId="683C9D8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US01 – Tính phí hủy chuyến theo thời điểm tài xế nhận chuyến</w:t>
      </w:r>
    </w:p>
    <w:p w14:paraId="407F102C">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As a: Khách hàng</w:t>
      </w:r>
      <w:bookmarkStart w:id="0" w:name="_GoBack"/>
      <w:bookmarkEnd w:id="0"/>
      <w:r>
        <w:rPr>
          <w:rFonts w:hint="default" w:ascii="Times New Roman" w:hAnsi="Times New Roman" w:cs="Times New Roman"/>
          <w:sz w:val="20"/>
          <w:szCs w:val="20"/>
        </w:rPr>
        <w:t xml:space="preserve"> đặt xe ghép.</w:t>
      </w:r>
    </w:p>
    <w:p w14:paraId="701A9960">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I want: Tôi muốn hệ thống xác định phí hủy dựa trên thời điểm máy chủ ghi nhận yêu cầu hủy và trạng thái nhận chuyến của tài xế.</w:t>
      </w:r>
    </w:p>
    <w:p w14:paraId="1BBC8B15">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So that: Tôi biết chính xác khoản phí phải trả và tránh tranh chấp khi hủy chuyến đúng lúc tài xế nhận chuyến.</w:t>
      </w:r>
    </w:p>
    <w:p w14:paraId="486C7AEC">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3.3. Acceptance Criteria – Tình huống hủy đúng lúc tài xế nhận chuyến</w:t>
      </w:r>
    </w:p>
    <w:p w14:paraId="05C62B5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Given: Khách hàng đang có chuyến ghép và tài xế chuẩn bị xác nhận nhận chuyến.</w:t>
      </w:r>
    </w:p>
    <w:p w14:paraId="49E098C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When: Yêu cầu hủy của khách hàng và thao tác nhận chuyến của tài xế xảy ra gần như đồng thời.</w:t>
      </w:r>
    </w:p>
    <w:p w14:paraId="1DABCF3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Then</w:t>
      </w:r>
    </w:p>
    <w:p w14:paraId="6CA77C7C">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Hệ thống căn cứ vào thời điểm ghi nhận trên máy chủ và trạng thái nhận chuyến được xác lập hợp lệ.</w:t>
      </w:r>
    </w:p>
    <w:p w14:paraId="4C899AF5">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Nếu yêu cầu hủy được ghi nhận trước khi tài xế nhận chuyến thành công, phí hủy là 0đ.</w:t>
      </w:r>
    </w:p>
    <w:p w14:paraId="2DE6B335">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Nếu tài xế đã nhận chuyến thành công trước thời điểm hệ thống ghi nhận yêu cầu hủy, phí hủy là 10.000đ.</w:t>
      </w:r>
    </w:p>
    <w:p w14:paraId="11E65462">
      <w:pPr>
        <w:pStyle w:val="6"/>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Hệ thống chỉ áp dụng một kết quả tính phí nhất quán, không thu phí hai lần hoặc xử lý đồng thời thành hai trạng thái mâu thuẫn.</w:t>
      </w:r>
    </w:p>
    <w:p w14:paraId="6A92E853">
      <w:pPr>
        <w:rPr>
          <w:rFonts w:hint="default" w:ascii="Times New Roman" w:hAnsi="Times New Roman" w:cs="Times New Roman"/>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25096A"/>
    <w:rsid w:val="792509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2026-10-12T13:39:00Z</dcterms:created>
  <dc:creator>Bách Vũ xuân</dc:creator>
  <cp:lastModifiedBy>Bách Vũ xuân</cp:lastModifiedBy>
  <dcterms:modified xsi:type="dcterms:W3CDTF">2026-10-12T14:31:43Z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76BB86EF7B304ECA9F7CD5E9EAB874E9_11</vt:lpwstr>
  </property>
</Properties>
</file>