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Bộ Nội vụ vừa có tờ trình dự thảo nghị định quy định mức lương tối thiểu đối với người lao động làm việc theo hợp đồng lao động. Cụ thể bộ đề xuất </w:t>
      </w:r>
      <w:hyperlink r:id="rId6">
        <w:r w:rsidDel="00000000" w:rsidR="00000000" w:rsidRPr="00000000">
          <w:rPr>
            <w:rFonts w:ascii="Roboto" w:cs="Roboto" w:eastAsia="Roboto" w:hAnsi="Roboto"/>
            <w:b w:val="1"/>
            <w:color w:val="226ac5"/>
            <w:sz w:val="26"/>
            <w:szCs w:val="26"/>
            <w:rtl w:val="0"/>
          </w:rPr>
          <w:t xml:space="preserve">tăng lương</w:t>
        </w:r>
      </w:hyperlink>
      <w:r w:rsidDel="00000000" w:rsidR="00000000" w:rsidRPr="00000000">
        <w:rPr>
          <w:rFonts w:ascii="Roboto" w:cs="Roboto" w:eastAsia="Roboto" w:hAnsi="Roboto"/>
          <w:b w:val="1"/>
          <w:color w:val="222222"/>
          <w:sz w:val="26"/>
          <w:szCs w:val="26"/>
          <w:rtl w:val="0"/>
        </w:rPr>
        <w:t xml:space="preserve"> từ 250.000 - 350.000 đồng/tháng. </w:t>
      </w:r>
    </w:p>
    <w:p w:rsidR="00000000" w:rsidDel="00000000" w:rsidP="00000000" w:rsidRDefault="00000000" w:rsidRPr="00000000" w14:paraId="00000002">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Dự kiến vùng I là 5,31 triệu đồng, vùng II là 4,73 triệu đồng, vùng III là 4,14 triệu đồng và vùng IV là 3,7 triệu đồng. Bình quân là 4,47 triệu đồng/tháng.</w:t>
      </w:r>
    </w:p>
    <w:p w:rsidR="00000000" w:rsidDel="00000000" w:rsidP="00000000" w:rsidRDefault="00000000" w:rsidRPr="00000000" w14:paraId="00000003">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Lương tối thiểu giờ theo 4 vùng gồm: vùng I là 25.500 đồng/giờ, vùng II là 22.700 đồng/giờ, vùng III là 20.000 đồng/giờ và vùng IV là 17.800 đồng/giờ.</w:t>
      </w:r>
    </w:p>
    <w:p w:rsidR="00000000" w:rsidDel="00000000" w:rsidP="00000000" w:rsidRDefault="00000000" w:rsidRPr="00000000" w14:paraId="00000004">
      <w:pPr>
        <w:pStyle w:val="Heading2"/>
        <w:keepNext w:val="0"/>
        <w:keepLines w:val="0"/>
        <w:pBdr>
          <w:top w:color="auto" w:space="6" w:sz="0" w:val="none"/>
          <w:left w:color="auto" w:space="0" w:sz="0" w:val="none"/>
          <w:bottom w:color="auto" w:space="6" w:sz="0" w:val="none"/>
          <w:right w:color="auto" w:space="0" w:sz="0" w:val="none"/>
          <w:between w:color="auto" w:space="6" w:sz="0" w:val="none"/>
        </w:pBdr>
        <w:shd w:fill="ffffff" w:val="clear"/>
        <w:spacing w:after="180" w:before="180" w:line="312" w:lineRule="auto"/>
        <w:jc w:val="both"/>
        <w:rPr>
          <w:rFonts w:ascii="Roboto" w:cs="Roboto" w:eastAsia="Roboto" w:hAnsi="Roboto"/>
          <w:b w:val="1"/>
          <w:color w:val="222222"/>
          <w:sz w:val="38"/>
          <w:szCs w:val="38"/>
        </w:rPr>
      </w:pPr>
      <w:bookmarkStart w:colFirst="0" w:colLast="0" w:name="_yin256sng4q8" w:id="0"/>
      <w:bookmarkEnd w:id="0"/>
      <w:r w:rsidDel="00000000" w:rsidR="00000000" w:rsidRPr="00000000">
        <w:rPr>
          <w:rFonts w:ascii="Andika" w:cs="Andika" w:eastAsia="Andika" w:hAnsi="Andika"/>
          <w:b w:val="1"/>
          <w:color w:val="222222"/>
          <w:sz w:val="38"/>
          <w:szCs w:val="38"/>
          <w:rtl w:val="0"/>
        </w:rPr>
        <w:t xml:space="preserve">Tiền lương mới ở các phường, xã tại TP.HCM </w:t>
      </w:r>
    </w:p>
    <w:p w:rsidR="00000000" w:rsidDel="00000000" w:rsidP="00000000" w:rsidRDefault="00000000" w:rsidRPr="00000000" w14:paraId="00000005">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Bộ Nội vụ cũng đề xuất danh mục địa bàn áp dụng </w:t>
      </w:r>
      <w:hyperlink r:id="rId7">
        <w:r w:rsidDel="00000000" w:rsidR="00000000" w:rsidRPr="00000000">
          <w:rPr>
            <w:rFonts w:ascii="Roboto" w:cs="Roboto" w:eastAsia="Roboto" w:hAnsi="Roboto"/>
            <w:b w:val="1"/>
            <w:color w:val="226ac5"/>
            <w:sz w:val="26"/>
            <w:szCs w:val="26"/>
            <w:rtl w:val="0"/>
          </w:rPr>
          <w:t xml:space="preserve">lương tối thiểu</w:t>
        </w:r>
      </w:hyperlink>
      <w:r w:rsidDel="00000000" w:rsidR="00000000" w:rsidRPr="00000000">
        <w:rPr>
          <w:rFonts w:ascii="Roboto" w:cs="Roboto" w:eastAsia="Roboto" w:hAnsi="Roboto"/>
          <w:b w:val="1"/>
          <w:color w:val="222222"/>
          <w:sz w:val="26"/>
          <w:szCs w:val="26"/>
          <w:rtl w:val="0"/>
        </w:rPr>
        <w:t xml:space="preserve"> mới sau sắp xếp đơn vị hành chính các cấp và xây dựng mô hình chính quyền địa phương 2 cấp.</w:t>
      </w:r>
    </w:p>
    <w:p w:rsidR="00000000" w:rsidDel="00000000" w:rsidP="00000000" w:rsidRDefault="00000000" w:rsidRPr="00000000" w14:paraId="00000006">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Tại TP.HCM, vùng I gồm các phường Sài Gòn, Tân Định, Bến Thành, Cầu Ông Lãnh, Bàn Cờ, Xuân Hòa, Nhiêu Lộc, Xóm Chiếu, Khánh Hội, Vĩnh Hội, Chợ Quán, An Đông, Chợ Lớn, Bình Tây, Bình Phú, Bình Tiên, Phú Lâm, Tân Thuận, Phú Thuận, Tân Mỹ, Tân Hưng, Chánh Hưng, Phú Định, Bình Đông, Diên Hồng, Vườn Lài, Hòa Hưng, Minh Phụng, Bình Thới, Hòa Bình, Phú Thọ, Đông Hưng Thuận, Trung Mỹ Tây.</w:t>
      </w:r>
    </w:p>
    <w:p w:rsidR="00000000" w:rsidDel="00000000" w:rsidP="00000000" w:rsidRDefault="00000000" w:rsidRPr="00000000" w14:paraId="00000007">
      <w:pPr>
        <w:pStyle w:val="Heading4"/>
        <w:keepNext w:val="0"/>
        <w:keepLines w:val="0"/>
        <w:numPr>
          <w:ilvl w:val="0"/>
          <w:numId w:val="1"/>
        </w:numPr>
        <w:pBdr>
          <w:top w:color="auto" w:space="0" w:sz="0" w:val="none"/>
          <w:left w:color="auto" w:space="0" w:sz="0" w:val="none"/>
          <w:bottom w:color="e2e2e2" w:space="0" w:sz="6" w:val="single"/>
          <w:right w:color="auto" w:space="0" w:sz="0" w:val="none"/>
          <w:between w:color="auto" w:space="0" w:sz="0" w:val="none"/>
        </w:pBdr>
        <w:shd w:fill="ffffff" w:val="clear"/>
        <w:spacing w:after="0" w:afterAutospacing="0" w:before="0" w:line="285" w:lineRule="auto"/>
        <w:ind w:left="1160" w:hanging="360"/>
        <w:rPr>
          <w:b w:val="1"/>
          <w:color w:val="ed1c24"/>
        </w:rPr>
      </w:pPr>
      <w:bookmarkStart w:colFirst="0" w:colLast="0" w:name="_tq77mbkdr7fl" w:id="1"/>
      <w:bookmarkEnd w:id="1"/>
      <w:r w:rsidDel="00000000" w:rsidR="00000000" w:rsidRPr="00000000">
        <w:fldChar w:fldCharType="begin"/>
        <w:instrText xml:space="preserve"> HYPERLINK "https://tuoitre.vn/tu-1-7-tien-luong-toi-thieu-vung-o-tp-hcm-va-ha-noi-thay-doi-ra-sao-2025062817552033.htm" </w:instrText>
        <w:fldChar w:fldCharType="separate"/>
      </w:r>
      <w:r w:rsidDel="00000000" w:rsidR="00000000" w:rsidRPr="00000000">
        <w:rPr>
          <w:rFonts w:ascii="Roboto" w:cs="Roboto" w:eastAsia="Roboto" w:hAnsi="Roboto"/>
          <w:b w:val="1"/>
          <w:color w:val="333333"/>
          <w:rtl w:val="0"/>
        </w:rPr>
        <w:t xml:space="preserve">Từ 1-7, tiền lương tối thiểu vùng ở TP.HCM và Hà Nội thay đổi ra sao?</w:t>
      </w:r>
    </w:p>
    <w:p w:rsidR="00000000" w:rsidDel="00000000" w:rsidP="00000000" w:rsidRDefault="00000000" w:rsidRPr="00000000" w14:paraId="00000008">
      <w:pPr>
        <w:pStyle w:val="Heading4"/>
        <w:keepNext w:val="0"/>
        <w:keepLines w:val="0"/>
        <w:numPr>
          <w:ilvl w:val="0"/>
          <w:numId w:val="1"/>
        </w:numPr>
        <w:pBdr>
          <w:top w:color="auto" w:space="0" w:sz="0" w:val="none"/>
          <w:left w:color="auto" w:space="0" w:sz="0" w:val="none"/>
          <w:bottom w:color="e2e2e2" w:space="0" w:sz="6" w:val="single"/>
          <w:right w:color="auto" w:space="0" w:sz="0" w:val="none"/>
          <w:between w:color="auto" w:space="0" w:sz="0" w:val="none"/>
        </w:pBdr>
        <w:shd w:fill="ffffff" w:val="clear"/>
        <w:spacing w:after="380" w:before="0" w:line="285" w:lineRule="auto"/>
        <w:ind w:left="1160" w:hanging="360"/>
        <w:rPr>
          <w:b w:val="1"/>
          <w:color w:val="ed1c24"/>
        </w:rPr>
      </w:pPr>
      <w:bookmarkStart w:colFirst="0" w:colLast="0" w:name="_3uyj2hoe51za" w:id="2"/>
      <w:bookmarkEnd w:id="2"/>
      <w:r w:rsidDel="00000000" w:rsidR="00000000" w:rsidRPr="00000000">
        <w:fldChar w:fldCharType="end"/>
      </w:r>
      <w:r w:rsidDel="00000000" w:rsidR="00000000" w:rsidRPr="00000000">
        <w:fldChar w:fldCharType="begin"/>
        <w:instrText xml:space="preserve"> HYPERLINK "https://tuoitre.vn/tang-luong-toi-thieu-vung-bao-nhieu-hop-ly-20250628083943913.htm" </w:instrText>
        <w:fldChar w:fldCharType="separate"/>
      </w:r>
      <w:r w:rsidDel="00000000" w:rsidR="00000000" w:rsidRPr="00000000">
        <w:rPr>
          <w:rFonts w:ascii="Roboto" w:cs="Roboto" w:eastAsia="Roboto" w:hAnsi="Roboto"/>
          <w:b w:val="1"/>
          <w:color w:val="333333"/>
          <w:rtl w:val="0"/>
        </w:rPr>
        <w:t xml:space="preserve">Tăng lương tối thiểu vùng bao nhiêu hợp lý?</w:t>
      </w:r>
    </w:p>
    <w:p w:rsidR="00000000" w:rsidDel="00000000" w:rsidP="00000000" w:rsidRDefault="00000000" w:rsidRPr="00000000" w14:paraId="00000009">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fldChar w:fldCharType="end"/>
      </w:r>
      <w:r w:rsidDel="00000000" w:rsidR="00000000" w:rsidRPr="00000000">
        <w:rPr>
          <w:rFonts w:ascii="Roboto" w:cs="Roboto" w:eastAsia="Roboto" w:hAnsi="Roboto"/>
          <w:b w:val="1"/>
          <w:color w:val="222222"/>
          <w:sz w:val="26"/>
          <w:szCs w:val="26"/>
          <w:rtl w:val="0"/>
        </w:rPr>
        <w:t xml:space="preserve">Ngoài ra còn có Tân Thới Hiệp, Thới An, An Phú Đông, An Lạc, Tân Tạo, Bình Tân, Bình Trị Đông, Bình Hưng Hòa, Gia Định, Bình Thạnh, Bình Lợi Trung, Thạnh Mỹ Tây, Bình Quới, Hạnh Thông, An Nhơn, Gò Vấp, An Hội Đông, Thông Tây Hội, An Hội Tây, Đức Nhuận, Cầu Kiệu, Phú Nhuận. </w:t>
      </w:r>
    </w:p>
    <w:p w:rsidR="00000000" w:rsidDel="00000000" w:rsidP="00000000" w:rsidRDefault="00000000" w:rsidRPr="00000000" w14:paraId="0000000A">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Các phường khác thuộc vùng I còn có Tân Sơn Hòa, Tân Sơn Nhất, Tân Hòa, Bảy Hiền, Tân Bình, Tân Sơn, Tân Thạnh, Tân Sơn Nhì, Phú Thọ Hòa, Tân Phú, Phú Thạnh, Hiệp Bình, Thủ Đức, Tam Bình, Linh Xuân, Tăng Nhơn Phú, Long Bình, Long Phước, Long Trường, Cát Lái, Bình Trưng, Phước Long, An Khánh, Đông Hòa.</w:t>
      </w:r>
    </w:p>
    <w:p w:rsidR="00000000" w:rsidDel="00000000" w:rsidP="00000000" w:rsidRDefault="00000000" w:rsidRPr="00000000" w14:paraId="0000000B">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Danh sách vùng I còn gồm Dĩ An, Tân Đông Hiệp, An Phú, Bình Hòa, Lái Thiêu, Thuận An, Thuận Giao, Thủ Dầu Một, Phú Lợi, Chánh Hiệp, Bình Dương, Hòa Lợi, Thới Hòa, Phú An, Tây Nam, Long Nguyên, Bến Cát, Chánh Phú Hòa, Vĩnh Tân, Bình Cơ, Tân Uyên, Tân Hiệp, Tân Khánh. </w:t>
      </w:r>
    </w:p>
    <w:p w:rsidR="00000000" w:rsidDel="00000000" w:rsidP="00000000" w:rsidRDefault="00000000" w:rsidRPr="00000000" w14:paraId="0000000C">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Vũng Tàu, Tam Thắng, Rạch Dừa, Phước Thắng, Tân Hải, Tân Phước, Phú Mỹ, Tân Thành và các xã Vĩnh Lộc, Tân Vĩnh Lộc, Bình Lợi, Tân Nhựt Bình Chánh, Hưng Long, Bình Hưng, Củ Chi cũng thuộc vùng I sau sắp xếp. </w:t>
      </w:r>
    </w:p>
    <w:p w:rsidR="00000000" w:rsidDel="00000000" w:rsidP="00000000" w:rsidRDefault="00000000" w:rsidRPr="00000000" w14:paraId="0000000D">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Danh sách vùng I còn có các địa phương như Tân An Hội, Thái Mỹ, An Nhơn Tây, Nhuận Đức, Phú Hòa Đông, Bình Mỹ, Đông Thạnh, Hóc Môn, Xuân Thới Sơn, Bà Điểm, Nhà Bè, Hiệp Phước, Thường Tân, Bắc Tân Uyên, Phú Giáo, Phước Hòa, Phước Thành, An Long, Trừ Văn Thố, Bàu Bàng, Long Hòa, Thanh An, Dầu Tiếng, Minh Thạnh, Long Sơn, Châu Pha.</w:t>
      </w:r>
    </w:p>
    <w:p w:rsidR="00000000" w:rsidDel="00000000" w:rsidP="00000000" w:rsidRDefault="00000000" w:rsidRPr="00000000" w14:paraId="0000000E">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Roboto" w:cs="Roboto" w:eastAsia="Roboto" w:hAnsi="Roboto"/>
          <w:b w:val="1"/>
          <w:color w:val="222222"/>
          <w:sz w:val="26"/>
          <w:szCs w:val="26"/>
          <w:rtl w:val="0"/>
        </w:rPr>
        <w:t xml:space="preserve">Trong khi đó, vùng II gồm các phường Bà Rịa, Long Hương, Tam Long và các xã Bình Khánh, An Thới Đông, Cần Giờ, Thạnh An. </w:t>
      </w:r>
    </w:p>
    <w:p w:rsidR="00000000" w:rsidDel="00000000" w:rsidP="00000000" w:rsidRDefault="00000000" w:rsidRPr="00000000" w14:paraId="0000000F">
      <w:pPr>
        <w:pBdr>
          <w:top w:color="auto" w:space="6" w:sz="0" w:val="none"/>
          <w:left w:color="auto" w:space="0" w:sz="0" w:val="none"/>
          <w:bottom w:color="auto" w:space="6" w:sz="0" w:val="none"/>
          <w:right w:color="auto" w:space="0" w:sz="0" w:val="none"/>
          <w:between w:color="auto" w:space="6" w:sz="0" w:val="none"/>
        </w:pBdr>
        <w:shd w:fill="ffffff" w:val="clear"/>
        <w:spacing w:after="260" w:before="260" w:line="375" w:lineRule="auto"/>
        <w:jc w:val="both"/>
        <w:rPr>
          <w:rFonts w:ascii="Roboto" w:cs="Roboto" w:eastAsia="Roboto" w:hAnsi="Roboto"/>
          <w:b w:val="1"/>
          <w:color w:val="222222"/>
          <w:sz w:val="26"/>
          <w:szCs w:val="26"/>
        </w:rPr>
      </w:pPr>
      <w:r w:rsidDel="00000000" w:rsidR="00000000" w:rsidRPr="00000000">
        <w:rPr>
          <w:rFonts w:ascii="Arial" w:cs="Arial" w:eastAsia="Arial" w:hAnsi="Arial"/>
          <w:b w:val="1"/>
          <w:color w:val="222222"/>
          <w:sz w:val="26"/>
          <w:szCs w:val="26"/>
          <w:rtl w:val="0"/>
        </w:rPr>
        <w:t xml:space="preserve">Vùng III sẽ gồm các xã, phường và </w:t>
      </w:r>
      <w:hyperlink r:id="rId8">
        <w:r w:rsidDel="00000000" w:rsidR="00000000" w:rsidRPr="00000000">
          <w:rPr>
            <w:rFonts w:ascii="Roboto" w:cs="Roboto" w:eastAsia="Roboto" w:hAnsi="Roboto"/>
            <w:b w:val="1"/>
            <w:color w:val="226ac5"/>
            <w:sz w:val="26"/>
            <w:szCs w:val="26"/>
            <w:rtl w:val="0"/>
          </w:rPr>
          <w:t xml:space="preserve">đặc khu </w:t>
        </w:r>
      </w:hyperlink>
      <w:r w:rsidDel="00000000" w:rsidR="00000000" w:rsidRPr="00000000">
        <w:rPr>
          <w:rFonts w:ascii="Arial" w:cs="Arial" w:eastAsia="Arial" w:hAnsi="Arial"/>
          <w:b w:val="1"/>
          <w:color w:val="222222"/>
          <w:sz w:val="26"/>
          <w:szCs w:val="26"/>
          <w:rtl w:val="0"/>
        </w:rPr>
        <w:t xml:space="preserve">còn lại.</w:t>
      </w:r>
    </w:p>
    <w:p w:rsidR="00000000" w:rsidDel="00000000" w:rsidP="00000000" w:rsidRDefault="00000000" w:rsidRPr="00000000" w14:paraId="00000010">
      <w:pPr>
        <w:pBdr>
          <w:top w:color="auto" w:space="6" w:sz="0" w:val="none"/>
          <w:left w:color="auto" w:space="0" w:sz="0" w:val="none"/>
          <w:bottom w:color="auto" w:space="6" w:sz="0" w:val="none"/>
          <w:right w:color="auto" w:space="0" w:sz="0" w:val="none"/>
          <w:between w:color="auto" w:space="6" w:sz="0" w:val="none"/>
        </w:pBdr>
        <w:shd w:fill="ffffff" w:val="clear"/>
        <w:spacing w:line="375" w:lineRule="auto"/>
        <w:jc w:val="both"/>
        <w:rPr>
          <w:b w:val="1"/>
          <w:sz w:val="24"/>
          <w:szCs w:val="24"/>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uoitre.vn/tu-thang-7-thang-chuc-tang-luong-thuong-cho-cong-chuc-theo-ket-qua-kpi-20250703112305687.htm" TargetMode="External"/><Relationship Id="rId7" Type="http://schemas.openxmlformats.org/officeDocument/2006/relationships/hyperlink" Target="https://tuoitre.vn/luong-toi-thieu.html" TargetMode="External"/><Relationship Id="rId8" Type="http://schemas.openxmlformats.org/officeDocument/2006/relationships/hyperlink" Target="https://tuoitre.vn/co-doi-ten-ap-thanh-thon-sau-khi-sap-nhap-20250720160259498.ht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