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980B" w14:textId="4320BDF0" w:rsidR="00DA4658" w:rsidRDefault="00DA4658" w:rsidP="00212886">
      <w:pPr>
        <w:spacing w:after="0" w:line="276" w:lineRule="auto"/>
        <w:outlineLvl w:val="0"/>
        <w:rPr>
          <w:rFonts w:ascii="Calibri" w:eastAsia="Times New Roman" w:hAnsi="Calibri" w:cs="Calibri"/>
          <w:b/>
          <w:bCs/>
          <w:kern w:val="36"/>
          <w:sz w:val="32"/>
          <w:szCs w:val="32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36"/>
          <w:sz w:val="32"/>
          <w:szCs w:val="32"/>
          <w:lang w:eastAsia="en-GB"/>
          <w14:ligatures w14:val="none"/>
        </w:rPr>
        <w:t>Polaris HQ – Attrition Risk Model Results</w:t>
      </w:r>
    </w:p>
    <w:p w14:paraId="09643799" w14:textId="77777777" w:rsidR="00212886" w:rsidRPr="00DA4658" w:rsidRDefault="00212886" w:rsidP="00212886">
      <w:pPr>
        <w:spacing w:after="0" w:line="276" w:lineRule="auto"/>
        <w:outlineLvl w:val="0"/>
        <w:rPr>
          <w:rFonts w:ascii="Calibri" w:eastAsia="Times New Roman" w:hAnsi="Calibri" w:cs="Calibri"/>
          <w:b/>
          <w:bCs/>
          <w:kern w:val="36"/>
          <w:sz w:val="32"/>
          <w:szCs w:val="32"/>
          <w:lang w:eastAsia="en-GB"/>
          <w14:ligatures w14:val="none"/>
        </w:rPr>
      </w:pPr>
    </w:p>
    <w:p w14:paraId="267E59A2" w14:textId="77777777" w:rsidR="00212886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>At Polaris HQ, we wanted to answer a simple but important question:</w:t>
      </w:r>
    </w:p>
    <w:p w14:paraId="039A5197" w14:textId="64B59E14" w:rsidR="00DA4658" w:rsidRDefault="00DA4658" w:rsidP="00212886">
      <w:pPr>
        <w:spacing w:after="0" w:line="276" w:lineRule="auto"/>
        <w:rPr>
          <w:rFonts w:ascii="Calibri" w:eastAsia="Times New Roman" w:hAnsi="Calibri" w:cs="Calibri"/>
          <w:b/>
          <w:bCs/>
          <w:i/>
          <w:iCs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i/>
          <w:iCs/>
          <w:kern w:val="0"/>
          <w:lang w:eastAsia="en-GB"/>
          <w14:ligatures w14:val="none"/>
        </w:rPr>
        <w:t>“Can we predict which employees are at risk of leaving the company before it happens?”</w:t>
      </w:r>
    </w:p>
    <w:p w14:paraId="5D0E755E" w14:textId="77777777" w:rsidR="00212886" w:rsidRPr="00DA4658" w:rsidRDefault="00212886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8E46E73" w14:textId="77ABA24D" w:rsid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To explore this, we built an </w:t>
      </w: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Attrition Risk Model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using real workforce data. The goal was not only to test whether prediction is possible, but also to uncover the key </w:t>
      </w: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drivers of attrition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– the workplace conditions, roles, and patterns most strongly linked to whether people stay or leave.</w:t>
      </w:r>
    </w:p>
    <w:p w14:paraId="094CCF90" w14:textId="77777777" w:rsidR="00212886" w:rsidRPr="00DA4658" w:rsidRDefault="00212886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1E6E2B04" w14:textId="77777777" w:rsidR="00DA4658" w:rsidRPr="00DA4658" w:rsidRDefault="00DA4658" w:rsidP="0021288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What we did</w:t>
      </w:r>
    </w:p>
    <w:p w14:paraId="0374E7E3" w14:textId="77777777" w:rsidR="00DA4658" w:rsidRPr="00DA4658" w:rsidRDefault="00DA4658" w:rsidP="00212886">
      <w:pPr>
        <w:numPr>
          <w:ilvl w:val="0"/>
          <w:numId w:val="3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>We developed a predictive model (Logistic Regression) and trained it on employee history, roles, and work patterns.</w:t>
      </w:r>
    </w:p>
    <w:p w14:paraId="36F0A21E" w14:textId="77777777" w:rsidR="00DA4658" w:rsidRPr="00DA4658" w:rsidRDefault="00DA4658" w:rsidP="00212886">
      <w:pPr>
        <w:numPr>
          <w:ilvl w:val="0"/>
          <w:numId w:val="3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>We then tested the model’s ability to correctly flag employees who were likely to leave.</w:t>
      </w:r>
    </w:p>
    <w:p w14:paraId="2AD8DC4D" w14:textId="0D304452" w:rsidR="00DA4658" w:rsidRDefault="00DA4658" w:rsidP="00212886">
      <w:pPr>
        <w:numPr>
          <w:ilvl w:val="0"/>
          <w:numId w:val="3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>Finally, we analysed the model to identify the strongest signals of attrition – the factors that matter most.</w:t>
      </w:r>
    </w:p>
    <w:p w14:paraId="019AB9ED" w14:textId="77777777" w:rsidR="00212886" w:rsidRPr="00DA4658" w:rsidRDefault="00212886" w:rsidP="00212886">
      <w:pPr>
        <w:spacing w:after="0" w:line="276" w:lineRule="auto"/>
        <w:ind w:left="720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20F0B64" w14:textId="0FB9AA60" w:rsidR="00DA4658" w:rsidRDefault="00DA4658" w:rsidP="0021288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Model performance</w:t>
      </w:r>
    </w:p>
    <w:p w14:paraId="02F35460" w14:textId="77777777" w:rsidR="00212886" w:rsidRPr="00DA4658" w:rsidRDefault="00212886" w:rsidP="0021288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</w:p>
    <w:p w14:paraId="4634EA26" w14:textId="77777777" w:rsidR="00DA4658" w:rsidRP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>At the default decision threshold (50%), the model reached:</w:t>
      </w:r>
    </w:p>
    <w:p w14:paraId="77078027" w14:textId="77777777" w:rsidR="00DA4658" w:rsidRPr="00DA4658" w:rsidRDefault="00DA4658" w:rsidP="00212886">
      <w:pPr>
        <w:numPr>
          <w:ilvl w:val="0"/>
          <w:numId w:val="4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Accuracy: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78%</w:t>
      </w:r>
    </w:p>
    <w:p w14:paraId="75CC5BE4" w14:textId="77777777" w:rsidR="00DA4658" w:rsidRPr="00DA4658" w:rsidRDefault="00DA4658" w:rsidP="00212886">
      <w:pPr>
        <w:numPr>
          <w:ilvl w:val="0"/>
          <w:numId w:val="4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Precision (Leave):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40%</w:t>
      </w:r>
    </w:p>
    <w:p w14:paraId="3BEE201B" w14:textId="77777777" w:rsidR="00DA4658" w:rsidRPr="00DA4658" w:rsidRDefault="00DA4658" w:rsidP="00212886">
      <w:pPr>
        <w:numPr>
          <w:ilvl w:val="0"/>
          <w:numId w:val="4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Recall (Leave):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76%</w:t>
      </w:r>
    </w:p>
    <w:p w14:paraId="39528367" w14:textId="77777777" w:rsidR="00DA4658" w:rsidRPr="00DA4658" w:rsidRDefault="00DA4658" w:rsidP="00212886">
      <w:pPr>
        <w:numPr>
          <w:ilvl w:val="0"/>
          <w:numId w:val="4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F1 Score (Leave):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52%</w:t>
      </w:r>
    </w:p>
    <w:p w14:paraId="2D87C6DC" w14:textId="77777777" w:rsidR="00DA4658" w:rsidRP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4CE4A17D" w14:textId="0DC464EB" w:rsidR="00DA4658" w:rsidRP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i/>
          <w:iCs/>
          <w:kern w:val="0"/>
          <w:lang w:eastAsia="en-GB"/>
          <w14:ligatures w14:val="none"/>
        </w:rPr>
        <w:t>What this means: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the model is effective at </w:t>
      </w: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capturing </w:t>
      </w:r>
      <w:r w:rsidR="007C7EDF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76%</w:t>
      </w: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of the people at risk of leaving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(high recall), but sometimes also predicts attrition for people who end up staying (lower precision). This balance is valuable because in attrition prevention, it’s often better to cast a slightly wider net than to miss key resignations.</w:t>
      </w:r>
    </w:p>
    <w:p w14:paraId="7A1421C2" w14:textId="77777777" w:rsidR="00DA4658" w:rsidRP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15FF826" w14:textId="77777777" w:rsidR="00DA4658" w:rsidRPr="00DA4658" w:rsidRDefault="00DA4658" w:rsidP="0021288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Key drivers of attrition</w:t>
      </w:r>
    </w:p>
    <w:p w14:paraId="09BFC092" w14:textId="77777777" w:rsidR="00DA4658" w:rsidRP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1C4B50C5" w14:textId="77777777" w:rsidR="00DA4658" w:rsidRP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model revealed the </w:t>
      </w: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top factors linked to attrition risk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>:</w:t>
      </w:r>
    </w:p>
    <w:p w14:paraId="10666418" w14:textId="77777777" w:rsidR="00DA4658" w:rsidRPr="00DA4658" w:rsidRDefault="00DA4658" w:rsidP="00212886">
      <w:pPr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Overtime: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Employees working frequent overtime are more likely to leave.</w:t>
      </w:r>
    </w:p>
    <w:p w14:paraId="431AADFB" w14:textId="77777777" w:rsidR="00DA4658" w:rsidRPr="00DA4658" w:rsidRDefault="00DA4658" w:rsidP="00212886">
      <w:pPr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Business Travel: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Frequent travellers show higher attrition risk, while non-travellers are more stable.</w:t>
      </w:r>
    </w:p>
    <w:p w14:paraId="7191580A" w14:textId="77777777" w:rsidR="00DA4658" w:rsidRPr="00DA4658" w:rsidRDefault="00DA4658" w:rsidP="00212886">
      <w:pPr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Role Tenure: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Employees in the 9–11 year band are less likely to leave, suggesting a period of stability.</w:t>
      </w:r>
    </w:p>
    <w:p w14:paraId="6FEB5A03" w14:textId="77777777" w:rsidR="00DA4658" w:rsidRPr="00DA4658" w:rsidRDefault="00DA4658" w:rsidP="00212886">
      <w:pPr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Manager Tenure: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Employees with very new managers (0–2 years) are more stable, while mid-tenure managers (6–10 years) show mixed results.</w:t>
      </w:r>
    </w:p>
    <w:p w14:paraId="32E911F6" w14:textId="77777777" w:rsidR="00DA4658" w:rsidRPr="00DA4658" w:rsidRDefault="00DA4658" w:rsidP="00212886">
      <w:pPr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Job Role: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Sales Representatives and Laboratory Technicians are at higher risk; Research Directors and Managers are less so.</w:t>
      </w:r>
    </w:p>
    <w:p w14:paraId="3262E15C" w14:textId="77777777" w:rsidR="00DA4658" w:rsidRPr="00DA4658" w:rsidRDefault="00DA4658" w:rsidP="00212886">
      <w:pPr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Commute Distance: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Those with medium commutes (12–17 km) are more at risk than those with very short commutes (0–5 km).</w:t>
      </w:r>
    </w:p>
    <w:p w14:paraId="166C5BD8" w14:textId="77777777" w:rsidR="00DA4658" w:rsidRPr="00DA4658" w:rsidRDefault="00DA4658" w:rsidP="00212886">
      <w:pPr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Department &amp; Organisation Income Buckets: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Below-average department income correlates with higher attrition, while strong organisational earnings reduce risk.</w:t>
      </w:r>
    </w:p>
    <w:p w14:paraId="560C23A4" w14:textId="77777777" w:rsidR="00DA4658" w:rsidRP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AC030EF" w14:textId="77777777" w:rsidR="00DA4658" w:rsidRP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These findings help us understand </w:t>
      </w: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where attrition is most likely to happen and why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– giving leaders clear starting points for action.</w:t>
      </w:r>
    </w:p>
    <w:p w14:paraId="2A21F8F2" w14:textId="77777777" w:rsidR="00DA4658" w:rsidRP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45837A0" w14:textId="77777777" w:rsidR="00DA4658" w:rsidRPr="00DA4658" w:rsidRDefault="00DA4658" w:rsidP="0021288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Next step – an interactive tool</w:t>
      </w:r>
    </w:p>
    <w:p w14:paraId="775ADB8D" w14:textId="77777777" w:rsidR="00DA4658" w:rsidRP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3A595BF" w14:textId="5801FA45" w:rsidR="00DA4658" w:rsidRPr="00DA4658" w:rsidRDefault="00DA4658" w:rsidP="00212886">
      <w:pPr>
        <w:spacing w:after="0" w:line="276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To make this insight practical, we built an </w:t>
      </w:r>
      <w:r w:rsidRPr="00DA465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interactive app</w:t>
      </w:r>
      <w:r w:rsidRPr="00DA465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where stakeholders can explore predictions and drivers directly.</w:t>
      </w:r>
    </w:p>
    <w:p w14:paraId="1424A8E0" w14:textId="77777777" w:rsidR="00AA663D" w:rsidRPr="00212886" w:rsidRDefault="00AA663D" w:rsidP="00212886">
      <w:pPr>
        <w:spacing w:after="0" w:line="276" w:lineRule="auto"/>
        <w:rPr>
          <w:rFonts w:ascii="Calibri" w:hAnsi="Calibri" w:cs="Calibri"/>
        </w:rPr>
      </w:pPr>
    </w:p>
    <w:sectPr w:rsidR="00AA663D" w:rsidRPr="0021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F29D7"/>
    <w:multiLevelType w:val="multilevel"/>
    <w:tmpl w:val="BF04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603C"/>
    <w:multiLevelType w:val="hybridMultilevel"/>
    <w:tmpl w:val="8090A4AA"/>
    <w:lvl w:ilvl="0" w:tplc="70B8C1E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173F9"/>
    <w:multiLevelType w:val="multilevel"/>
    <w:tmpl w:val="DFF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50FB3"/>
    <w:multiLevelType w:val="hybridMultilevel"/>
    <w:tmpl w:val="04D81D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E445C"/>
    <w:multiLevelType w:val="multilevel"/>
    <w:tmpl w:val="9658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8772">
    <w:abstractNumId w:val="1"/>
  </w:num>
  <w:num w:numId="2" w16cid:durableId="1220895033">
    <w:abstractNumId w:val="3"/>
  </w:num>
  <w:num w:numId="3" w16cid:durableId="507870216">
    <w:abstractNumId w:val="4"/>
  </w:num>
  <w:num w:numId="4" w16cid:durableId="1790708168">
    <w:abstractNumId w:val="0"/>
  </w:num>
  <w:num w:numId="5" w16cid:durableId="1050224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3D"/>
    <w:rsid w:val="00091803"/>
    <w:rsid w:val="00160BF1"/>
    <w:rsid w:val="00212886"/>
    <w:rsid w:val="0040251F"/>
    <w:rsid w:val="00432223"/>
    <w:rsid w:val="00673C13"/>
    <w:rsid w:val="00717017"/>
    <w:rsid w:val="007C7EDF"/>
    <w:rsid w:val="009F4731"/>
    <w:rsid w:val="00AA663D"/>
    <w:rsid w:val="00B73CDF"/>
    <w:rsid w:val="00D14CE9"/>
    <w:rsid w:val="00DA4658"/>
    <w:rsid w:val="00DC0BDD"/>
    <w:rsid w:val="00E350CE"/>
    <w:rsid w:val="00E5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F2AF7"/>
  <w15:chartTrackingRefBased/>
  <w15:docId w15:val="{73F703AD-CC0E-CE44-8406-82683560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6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63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A663D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AA663D"/>
  </w:style>
  <w:style w:type="character" w:customStyle="1" w:styleId="s1">
    <w:name w:val="s1"/>
    <w:basedOn w:val="DefaultParagraphFont"/>
    <w:rsid w:val="00DA4658"/>
  </w:style>
  <w:style w:type="paragraph" w:customStyle="1" w:styleId="p2">
    <w:name w:val="p2"/>
    <w:basedOn w:val="Normal"/>
    <w:rsid w:val="00DA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DA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A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DA4658"/>
  </w:style>
  <w:style w:type="character" w:customStyle="1" w:styleId="s3">
    <w:name w:val="s3"/>
    <w:basedOn w:val="DefaultParagraphFont"/>
    <w:rsid w:val="00DA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433745-9C10-6C44-B236-FE067555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Vuyi Sebiloane</dc:creator>
  <cp:keywords/>
  <dc:description/>
  <cp:lastModifiedBy>Vuyi Sebiloane</cp:lastModifiedBy>
  <cp:revision>4</cp:revision>
  <dcterms:created xsi:type="dcterms:W3CDTF">2025-09-26T17:46:00Z</dcterms:created>
  <dcterms:modified xsi:type="dcterms:W3CDTF">2025-09-26T18:26:00Z</dcterms:modified>
</cp:coreProperties>
</file>