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89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E2" w:rsidRDefault="00FB42E2">
          <w:pPr>
            <w:pStyle w:val="a6"/>
          </w:pPr>
          <w:r>
            <w:t>Оглавление</w:t>
          </w:r>
        </w:p>
        <w:bookmarkStart w:id="0" w:name="_GoBack"/>
        <w:bookmarkEnd w:id="0"/>
        <w:p w:rsidR="005A350A" w:rsidRDefault="00FB42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56874" w:history="1">
            <w:r w:rsidR="005A350A" w:rsidRPr="007428B0">
              <w:rPr>
                <w:rStyle w:val="a7"/>
                <w:noProof/>
              </w:rPr>
              <w:t>Формирование заявки на материалы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_Toc471456874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5" w:history="1">
            <w:r w:rsidRPr="007428B0">
              <w:rPr>
                <w:rStyle w:val="a7"/>
                <w:noProof/>
              </w:rPr>
              <w:t>Приход материалов на склад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6" w:history="1">
            <w:r w:rsidRPr="007428B0">
              <w:rPr>
                <w:rStyle w:val="a7"/>
                <w:noProof/>
              </w:rPr>
              <w:t>Перемещение материалов между складами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7" w:history="1">
            <w:r w:rsidRPr="007428B0">
              <w:rPr>
                <w:rStyle w:val="a7"/>
                <w:noProof/>
              </w:rPr>
              <w:t>Расход материалов на устройствах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8" w:history="1">
            <w:r w:rsidRPr="007428B0">
              <w:rPr>
                <w:rStyle w:val="a7"/>
                <w:noProof/>
              </w:rPr>
              <w:t>Фиксация факта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9" w:history="1">
            <w:r w:rsidRPr="007428B0">
              <w:rPr>
                <w:rStyle w:val="a7"/>
                <w:noProof/>
              </w:rPr>
              <w:t>Справочники для расхода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0" w:history="1">
            <w:r w:rsidRPr="007428B0">
              <w:rPr>
                <w:rStyle w:val="a7"/>
                <w:noProof/>
              </w:rPr>
              <w:t>Обоснование формирования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50A" w:rsidRDefault="005A3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1" w:history="1">
            <w:r w:rsidRPr="007428B0">
              <w:rPr>
                <w:rStyle w:val="a7"/>
                <w:noProof/>
              </w:rPr>
              <w:t>Перечень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E2" w:rsidRDefault="00FB42E2">
          <w:r>
            <w:rPr>
              <w:b/>
              <w:bCs/>
            </w:rPr>
            <w:fldChar w:fldCharType="end"/>
          </w:r>
        </w:p>
      </w:sdtContent>
    </w:sdt>
    <w:p w:rsidR="00FB42E2" w:rsidRDefault="00FB42E2" w:rsidP="00344951">
      <w:pPr>
        <w:pStyle w:val="1"/>
      </w:pPr>
    </w:p>
    <w:p w:rsidR="00FB42E2" w:rsidRDefault="00FB42E2" w:rsidP="00344951">
      <w:pPr>
        <w:pStyle w:val="1"/>
      </w:pPr>
    </w:p>
    <w:p w:rsidR="00344951" w:rsidRDefault="00344951" w:rsidP="00344951">
      <w:pPr>
        <w:pStyle w:val="1"/>
      </w:pPr>
      <w:bookmarkStart w:id="1" w:name="_Toc471456874"/>
      <w:r>
        <w:t>Формирование заявки на материалы</w:t>
      </w:r>
      <w:bookmarkEnd w:id="1"/>
    </w:p>
    <w:p w:rsidR="004E23AB" w:rsidRDefault="00344951" w:rsidP="00344951">
      <w:pPr>
        <w:pStyle w:val="1"/>
      </w:pPr>
      <w:bookmarkStart w:id="2" w:name="_Toc471456875"/>
      <w:r>
        <w:t>Приход материалов на склад</w:t>
      </w:r>
      <w:bookmarkEnd w:id="2"/>
    </w:p>
    <w:p w:rsidR="001F445A" w:rsidRDefault="001F445A" w:rsidP="001F445A">
      <w:r>
        <w:t>Приход вносится на основании ТОРГ-12 из 1С</w:t>
      </w:r>
    </w:p>
    <w:p w:rsidR="001F445A" w:rsidRDefault="001F445A" w:rsidP="001F445A">
      <w:r>
        <w:rPr>
          <w:noProof/>
          <w:lang w:eastAsia="ru-RU"/>
        </w:rPr>
        <w:drawing>
          <wp:inline distT="0" distB="0" distL="0" distR="0" wp14:anchorId="5F856012" wp14:editId="24448BBA">
            <wp:extent cx="5940425" cy="2560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1F445A">
      <w:r>
        <w:t>Для того, чтобы корректно формировать баланс материалов формируем справочник номенклатуры 1С</w:t>
      </w:r>
      <w:r w:rsidR="00505F8C">
        <w:t xml:space="preserve"> и сопоставляем позиции номенклатуры со справочником аналогов.</w:t>
      </w:r>
    </w:p>
    <w:p w:rsidR="00B04C8E" w:rsidRDefault="00B04C8E" w:rsidP="001F445A">
      <w:r>
        <w:rPr>
          <w:noProof/>
          <w:lang w:eastAsia="ru-RU"/>
        </w:rPr>
        <w:lastRenderedPageBreak/>
        <w:drawing>
          <wp:inline distT="0" distB="0" distL="0" distR="0" wp14:anchorId="2A2D97CD" wp14:editId="3D2A3C19">
            <wp:extent cx="5940425" cy="3055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3" w:rsidRDefault="003D3973" w:rsidP="001F445A"/>
    <w:p w:rsidR="003D3973" w:rsidRDefault="003D3973" w:rsidP="001F445A"/>
    <w:p w:rsidR="00B04C8E" w:rsidRPr="001F445A" w:rsidRDefault="00B04C8E" w:rsidP="001F445A"/>
    <w:p w:rsidR="00344951" w:rsidRDefault="00344951" w:rsidP="00344951">
      <w:pPr>
        <w:pStyle w:val="1"/>
      </w:pPr>
      <w:bookmarkStart w:id="3" w:name="_Toc471456876"/>
      <w:r>
        <w:t>Перемещение материалов между складами</w:t>
      </w:r>
      <w:bookmarkEnd w:id="3"/>
    </w:p>
    <w:p w:rsidR="00344951" w:rsidRDefault="00344951" w:rsidP="00344951">
      <w:pPr>
        <w:pStyle w:val="1"/>
      </w:pPr>
      <w:bookmarkStart w:id="4" w:name="_Toc471456877"/>
      <w:r>
        <w:t>Расход материалов на устройствах</w:t>
      </w:r>
      <w:bookmarkEnd w:id="4"/>
    </w:p>
    <w:p w:rsidR="00BD1553" w:rsidRPr="00813BD9" w:rsidRDefault="00344951" w:rsidP="00344951">
      <w:r>
        <w:rPr>
          <w:vertAlign w:val="superscript"/>
        </w:rPr>
        <w:t xml:space="preserve">! </w:t>
      </w:r>
      <w:r>
        <w:t xml:space="preserve">материалы на могут расходоваться только на устройствах, которые имеются в </w:t>
      </w:r>
      <w:r>
        <w:rPr>
          <w:lang w:val="en-US"/>
        </w:rPr>
        <w:t>LS</w:t>
      </w:r>
    </w:p>
    <w:p w:rsidR="00F301BE" w:rsidRPr="00F301BE" w:rsidRDefault="00F301BE" w:rsidP="00F301BE">
      <w:pPr>
        <w:pStyle w:val="2"/>
      </w:pPr>
      <w:bookmarkStart w:id="5" w:name="_Toc471456878"/>
      <w:r>
        <w:t>Фиксация факта установки</w:t>
      </w:r>
      <w:bookmarkEnd w:id="5"/>
    </w:p>
    <w:p w:rsidR="00344951" w:rsidRDefault="00344951" w:rsidP="00344951">
      <w:r>
        <w:t xml:space="preserve">Факт расхода материала на устройстве фиксируется на форме </w:t>
      </w:r>
      <w:r>
        <w:rPr>
          <w:b/>
        </w:rPr>
        <w:t>Материал Расход</w:t>
      </w:r>
    </w:p>
    <w:p w:rsidR="00344951" w:rsidRDefault="00344951" w:rsidP="00344951">
      <w:r>
        <w:rPr>
          <w:noProof/>
          <w:lang w:eastAsia="ru-RU"/>
        </w:rPr>
        <w:drawing>
          <wp:inline distT="0" distB="0" distL="0" distR="0" wp14:anchorId="139B5F8F" wp14:editId="4BE30CCA">
            <wp:extent cx="5940425" cy="133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51" w:rsidRPr="00344951" w:rsidRDefault="00344951" w:rsidP="00344951">
      <w:r>
        <w:t>Обязательными для заполнения являются</w:t>
      </w:r>
      <w:r w:rsidRPr="00344951">
        <w:t>: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Pr="00344951">
        <w:rPr>
          <w:b/>
          <w:lang w:val="en-US"/>
        </w:rPr>
        <w:t>AssetId</w:t>
      </w:r>
      <w:proofErr w:type="spellEnd"/>
      <w:r w:rsidRPr="00344951">
        <w:t xml:space="preserve"> </w:t>
      </w:r>
      <w:r>
        <w:t>–</w:t>
      </w:r>
      <w:r w:rsidRPr="00344951">
        <w:t xml:space="preserve"> </w:t>
      </w:r>
      <w:r>
        <w:t xml:space="preserve">идентификатор </w:t>
      </w:r>
      <w:r w:rsidRPr="00344951">
        <w:rPr>
          <w:lang w:val="en-US"/>
        </w:rPr>
        <w:t>Asset</w:t>
      </w:r>
      <w:r w:rsidRPr="00344951">
        <w:t xml:space="preserve"> </w:t>
      </w:r>
      <w:r>
        <w:t xml:space="preserve">в системе </w:t>
      </w:r>
      <w:r w:rsidRPr="00344951">
        <w:rPr>
          <w:lang w:val="en-US"/>
        </w:rPr>
        <w:t>LS</w:t>
      </w:r>
      <w:r>
        <w:t xml:space="preserve"> 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P</w:t>
      </w:r>
      <w:proofErr w:type="spellStart"/>
      <w:r w:rsidRPr="00344951">
        <w:rPr>
          <w:lang w:val="en-US"/>
        </w:rPr>
        <w:t>artNumber</w:t>
      </w:r>
      <w:proofErr w:type="spellEnd"/>
      <w:r w:rsidRPr="00344951">
        <w:t xml:space="preserve"> – </w:t>
      </w:r>
      <w:r>
        <w:t>парт номер материала, который был установлен. Парт номер материала необходимо указывать точно для того, чтобы фиксировать статистику сколько страниц распечатывается на совместимых расходных материалах по сравнению с оригинальными.</w:t>
      </w:r>
    </w:p>
    <w:p w:rsidR="00344951" w:rsidRDefault="00344951" w:rsidP="0034495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PrintedPages</w:t>
      </w:r>
      <w:proofErr w:type="spellEnd"/>
      <w:r w:rsidRPr="00344951">
        <w:t xml:space="preserve"> – </w:t>
      </w:r>
      <w:r>
        <w:t>для принтеров и сканеров количество отпечатанных (</w:t>
      </w:r>
      <w:proofErr w:type="spellStart"/>
      <w:r>
        <w:t>отсканенных</w:t>
      </w:r>
      <w:proofErr w:type="spellEnd"/>
      <w:r>
        <w:t>) страниц на момент замены расходного материала.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rPr>
          <w:lang w:val="en-US"/>
        </w:rPr>
        <w:t>Date</w:t>
      </w:r>
      <w:r w:rsidRPr="00344951">
        <w:t xml:space="preserve"> –</w:t>
      </w:r>
      <w:r>
        <w:t xml:space="preserve"> проставляется автоматически, но может быть заменена при необходимости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Склад – склад с которого будет списан материал</w:t>
      </w:r>
      <w:r w:rsidR="00F301BE">
        <w:t>. Необходимо указывать корректно, так как эти значения будут использоваться при подсчете баланса остатков расходных материалов и учитываться при заявках на РМ.</w:t>
      </w:r>
    </w:p>
    <w:p w:rsidR="00813BD9" w:rsidRDefault="00813BD9" w:rsidP="00813BD9">
      <w:r>
        <w:t>Для того, чтобы материал можно было назначить на устройство должны быть заполнены справочники из раздела «Справочники для расхода»</w:t>
      </w:r>
    </w:p>
    <w:p w:rsidR="00247178" w:rsidRDefault="00247178" w:rsidP="00247178">
      <w:pPr>
        <w:pStyle w:val="2"/>
      </w:pPr>
      <w:bookmarkStart w:id="6" w:name="_Toc471456879"/>
      <w:r>
        <w:lastRenderedPageBreak/>
        <w:t>Справочники</w:t>
      </w:r>
      <w:r w:rsidR="00813BD9">
        <w:t xml:space="preserve"> для расхода</w:t>
      </w:r>
      <w:bookmarkEnd w:id="6"/>
    </w:p>
    <w:p w:rsidR="00247178" w:rsidRDefault="00247178" w:rsidP="00247178">
      <w:pPr>
        <w:pStyle w:val="3"/>
      </w:pPr>
      <w:bookmarkStart w:id="7" w:name="_Toc471456880"/>
      <w:r>
        <w:t>Обоснование формирования справочников</w:t>
      </w:r>
      <w:bookmarkEnd w:id="7"/>
    </w:p>
    <w:p w:rsidR="00813BD9" w:rsidRDefault="00813BD9" w:rsidP="00813BD9">
      <w:r>
        <w:t xml:space="preserve">формирование справочников обусловлено необходимостью систематизации Моделей устройств, Оригинальных расходных материалов, которые требуются для его работы, совместимых (аналогов) расходных материалов. </w:t>
      </w:r>
    </w:p>
    <w:p w:rsidR="00BC0333" w:rsidRDefault="00813BD9" w:rsidP="00813BD9">
      <w:r>
        <w:t>При назначении материала на устройство проверяется цепочка условий</w:t>
      </w:r>
      <w:r>
        <w:br/>
      </w:r>
      <w:proofErr w:type="spellStart"/>
      <w:r w:rsidR="00D04A39">
        <w:rPr>
          <w:lang w:val="en-US"/>
        </w:rPr>
        <w:t>AssetId</w:t>
      </w:r>
      <w:proofErr w:type="spellEnd"/>
      <w:r w:rsidR="00D04A39" w:rsidRPr="00D04A39">
        <w:t xml:space="preserve"> </w:t>
      </w:r>
      <w:r w:rsidR="00D04A39" w:rsidRPr="00BC0333">
        <w:t xml:space="preserve">&lt;-&gt; </w:t>
      </w:r>
      <w:r w:rsidR="00BC0333">
        <w:t xml:space="preserve">Модель </w:t>
      </w:r>
      <w:r w:rsidR="00BC0333">
        <w:rPr>
          <w:lang w:val="en-US"/>
        </w:rPr>
        <w:t>LS</w:t>
      </w:r>
      <w:r w:rsidR="00BC0333" w:rsidRPr="00BC0333">
        <w:t xml:space="preserve"> &lt;-&gt;</w:t>
      </w:r>
      <w:r w:rsidR="00BC0333">
        <w:t xml:space="preserve"> Модель </w:t>
      </w:r>
      <w:r w:rsidR="00BC0333">
        <w:rPr>
          <w:lang w:val="en-US"/>
        </w:rPr>
        <w:t>LS</w:t>
      </w:r>
      <w:r w:rsidR="00BC0333" w:rsidRPr="00BC0333">
        <w:t xml:space="preserve"> </w:t>
      </w:r>
      <w:r w:rsidR="00BC0333">
        <w:t xml:space="preserve">и Справочник </w:t>
      </w:r>
      <w:r w:rsidR="00BC0333" w:rsidRPr="00BC0333">
        <w:t xml:space="preserve">&lt;-&gt; </w:t>
      </w:r>
      <w:r w:rsidR="00BC0333">
        <w:t xml:space="preserve">Модель справочник </w:t>
      </w:r>
      <w:r w:rsidR="00BC0333" w:rsidRPr="00BC0333">
        <w:t>&lt;-</w:t>
      </w:r>
      <w:r w:rsidR="00D04A39" w:rsidRPr="00D04A39">
        <w:t>--</w:t>
      </w:r>
      <w:r w:rsidR="00BC0333" w:rsidRPr="00BC0333">
        <w:t xml:space="preserve">&gt; </w:t>
      </w:r>
      <w:r w:rsidR="00BC0333">
        <w:t xml:space="preserve">Модель комплект </w:t>
      </w:r>
      <w:r w:rsidR="00BC0333" w:rsidRPr="00BC0333">
        <w:t xml:space="preserve">&lt;-&gt; </w:t>
      </w:r>
      <w:r w:rsidR="00BC0333">
        <w:t xml:space="preserve">Материал оригинал </w:t>
      </w:r>
      <w:r w:rsidR="00BC0333" w:rsidRPr="00BC0333">
        <w:t xml:space="preserve">&lt;-&gt; </w:t>
      </w:r>
      <w:r w:rsidR="00BC0333">
        <w:t xml:space="preserve">Аналоги и материалы </w:t>
      </w:r>
      <w:r w:rsidR="00BC0333" w:rsidRPr="00BC0333">
        <w:t>&lt;-&gt;</w:t>
      </w:r>
      <w:r w:rsidR="00BC0333">
        <w:t xml:space="preserve"> Материал аналог</w:t>
      </w:r>
    </w:p>
    <w:p w:rsidR="00D04A39" w:rsidRPr="00D04A39" w:rsidRDefault="00D04A39" w:rsidP="00813BD9">
      <w:r>
        <w:t>Проверка данной цепочки отношений позволит однозначно гарантировать правильность назначения расходного материала на устройство и позволит избежать пересортицы при заявках.</w:t>
      </w:r>
    </w:p>
    <w:p w:rsidR="00247178" w:rsidRDefault="00247178" w:rsidP="00247178">
      <w:pPr>
        <w:pStyle w:val="3"/>
      </w:pPr>
      <w:bookmarkStart w:id="8" w:name="_Toc471456881"/>
      <w:r>
        <w:t>Перечень справочников</w:t>
      </w:r>
      <w:bookmarkEnd w:id="8"/>
    </w:p>
    <w:p w:rsidR="00247178" w:rsidRDefault="00C9433C" w:rsidP="00247178">
      <w:r w:rsidRPr="00FB42E2">
        <w:rPr>
          <w:rStyle w:val="40"/>
        </w:rPr>
        <w:t>Материал оригинальный</w:t>
      </w:r>
      <w:r>
        <w:t xml:space="preserve"> – справочник оригинальных материалов: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t>Производитель</w:t>
      </w:r>
    </w:p>
    <w:p w:rsidR="00C9433C" w:rsidRDefault="00C9433C" w:rsidP="00C9433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</w:t>
      </w:r>
      <w:proofErr w:type="spellStart"/>
      <w:r>
        <w:t>произоводителя</w:t>
      </w:r>
      <w:proofErr w:type="spellEnd"/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Name</w:t>
      </w:r>
      <w:r w:rsidRPr="00C9433C">
        <w:t xml:space="preserve"> – </w:t>
      </w:r>
      <w:r>
        <w:t>наименование расходного материала как указано у производителя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Resource</w:t>
      </w:r>
      <w:r w:rsidRPr="00C9433C">
        <w:t xml:space="preserve"> – </w:t>
      </w:r>
      <w:r>
        <w:t xml:space="preserve">ресурс расходного материала </w:t>
      </w:r>
      <w:proofErr w:type="spellStart"/>
      <w:r>
        <w:t>стр</w:t>
      </w:r>
      <w:proofErr w:type="spellEnd"/>
      <w:r>
        <w:t>/</w:t>
      </w:r>
      <w:proofErr w:type="spellStart"/>
      <w:r>
        <w:t>мес</w:t>
      </w:r>
      <w:proofErr w:type="spellEnd"/>
      <w:r>
        <w:t xml:space="preserve"> в соответствии с источников производителя.</w:t>
      </w:r>
    </w:p>
    <w:p w:rsidR="00C9433C" w:rsidRDefault="00C9433C" w:rsidP="00C9433C">
      <w:r>
        <w:rPr>
          <w:noProof/>
          <w:lang w:eastAsia="ru-RU"/>
        </w:rPr>
        <w:drawing>
          <wp:inline distT="0" distB="0" distL="0" distR="0" wp14:anchorId="4BF61F5B" wp14:editId="4C36843C">
            <wp:extent cx="5478449" cy="18171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711" cy="18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C9433C" w:rsidP="00C9433C">
      <w:r w:rsidRPr="00FB42E2">
        <w:rPr>
          <w:rStyle w:val="40"/>
        </w:rPr>
        <w:t>Материал аналог</w:t>
      </w:r>
      <w:r>
        <w:t xml:space="preserve"> – справочник совместимых материалов: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t>Производитель</w:t>
      </w:r>
    </w:p>
    <w:p w:rsidR="00C9433C" w:rsidRPr="00C9433C" w:rsidRDefault="00C9433C" w:rsidP="00C9433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производителя. Если производитель не имеет собственной нумерации номенклатуры, то указываем в формате </w:t>
      </w:r>
    </w:p>
    <w:p w:rsidR="00C9433C" w:rsidRDefault="00C9433C" w:rsidP="00C9433C">
      <w:pPr>
        <w:pStyle w:val="a3"/>
        <w:ind w:left="1065"/>
        <w:rPr>
          <w:lang w:val="en-US"/>
        </w:rPr>
      </w:pPr>
      <w:r w:rsidRPr="00C9433C">
        <w:t>&lt;Производи</w:t>
      </w:r>
      <w:r>
        <w:t>тель</w:t>
      </w:r>
      <w:r>
        <w:rPr>
          <w:lang w:val="en-US"/>
        </w:rPr>
        <w:t>&gt;</w:t>
      </w:r>
      <w:proofErr w:type="gramStart"/>
      <w:r>
        <w:rPr>
          <w:lang w:val="en-US"/>
        </w:rPr>
        <w:t>_&lt;</w:t>
      </w:r>
      <w:proofErr w:type="spellStart"/>
      <w:proofErr w:type="gramEnd"/>
      <w:r>
        <w:rPr>
          <w:lang w:val="en-US"/>
        </w:rPr>
        <w:t>PartNumber</w:t>
      </w:r>
      <w:proofErr w:type="spellEnd"/>
      <w:r>
        <w:rPr>
          <w:lang w:val="en-US"/>
        </w:rPr>
        <w:t xml:space="preserve"> </w:t>
      </w:r>
      <w:r>
        <w:t>оригинала</w:t>
      </w:r>
      <w:r>
        <w:rPr>
          <w:lang w:val="en-US"/>
        </w:rPr>
        <w:t>&gt;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rPr>
          <w:lang w:val="en-US"/>
        </w:rPr>
        <w:t>Name</w:t>
      </w:r>
      <w:r w:rsidRPr="00C9433C">
        <w:t xml:space="preserve"> – </w:t>
      </w:r>
      <w:r>
        <w:t>название материала как у производителя</w:t>
      </w:r>
    </w:p>
    <w:p w:rsidR="00C9433C" w:rsidRDefault="00C9433C" w:rsidP="00C9433C">
      <w:pPr>
        <w:pStyle w:val="a3"/>
        <w:numPr>
          <w:ilvl w:val="0"/>
          <w:numId w:val="3"/>
        </w:numPr>
      </w:pPr>
      <w:r w:rsidRPr="00C9433C">
        <w:rPr>
          <w:lang w:val="en-US"/>
        </w:rPr>
        <w:t>Resource</w:t>
      </w:r>
      <w:r w:rsidRPr="00C9433C">
        <w:t xml:space="preserve"> – </w:t>
      </w:r>
      <w:r>
        <w:t>ресурс расходного материала в соответствии спецификации производителя.</w:t>
      </w:r>
    </w:p>
    <w:p w:rsidR="00C9433C" w:rsidRDefault="003E581D" w:rsidP="00C943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86412E4" wp14:editId="43FA870F">
            <wp:extent cx="5940425" cy="1584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D" w:rsidRDefault="003E581D" w:rsidP="00C9433C">
      <w:pPr>
        <w:rPr>
          <w:b/>
        </w:rPr>
      </w:pPr>
    </w:p>
    <w:p w:rsidR="003E581D" w:rsidRDefault="003E581D" w:rsidP="00C9433C">
      <w:r w:rsidRPr="00FB42E2">
        <w:rPr>
          <w:rStyle w:val="40"/>
        </w:rPr>
        <w:t>Аналоги и оригиналы</w:t>
      </w:r>
      <w:r w:rsidR="003452AB">
        <w:t xml:space="preserve"> – справочник сопоставления совместимых (аналогов) и оригинальных расходных материалов:</w:t>
      </w:r>
    </w:p>
    <w:p w:rsidR="003452AB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PartNumber</w:t>
      </w:r>
      <w:proofErr w:type="spellEnd"/>
      <w:r w:rsidRPr="003452AB">
        <w:t xml:space="preserve"> </w:t>
      </w:r>
      <w:r>
        <w:t xml:space="preserve">Аналога – в соответствии с тем как было внесено в справочник </w:t>
      </w:r>
      <w:r>
        <w:rPr>
          <w:b/>
        </w:rPr>
        <w:t>Материал аналог</w:t>
      </w:r>
    </w:p>
    <w:p w:rsidR="003452AB" w:rsidRPr="00F407FF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PartNumber</w:t>
      </w:r>
      <w:proofErr w:type="spellEnd"/>
      <w:r w:rsidRPr="003452AB">
        <w:t xml:space="preserve"> </w:t>
      </w:r>
      <w:r>
        <w:t xml:space="preserve">Оригинала – в соответствии с тем как было внесено в справочник </w:t>
      </w:r>
      <w:r>
        <w:rPr>
          <w:b/>
        </w:rPr>
        <w:t>Материал оригинал</w:t>
      </w:r>
    </w:p>
    <w:p w:rsidR="00F407FF" w:rsidRPr="00F407FF" w:rsidRDefault="00F407FF" w:rsidP="00F407F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6A294FF" wp14:editId="3AA3F902">
            <wp:extent cx="3482672" cy="2781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582" cy="28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260F0A" w:rsidP="00C9433C">
      <w:r w:rsidRPr="00FB42E2">
        <w:rPr>
          <w:rStyle w:val="40"/>
        </w:rPr>
        <w:t>Модель комплект</w:t>
      </w:r>
      <w:r>
        <w:t xml:space="preserve"> – справочник моделей устройств и оригинальные запчасти которые в эту модель могут быть установлены: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Производитель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Модель устройства (как указано у производителя)</w:t>
      </w:r>
    </w:p>
    <w:p w:rsidR="00260F0A" w:rsidRDefault="00260F0A" w:rsidP="00260F0A">
      <w:r>
        <w:rPr>
          <w:noProof/>
          <w:lang w:eastAsia="ru-RU"/>
        </w:rPr>
        <w:drawing>
          <wp:inline distT="0" distB="0" distL="0" distR="0" wp14:anchorId="5ED34556" wp14:editId="60CCBA3B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A" w:rsidRPr="00923CC7" w:rsidRDefault="00923CC7" w:rsidP="00260F0A">
      <w:r w:rsidRPr="00923CC7">
        <w:rPr>
          <w:rStyle w:val="40"/>
        </w:rPr>
        <w:t>Модель LS и Справочник</w:t>
      </w:r>
      <w:r>
        <w:t xml:space="preserve"> – сопоставление вариантов моделей, как их определяет </w:t>
      </w:r>
      <w:r>
        <w:rPr>
          <w:lang w:val="en-US"/>
        </w:rPr>
        <w:t>Lansweeper</w:t>
      </w:r>
      <w:r w:rsidRPr="00923CC7">
        <w:t xml:space="preserve"> </w:t>
      </w:r>
      <w:r>
        <w:t>и моделей из справочника</w:t>
      </w:r>
    </w:p>
    <w:p w:rsidR="00247178" w:rsidRPr="00247178" w:rsidRDefault="00923CC7" w:rsidP="00247178">
      <w:r>
        <w:rPr>
          <w:noProof/>
          <w:lang w:eastAsia="ru-RU"/>
        </w:rPr>
        <w:lastRenderedPageBreak/>
        <w:drawing>
          <wp:inline distT="0" distB="0" distL="0" distR="0" wp14:anchorId="753C5BFD" wp14:editId="3F80A6FE">
            <wp:extent cx="3776870" cy="226334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215" cy="2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51" w:rsidRPr="00344951" w:rsidRDefault="00344951" w:rsidP="00344951"/>
    <w:sectPr w:rsidR="00344951" w:rsidRPr="00344951" w:rsidSect="00C9433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6498"/>
    <w:multiLevelType w:val="hybridMultilevel"/>
    <w:tmpl w:val="91BA2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062"/>
    <w:multiLevelType w:val="hybridMultilevel"/>
    <w:tmpl w:val="6F64A778"/>
    <w:lvl w:ilvl="0" w:tplc="98A42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146D8C"/>
    <w:multiLevelType w:val="hybridMultilevel"/>
    <w:tmpl w:val="638EB91A"/>
    <w:lvl w:ilvl="0" w:tplc="8AD0BC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27B43AF"/>
    <w:multiLevelType w:val="hybridMultilevel"/>
    <w:tmpl w:val="32DA2C8A"/>
    <w:lvl w:ilvl="0" w:tplc="693EE4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32C51C5"/>
    <w:multiLevelType w:val="hybridMultilevel"/>
    <w:tmpl w:val="6F54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BE"/>
    <w:rsid w:val="00172A90"/>
    <w:rsid w:val="001B3D5D"/>
    <w:rsid w:val="001F445A"/>
    <w:rsid w:val="00247178"/>
    <w:rsid w:val="00260F0A"/>
    <w:rsid w:val="00344951"/>
    <w:rsid w:val="003452AB"/>
    <w:rsid w:val="003D3973"/>
    <w:rsid w:val="003E581D"/>
    <w:rsid w:val="00460DCA"/>
    <w:rsid w:val="004E23AB"/>
    <w:rsid w:val="00505F8C"/>
    <w:rsid w:val="005A350A"/>
    <w:rsid w:val="005E4C3F"/>
    <w:rsid w:val="006E39BE"/>
    <w:rsid w:val="00813BD9"/>
    <w:rsid w:val="00923CC7"/>
    <w:rsid w:val="00B04C8E"/>
    <w:rsid w:val="00BC0333"/>
    <w:rsid w:val="00BD1553"/>
    <w:rsid w:val="00BF54FF"/>
    <w:rsid w:val="00C9433C"/>
    <w:rsid w:val="00D04A39"/>
    <w:rsid w:val="00F301BE"/>
    <w:rsid w:val="00F407FF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1359F-4EC3-40BE-9F76-B5B43A4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4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49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7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40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407FF"/>
    <w:rPr>
      <w:rFonts w:eastAsiaTheme="minorEastAsia"/>
      <w:color w:val="5A5A5A" w:themeColor="text1" w:themeTint="A5"/>
      <w:spacing w:val="15"/>
    </w:rPr>
  </w:style>
  <w:style w:type="paragraph" w:styleId="a6">
    <w:name w:val="TOC Heading"/>
    <w:basedOn w:val="1"/>
    <w:next w:val="a"/>
    <w:uiPriority w:val="39"/>
    <w:unhideWhenUsed/>
    <w:qFormat/>
    <w:rsid w:val="00FB42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42E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42E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FB42E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2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EF37-7D1A-48F3-A62E-0DD3E117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14</cp:revision>
  <dcterms:created xsi:type="dcterms:W3CDTF">2017-01-05T13:04:00Z</dcterms:created>
  <dcterms:modified xsi:type="dcterms:W3CDTF">2017-01-06T01:06:00Z</dcterms:modified>
</cp:coreProperties>
</file>